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pStyle ns0:val="Title"/>
      </ns0:pPr>
      <ns0:r>
        <ns0:t>Materials and Methods</ns0:t>
      </ns0:r>
    </ns0:p>
    <ns0:p>
      <ns0:pPr>
        <ns0:pStyle ns0:val="Heading1"/>
      </ns0:pPr>
      <ns0:r>
        <ns0:t>Study design and data sources</ns0:t>
      </ns0:r>
    </ns0:p>
    <ns0:p>
      <ns0:pPr/>
      <ns0:r>
        <ns0:t>Species were selected before data processing based on the availability of genomic or physical material and the ability to obtain reliable, uncontaminated sequencing results or cells suitable for imaging. Genomic analyses included 34 species, microscopy analyses included 24 species, and 21 species were shared between the two datasets. Each analysis included the species for which the required data were available. Genomic and microscopy measurements were joined at the species level and were not assumed to have been collected from the same biological individuals.</ns0:t>
      </ns0:r>
    </ns0:p>
    <ns0:p>
      <ns0:pPr/>
      <ns0:r>
        <ns0:t xml:space="preserve">Genome assemblies and raw sequencing data for species in the genus </ns0:t>
      </ns0:r>
      <ns0:r>
        <ns0:rPr>
          <ns0:i/>
        </ns0:rPr>
        <ns0:t>Desmognathus</ns0:t>
      </ns0:r>
      <ns0:r>
        <ns0:t xml:space="preserve"> were obtained from the National Center for Biotechnology Information (NCBI) Assembly and Sequence Read Archive databases; accession numbers are provided in Table 1. Species names were standardized before analysis. NCBI records SRX20497025 and GCA_032353935.1 are labeled </ns0:t>
      </ns0:r>
      <ns0:r>
        <ns0:rPr>
          <ns0:i/>
        </ns0:rPr>
        <ns0:t>D. planiceps</ns0:t>
      </ns0:r>
      <ns0:r>
        <ns0:t xml:space="preserve">, but this material was analyzed as </ns0:t>
      </ns0:r>
      <ns0:r>
        <ns0:rPr>
          <ns0:i/>
        </ns0:rPr>
        <ns0:t>D. fuscus</ns0:t>
      </ns0:r>
      <ns0:r>
        <ns0:t xml:space="preserve"> based on written confirmation from the scientist who collected and sequenced it. This decision was restricted to that accession and was not treated as a general synonymy between the two species.</ns0:t>
      </ns0:r>
    </ns0:p>
    <ns0:p>
      <ns0:pPr/>
      <ns0:r>
        <ns0:t xml:space="preserve">Maximum snout–vent length and life-history traits were assembled independently of the genomic analyses. Collaborator maximum-SVL records were retained as maximum measurements rather than replaced with total length or literature proxies. Two source records represented </ns0:t>
      </ns0:r>
      <ns0:r>
        <ns0:rPr>
          <ns0:i/>
        </ns0:rPr>
        <ns0:t>D. orestes</ns0:t>
      </ns0:r>
      <ns0:r>
        <ns0:t>; these were combined, and the larger maximum SVL value of 52 mm was retained. Developmental mode, reproductive strategy, adult aquaticity, microhabitat, and elevation were compiled from published literature, NC Biodiversity accounts, AmphiBIO, and expert communication. The three reproductive-strategy categories—direct development, aquatic eggs, and terrestrial eggs with aquatic larvae—were supplied by Alex Pyron after he reviewed the initial TE ordination and were therefore treated as post hoc descriptive traits.</ns0:t>
      </ns0:r>
    </ns0:p>
    <ns0:p>
      <ns0:pPr>
        <ns0:pStyle ns0:val="Heading1"/>
      </ns0:pPr>
      <ns0:r>
        <ns0:t>Data acquisition and read processing</ns0:t>
      </ns0:r>
    </ns0:p>
    <ns0:p>
      <ns0:pPr/>
      <ns0:r>
        <ns0:t xml:space="preserve">Raw paired-end sequencing reads were downloaded from the NCBI Sequence Read Archive using the SRA Toolkit (citation needed). Reads were trimmed for quality with fastp (citation needed) using default parameters and </ns0:t>
      </ns0:r>
      <ns0:r>
        <ns0:rPr>
          <ns0:rStyle ns0:val="InlineCode"/>
          <ns0:color ns0:val="444E5A"/>
        </ns0:rPr>
        <ns0:t>--detect_adapter_for_pe</ns0:t>
      </ns0:r>
      <ns0:r>
        <ns0:t xml:space="preserve">. To remove mitochondrial reads, the trimmed pairs from each species were mapped to the published </ns0:t>
      </ns0:r>
      <ns0:r>
        <ns0:rPr>
          <ns0:i/>
        </ns0:rPr>
        <ns0:t>D. fuscus</ns0:t>
      </ns0:r>
      <ns0:r>
        <ns0:t xml:space="preserve"> mitochondrial genome (citation needed) with BWA-MEM using eight threads. Alignments were converted and sorted with SAMtools, and </ns0:t>
      </ns0:r>
      <ns0:r>
        <ns0:rPr>
          <ns0:rStyle ns0:val="InlineCode"/>
          <ns0:color ns0:val="444E5A"/>
        </ns0:rPr>
        <ns0:t>samtools view -f 12 -F 256</ns0:t>
      </ns0:r>
      <ns0:r>
        <ns0:t xml:space="preserve"> was used to retain read pairs for which both mates were unmapped to the mitochondrial reference. These non-mapping pairs were retained as the nuclear-read dataset used in subsequent analyses. Software versions and download dates will be inserted from the original command records.</ns0:t>
      </ns0:r>
    </ns0:p>
    <ns0:p>
      <ns0:pPr>
        <ns0:pStyle ns0:val="Heading1"/>
      </ns0:pPr>
      <ns0:r>
        <ns0:t>De novo TE library construction</ns0:t>
      </ns0:r>
    </ns0:p>
    <ns0:p>
      <ns0:pPr/>
      <ns0:r>
        <ns0:t xml:space="preserve">A </ns0:t>
      </ns0:r>
      <ns0:r>
        <ns0:rPr>
          <ns0:i/>
        </ns0:rPr>
        <ns0:t>Desmognathus</ns0:t>
      </ns0:r>
      <ns0:r>
        <ns0:t xml:space="preserve">-specific transposable-element library was constructed by performing de novo repeat annotation on each genome assembly with RepeatModeler2 (citation needed). RepeatModeler2 was run with </ns0:t>
      </ns0:r>
      <ns0:r>
        <ns0:rPr>
          <ns0:rStyle ns0:val="InlineCode"/>
          <ns0:color ns0:val="444E5A"/>
        </ns0:rPr>
        <ns0:t>-LTRStruct</ns0:t>
      </ns0:r>
      <ns0:r>
        <ns0:t xml:space="preserve"> to improve long-terminal-repeat discovery and </ns0:t>
      </ns0:r>
      <ns0:r>
        <ns0:rPr>
          <ns0:rStyle ns0:val="InlineCode"/>
          <ns0:color ns0:val="444E5A"/>
        </ns0:rPr>
        <ns0:t>-genomeSampleSizeMax 10000000000</ns0:t>
      </ns0:r>
      <ns0:r>
        <ns0:t xml:space="preserve"> to accommodate the large salamander genomes. The recovered historical workflow used the TEtools 1.87 container under Singularity 3.7.4 with 32 RepeatModeler threads.</ns0:t>
      </ns0:r>
    </ns0:p>
    <ns0:p>
      <ns0:pPr/>
      <ns0:r>
        <ns0:t xml:space="preserve">Consensus sequences initially classified as unknown by RepeatModeler2 were evaluated with DeepTE using the Metazoan model, TEsorter using the rexdb-metazoa database, and TEClass2 using default settings (citations needed). In the small number of ambiguous cases, the TEsorter classification was used. Sequences without a supported assignment remained unclassified. Published axolotl TE annotations were downloaded from Dfam (citation needed) and concatenated with the de novo consensus sequences. Redundancy was reduced with CD-HIT-EST (citation needed) using an 80% identity threshold and 80% alignment coverage of the shorter sequence, with parameters </ns0:t>
      </ns0:r>
      <ns0:r>
        <ns0:rPr>
          <ns0:rStyle ns0:val="InlineCode"/>
          <ns0:color ns0:val="444E5A"/>
        </ns0:rPr>
        <ns0:t>-d 0 -aS 0.8 -c 0.8 -G 0 -g 1 -b 500 -T 64 -M 500000</ns0:t>
      </ns0:r>
      <ns0:r>
        <ns0:t xml:space="preserve">. dnaPipeTE subsequently referenced a custom library named </ns0:t>
      </ns0:r>
      <ns0:r>
        <ns0:rPr>
          <ns0:rStyle ns0:val="InlineCode"/>
          <ns0:color ns0:val="444E5A"/>
        </ns0:rPr>
        <ns0:t>dedupe_telib.fasta</ns0:t>
      </ns0:r>
      <ns0:r>
        <ns0:t xml:space="preserve"> [confirm final library lineage and Dfam release].</ns0:t>
      </ns0:r>
    </ns0:p>
    <ns0:p>
      <ns0:pPr>
        <ns0:pStyle ns0:val="Heading1"/>
      </ns0:pPr>
      <ns0:r>
        <ns0:t>TE abundance estimation and classification</ns0:t>
      </ns0:r>
    </ns0:p>
    <ns0:p>
      <ns0:pPr/>
      <ns0:r>
        <ns0:t xml:space="preserve">Transposable-element abundance was estimated from the low-coverage nuclear read data with dnaPipeTE (citation needed). For each species, dnaPipeTE was run on the forward nuclear-filtered reads with 16 CPUs, a configured genome-size denominator of 15,000,000,000 bp, target coverage of 0.1×, </ns0:t>
      </ns0:r>
      <ns0:r>
        <ns0:rPr>
          <ns0:rStyle ns0:val="InlineCode"/>
          <ns0:color ns0:val="444E5A"/>
        </ns0:rPr>
        <ns0:t>RM_t = 0.15</ns0:t>
      </ns0:r>
      <ns0:r>
        <ns0:t xml:space="preserve">, two internal samples, and the custom library recorded as </ns0:t>
      </ns0:r>
      <ns0:r>
        <ns0:rPr>
          <ns0:rStyle ns0:val="InlineCode"/>
          <ns0:color ns0:val="444E5A"/>
        </ns0:rPr>
        <ns0:t>dedupe_telib.fasta</ns0:t>
      </ns0:r>
      <ns0:r>
        <ns0:t xml:space="preserve">. The 15-Gb value was a pipeline sampling parameter and was not treated as a measured genome size or an estimate of absolute TE load. Two technical dnaPipeTE runs were available for </ns0:t>
      </ns0:r>
      <ns0:r>
        <ns0:rPr>
          <ns0:i/>
        </ns0:rPr>
        <ns0:t>D. orestes</ns0:t>
      </ns0:r>
      <ns0:r>
        <ns0:t>; each run was normalized separately and the resulting species compositions were averaged with equal weight.</ns0:t>
      </ns0:r>
    </ns0:p>
    <ns0:p>
      <ns0:pPr/>
      <ns0:r>
        <ns0:t xml:space="preserve">The dnaPipeTE _reads_per_component_and_annotation output was parsed to assign repeat components to class, order, and superfamily. For the composition analyses, bases assigned to each TE category were divided by the total classified bases at the corresponding level, so the classified categories were reclosed to one within each species. Total, retained, and unresolved aligned-base mass was preserved separately as dnaPipeTE classification-accounting quality control and did not enter the diversity calculations. dnaPipeTE, Trinity, and RepeatMasker versions will be added from the original HPC records if available.</ns0:t>
      </ns0:r>
    </ns0:p>
    <ns0:p>
      <ns0:pPr>
        <ns0:pStyle ns0:val="Heading1"/>
      </ns0:pPr>
      <ns0:r>
        <ns0:t>TE diversity and compositional ordination</ns0:t>
      </ns0:r>
    </ns0:p>
    <ns0:p>
      <ns0:pPr/>
      <ns0:r>
        <ns0:t xml:space="preserve">TE diversity was calculated separately at the order and superfamily levels after the classified categories were reclosed to one within each species. Natural-log Shannon entropy was calculated as H′ = −Σpᵢ ln(pᵢ), and the Gini–Simpson index was calculated as 1 − Σpᵢ², where pᵢ is the proportion of classified sequence assigned to TE category i. The 34 order-level Shannon and Gini–Simpson values were the primary diversity measures, and the 34 superfamily-level values were retained as a sensitivity summary. Richness was reported descriptively but was not treated as a third diversity index. Unresolved aligned-base mass was excluded from all diversity values. All positive classified categories contributed to diversity calculations, including categories that were too sparse for the PCA.</ns0:t>
      </ns0:r>
    </ns0:p>
    <ns0:p>
      <ns0:pPr/>
      <ns0:r>
        <ns0:t>Principal component analysis was conducted on the classified-conditional superfamily compositions across the 34 genomic species. After technical-run averaging, superfamilies with positive abundance in every species were retained, leaving 24 shared features. Ginger, Merlin, Dada, Chapaev, and CR1 were retained in the diversity calculations but excluded from the ordination because they were not detected in every species. Each species composition was reclosed to sum to one and transformed by the centered log ratio, CLR(</ns0:t>
      </ns0:r>
      <ns0:r>
        <ns0:rPr>
          <ns0:i/>
        </ns0:rPr>
        <ns0:t>pᵢ</ns0:t>
      </ns0:r>
      <ns0:r>
        <ns0:t>) = ln(</ns0:t>
      </ns0:r>
      <ns0:r>
        <ns0:rPr>
          <ns0:i/>
        </ns0:rPr>
        <ns0:t>pᵢ</ns0:t>
      </ns0:r>
      <ns0:r>
        <ns0:t>) − mean[ln(</ns0:t>
      </ns0:r>
      <ns0:r>
        <ns0:rPr>
          <ns0:i/>
        </ns0:rPr>
        <ns0:t>p</ns0:t>
      </ns0:r>
      <ns0:r>
        <ns0:t>)]. The retained matrix contained no zero values, so no zero-replacement step was required. CLR columns were centered but not variance-scaled, and principal components were obtained by singular-value decomposition. Axis signs were oriented deterministically so that the loading with the largest absolute value on each axis was positive.</ns0:t>
      </ns0:r>
    </ns0:p>
    <ns0:p>
      <ns0:pPr/>
      <ns0:r>
        <ns0:t xml:space="preserve">Exploratory k-means clustering was evaluated on all 23 nonzero principal-component axes, which preserve the complete Aitchison-distance geometry of the 24-feature CLR matrix. Candidate solutions from </ns0:t>
      </ns0:r>
      <ns0:r>
        <ns0:rPr>
          <ns0:i/>
        </ns0:rPr>
        <ns0:t>k</ns0:t>
      </ns0:r>
      <ns0:r>
        <ns0:t xml:space="preserve"> = 1 through 8 were fitted with 1,000 starts. The number and stability of clusters were evaluated using gap statistics, silhouette widths, leave-one-feature-out analyses, species subsampling, and lower-dimensional PCA representations. Reproductive strategy and other organismal traits were overlaid descriptively after the initial ordination; because these categories were supplied after inspection of the PCA, their association with TE composition was considered post hoc.</ns0:t>
      </ns0:r>
    </ns0:p>
    <ns0:p>
      <ns0:pPr>
        <ns0:pStyle ns0:val="Heading1"/>
      </ns0:pPr>
      <ns0:r>
        <ns0:t>Repeat divergence landscapes</ns0:t>
      </ns0:r>
    </ns0:p>
    <ns0:p>
      <ns0:pPr/>
      <ns0:r>
        <ns0:t xml:space="preserve">Repeat divergence landscapes were reconstructed from RepeatMasker </ns0:t>
      </ns0:r>
      <ns0:r>
        <ns0:rPr>
          <ns0:rStyle ns0:val="InlineCode"/>
          <ns0:color ns0:val="444E5A"/>
        </ns0:rPr>
        <ns0:t>.align</ns0:t>
      </ns0:r>
      <ns0:r>
        <ns0:t xml:space="preserve"> files generated from the dnaPipeTE Trinity repeat-contig assemblies rather than from the accession-linked genome assemblies. Inclusive aligned hit length was calculated as |query end − query start| + 1. Rows with invalid divergence or length values were excluded, and reported divergence was assigned to one-percentage-point bins with a terminal 50% bin. Within each species, aligned bases in every TE category and divergence bin were divided by the total inclusive aligned RepeatMasker hit bases for that species. Missing species-by-category-by-bin combinations were filled with zeros before equal-weight averaging across species.</ns0:t>
      </ns0:r>
    </ns0:p>
    <ns0:p>
      <ns0:pPr/>
      <ns0:r>
        <ns0:t xml:space="preserve">These landscapes describe the composition of aligned repeat annotations. They were not interpreted as genome occupancy, insertion counts, direct insertion ages, interval-deduplicated coverage, or evolutionary rates. The </ns0:t>
      </ns0:r>
      <ns0:r>
        <ns0:rPr>
          <ns0:rStyle ns0:val="InlineCode"/>
          <ns0:color ns0:val="444E5A"/>
        </ns0:rPr>
        <ns0:t>Unclassified</ns0:t>
      </ns0:r>
      <ns0:r>
        <ns0:t xml:space="preserve"> category was retained as an annotation category rather than treated as a TE order.</ns0:t>
      </ns0:r>
    </ns0:p>
    <ns0:p>
      <ns0:pPr>
        <ns0:pStyle ns0:val="Heading1"/>
      </ns0:pPr>
      <ns0:r>
        <ns0:t>LTR terminal-to-internal depth proxy</ns0:t>
      </ns0:r>
    </ns0:p>
    <ns0:p>
      <ns0:pPr/>
      <ns0:r>
        <ns0:t>The original LTR discovery workflow used DANTE, LTRharvest, and LTRdigest (citations needed). DANTE provided genome-level LTR annotations, LTRharvest identified candidate full-length elements, and LTRdigest annotated the 5′ terminal repeat, internal region, and 3′ terminal repeat. Candidate contigs at least 3,000 bp long were joined to their exact TEsorter annotations. Elements were retained only when TEsorter assigned them to LTR/Gypsy and reported at least five annotated protein-domain entries. This produced 408 eligible LTR/Gypsy elements across 30 species.</ns0:t>
      </ns0:r>
    </ns0:p>
    <ns0:p>
      <ns0:pPr/>
      <ns0:r>
        <ns0:t xml:space="preserve">The complete LTR multifasta files were split into individual contigs using the embedded sequence identifiers. Trimmed, mitochondrial-filtered paired reads from each species were mapped to the corresponding LTR contigs with Bowtie2 using </ns0:t>
      </ns0:r>
      <ns0:r>
        <ns0:rPr>
          <ns0:rStyle ns0:val="InlineCode"/>
          <ns0:color ns0:val="444E5A"/>
        </ns0:rPr>
        <ns0:t>-L 20 --very-sensitive-local</ns0:t>
      </ns0:r>
      <ns0:r>
        <ns0:t xml:space="preserve"> (citation needed). SAMtools was used to convert, sort, and index the alignments and to calculate per-position read depth (citation needed). Positions without reported coverage were assigned a depth of zero. The terminal-to-internal ratio was calculated by dividing the mean depth across the combined 5′ and 3′ LTRs by the mean depth across the internal region. A ratio of one indicates equal mean terminal and internal depth in this mapping assay; values above one indicate greater terminal than internal depth.</ns0:t>
      </ns0:r>
    </ns0:p>
    <ns0:p>
      <ns0:pPr/>
      <ns0:r>
        <ns0:t>Before species-level summaries were calculated, a two-sided 1.5 × IQR filter was applied independently within each species to the untransformed element ratios. Elements were retained when Q1 − 1.5 × IQR ≤ ratio ≤ Q3 + 1.5 × IQR. This rule retained 381 of the 408 eligible elements. An independent coverage filter required positive read depth at 80% or more of the expected positions separately in the 5′ LTR, 3′ LTR, and internal region. The coverage filter was not used to calculate the IQR fences. The intersection of the two filters contained 380 elements across all 30 species. Species were summarized with the median terminal-to-internal ratio and 2,000 element-bootstrap replicates, with geometric-mean, trimmed, winsorized, and leave-one-element-out summaries retained as robustness checks. These intervals describe variation among the recovered elements and not variation among independent animals.</ns0:t>
      </ns0:r>
    </ns0:p>
    <ns0:p>
      <ns0:pPr/>
      <ns0:r>
        <ns0:t>The terminal-to-internal statistic was examined as an indirect read-depth signature motivated by the terminal-repeat-mediated ectopic-recombination hypothesis. It was not treated as a direct estimate of ectopic recombination, solo-LTR formation, or DNA-loss rate. Bowtie2 and SAMtools versions and the original alignment-filtering settings will be inserted from the archived mapping records if available.</ns0:t>
      </ns0:r>
    </ns0:p>
    <ns0:p>
      <ns0:pPr>
        <ns0:pStyle ns0:val="Heading1"/>
      </ns0:pPr>
      <ns0:r>
        <ns0:t>Specimen preparation, staining, and image acquisition</ns0:t>
      </ns0:r>
    </ns0:p>
    <ns0:p>
      <ns0:pPr/>
      <ns0:r>
        <ns0:t xml:space="preserve">Each microscopy specimen represented one individual animal. Erythrocytes were collected from ethanol-fixed specimens by pipetting blood from an incision through the heart onto the center of a microscope slide. Slides were stained with Feulgen–Schiff reagent following Hardie, Gregory, and Hebert (2002), </ns0:t>
      </ns0:r>
      <ns0:r>
        <ns0:rPr>
          <ns0:i/>
        </ns0:rPr>
        <ns0:t>From Pixels to Picograms: A Beginner’s Guide to Genome Quantification by Feulgen Image Analysis Densitometry</ns0:t>
      </ns0:r>
      <ns0:r>
        <ns0:t xml:space="preserve"> (doi: 10.1177/002215540205000601). Slides were imaged on an Olympus APX100 microscope with a 40× objective.</ns0:t>
      </ns0:r>
    </ns0:p>
    <ns0:p>
      <ns0:pPr>
        <ns0:pStyle ns0:val="Heading1"/>
      </ns0:pPr>
      <ns0:r>
        <ns0:t>Cell and nucleus segmentation and morphometry</ns0:t>
      </ns0:r>
    </ns0:p>
    <ns0:p>
      <ns0:pPr/>
      <ns0:r>
        <ns0:t>Cell boundaries were segmented with Cellpose and nuclei were segmented with YOLO (citations needed). Edge-touching masks, invalid measurements, and objects without a valid one-to-one cell–nucleus pairing were excluded. All retained masks were manually reviewed. For each species, the 50 largest accepted cells were retained when sufficient cells were available; rejected objects were replaced by the next-largest eligible cell. This sampling strategy estimated the upper tail of eligible erythrocyte size rather than the population-average cell.</ns0:t>
      </ns0:r>
    </ns0:p>
    <ns0:p>
      <ns0:pPr/>
      <ns0:r>
        <ns0:t>The final morphometry dataset contained 1,152 reviewed cell–nucleus pairs across 24 species and 42 animals. Cell and nucleus areas were calculated from mask pixels using a linear calibration of 0.12 µm per pixel, equivalent to 0.0144 µm² per pixel. Species-level cell and nucleus estimates were the medians of the accepted objects. Paired-object bootstrap intervals were calculated conditional on the observed images and animals; they were not interpreted as population-level uncertainty among animals. Cellpose and YOLO versions and model identifiers will be inserted from the model records where available.</ns0:t>
      </ns0:r>
    </ns0:p>
    <ns0:p>
      <ns0:pPr>
        <ns0:pStyle ns0:val="Heading1"/>
      </ns0:pPr>
      <ns0:r>
        <ns0:t>Relative nuclear integrated optical density</ns0:t>
      </ns0:r>
    </ns0:p>
    <ns0:p>
      <ns0:pPr/>
      <ns0:r>
        <ns0:t>Pixel optical density was calculated as log10(background intensity / pixel intensity). Nuclear integrated optical density (IOD) was calculated as the sum of pixel optical density across the nuclear mask. The final IOD dataset contained 805 reviewed nuclei from 51 images, 50 animals, and 24 species.</ns0:t>
      </ns0:r>
    </ns0:p>
    <ns0:p>
      <ns0:pPr/>
      <ns0:r>
        <ns0:t>For each image, the median per-nucleus IOD was calculated. The species estimate was the arithmetic mean of these image-specific medians, giving equal weight to each image rather than to each nucleus. Uncertainty was estimated with 2,000 hierarchical-bootstrap replicates that resampled images and then nuclei within images using seed 20260710. Species estimates and interval bounds were divided by the median estimate across the 24-species panel to obtain the relative-IOD index. This index is an image-derived relative phenotype and was not interpreted as an independently validated absolute genome size or C-value.</ns0:t>
      </ns0:r>
    </ns0:p>
    <ns0:p>
      <ns0:pPr/>
      <ns0:r>
        <ns0:t xml:space="preserve">Image sets were matched using log edge sharpness and log relative ring noise; IOD, darkness, nucleus area, and cell area were excluded from the matching variables. Balance was evaluated using a maximum absolute standardized mean difference of 0.10 and a maximum Kolmogorov-Smirnov distance of 0.25. Species failing either balance threshold remained in the released data and were flagged rather than silently removed. Process_413/specimen 32469 and Process_414/specimen 32470 were the </ns0:t>
      </ns0:r>
      <ns0:r>
        <ns0:rPr>
          <ns0:i/>
        </ns0:rPr>
        <ns0:t xml:space="preserve">D. fuscus</ns0:t>
      </ns0:r>
      <ns0:r>
        <ns0:t xml:space="preserve"> DNA-content standards and were stained in the same experimental runs as the unknowns. A separate descriptive scale used the published pooled D. fuscus assembly estimate of 16.1 Gbp, equivalent to 16.462167689 pg/1C using 1 pg = 0.978 Gbp. This scale remained conditional because the exact standard-to-target run map and standard-slide quality-control reconciliation were unresolved; relative IOD was retained as the primary phenotype.</ns0:t>
      </ns0:r>
    </ns0:p>
    <ns0:p>
      <ns0:pPr>
        <ns0:pStyle ns0:val="Heading1"/>
      </ns0:pPr>
      <ns0:r>
        <ns0:t>Phylogenetic tree preparation</ns0:t>
      </ns0:r>
    </ns0:p>
    <ns0:p>
      <ns0:pPr/>
      <ns0:r>
        <ns0:t xml:space="preserve">The focal time-calibrated </ns0:t>
      </ns0:r>
      <ns0:r>
        <ns0:rPr>
          <ns0:i/>
        </ns0:rPr>
        <ns0:t>Desmognathus</ns0:t>
      </ns0:r>
      <ns0:r>
        <ns0:t xml:space="preserve"> phylogeny was provided directly by Alex Pyron. Species names were reconciled with the study dataset before pruning. When multiple source tips represented the same species and differed only by suffix, one species-level tip was retained. Tips without data for a given analysis were removed, and single-descendant internal nodes created during pruning were collapsed. The morphology dataset was matched to an exact 24-species tree, and an 18-species published topology was retained for sensitivity analyses. The focal-tree citation, calibration method, and branch-length provenance will be inserted from the collaborator record.</ns0:t>
      </ns0:r>
    </ns0:p>
    <ns0:p>
      <ns0:pPr>
        <ns0:pStyle ns0:val="Heading1"/>
      </ns0:pPr>
      <ns0:r>
        <ns0:t>Software and reproducibility</ns0:t>
      </ns0:r>
    </ns0:p>
    <ns0:p>
      <ns0:pPr/>
      <ns0:r>
        <ns0:t>HPC-generated outputs were treated as fixed inputs because their original computational environments could not be fully reconstructed. All downstream filtering, normalization, analysis, and figure generation were reproduced locally from the released datasets. The phylogenetic analyses used R 4.4.3 with ape 5.8.1, phylolm 2.6.5, and phylopath 1.3.1. Final figures were generated with ggplot2 using a consistent Genome Biology and Evolution–inspired theme. Code and final datasets will be cited in the Data Availability section after archival.</ns0:t>
      </ns0:r>
    </ns0:p>
    <ns0:sectPr ns0:rsidR="00FC693F" ns0:rsidRPr="0006063C" ns0:rsidSect="00034616">
      <ns0:footerReference ns0:type="default" ns2:id="rId9"/>
      <ns0:pgSz ns0:w="12240" ns0:h="15840"/>
      <ns0:pgMar ns0:top="1224" ns0:right="1440" ns0:bottom="1080" ns0:left="1440" ns0:header="504" ns0:footer="504"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774"/>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NotTrackMoves="1" w:doNotTrackFormatting="1">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Rule="auto" w:line="293"/>
      <w:jc w:val="both"/>
    </w:pPr>
    <w:rPr>
      <w:rFonts w:ascii="Calibri" w:hAnsi="Calibri"/>
      <w:color w:val="222A3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F4E79"/>
      <w:sz w:val="26"/>
      <w:szCs w:val="28"/>
      <w:lang w:val="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jc w:val="left"/>
    </w:pPr>
    <w:rPr>
      <w:rFonts w:asciiTheme="majorHAnsi" w:eastAsiaTheme="majorEastAsia" w:hAnsiTheme="majorHAnsi" w:cstheme="majorBidi" w:ascii="Calibri Light" w:hAnsi="Calibri Light"/>
      <w:b w:val="0"/>
      <w:color w:val="1F4E79"/>
      <w:spacing w:val="5"/>
      <w:kern w:val="28"/>
      <w:sz w:val="44"/>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InlineCode">
    <w:name w:val="Inline Code"/>
    <w:rPr>
      <w:rFonts w:ascii="Courier New" w:hAnsi="Courier New"/>
      <w:sz w:val="18"/>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dc:title>
  <dc:subject>Desmognathus transposable elements, erythrocyte morphology, and relative nuclear IOD</dc:subject>
  <dc:creator>Desmognathus study authors</dc:creator>
  <cp:keywords>Desmognathus; transposable elements; morphology; integrated optical density; methods</cp:keywords>
  <dc:description>Narrative manuscript draft.</dc:description>
  <cp:lastModifiedBy/>
  <cp:revision>1</cp:revision>
  <dcterms:created xsi:type="dcterms:W3CDTF">2013-12-23T23:15:00Z</dcterms:created>
  <dcterms:modified xsi:type="dcterms:W3CDTF">2013-12-23T23:15:00Z</dcterms:modified>
  <cp:category/>
</cp:coreProperties>
</file>