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bookmarkStart ns0:id="27" ns0:name="materials-and-methods-bullet-scaffold"/>
    <ns0:p>
      <ns0:pPr>
        <ns0:pStyle ns0:val="Heading1"/>
      </ns0:pPr>
      <ns0:r>
        <ns0:t xml:space="preserve">Materials and Methods bullet scaffold</ns0:t>
      </ns0:r>
    </ns0:p>
    <ns0:p>
      <ns0:pPr>
        <ns0:pStyle ns0:val="FirstParagraph"/>
      </ns0:pPr>
      <ns0:r>
        <ns0:rPr>
          <ns0:b/>
          <ns0:bCs/>
        </ns0:rPr>
        <ns0:t xml:space="preserve">Evidence checked:</ns0:t>
      </ns0:r>
      <ns0:r>
        <ns0:t xml:space="preserve"> </ns0:t>
      </ns0:r>
      <ns0:r>
        <ns0:t xml:space="preserve">12 August 2026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Author-facing factual outline; convert these bullets into the authors’ own prose.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VerbatimChar"/>
        </ns0:rPr>
        <ns0:t xml:space="preserve">[VERIFIED]</ns0:t>
      </ns0:r>
      <ns0:r>
        <ns0:t xml:space="preserve">: supported by the current repository.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VerbatimChar"/>
        </ns0:rPr>
        <ns0:t xml:space="preserve">[HISTORICAL COMMAND]</ns0:t>
      </ns0:r>
      <ns0:r>
        <ns0:t xml:space="preserve">: recovered from version history, but runtime provenance may remain incomplete.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VerbatimChar"/>
        </ns0:rPr>
        <ns0:t xml:space="preserve">[AUTHOR CONFIRMED]</ns0:t>
      </ns0:r>
      <ns0:r>
        <ns0:t xml:space="preserve">: supplied directly by the author during Methods reconciliation.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VerbatimChar"/>
        </ns0:rPr>
        <ns0:t xml:space="preserve">[PLANNED — NOT PERFORMED]</ns0:t>
      </ns0:r>
      <ns0:r>
        <ns0:t xml:space="preserve">: intended future work that must not be written as a completed method or result.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VerbatimChar"/>
        </ns0:rPr>
        <ns0:t xml:space="preserve">[AUTHOR INPUT]</ns0:t>
      </ns0:r>
      <ns0:r>
        <ns0:t xml:space="preserve">: must come from notebooks, collection records, or original command logs.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VerbatimChar"/>
        </ns0:rPr>
        <ns0:t xml:space="preserve">[BOUNDARY]</ns0:t>
      </ns0:r>
      <ns0:r>
        <ns0:t xml:space="preserve">: interpretation that must remain explicit.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Data Availability remains a separate manuscript section.</ns0:t>
      </ns0:r>
    </ns0:p>
    <ns0:bookmarkStart ns0:id="20" ns0:name="study-design-and-data-sources"/>
    <ns0:p>
      <ns0:pPr>
        <ns0:pStyle ns0:val="Heading2"/>
      </ns0:pPr>
      <ns0:r>
        <ns0:t xml:space="preserve">1. Study design and data sources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Declare analysis-specific denominators rather than one universal species panel.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TE34: 34 species with a vetted SRA resource, assembly accession, matching tree tip, and TE output; source file</ns0:t>
      </ns0:r>
      <ns0:r>
        <ns0:t xml:space="preserve"> </ns0:t>
      </ns0:r>
      <ns0:r>
        <ns0:rPr>
          <ns0:rStyle ns0:val="VerbatimChar"/>
        </ns0:rPr>
        <ns0:t xml:space="preserve">data/identity/te34_panel.csv</ns0:t>
      </ns0:r>
      <ns0:r>
        <ns0:t xml:space="preserve">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Path24: 24 species with finalized cell, nucleus, nuclear-IOD, and phylogenetic-path evidence; source file</ns0:t>
      </ns0:r>
      <ns0:r>
        <ns0:t xml:space="preserve"> </ns0:t>
      </ns0:r>
      <ns0:r>
        <ns0:rPr>
          <ns0:rStyle ns0:val="VerbatimChar"/>
        </ns0:rPr>
        <ns0:t xml:space="preserve">data/identity/path24_panel.csv</ns0:t>
      </ns0:r>
      <ns0:r>
        <ns0:t xml:space="preserve">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Overlap21: exact</ns0:t>
      </ns0:r>
      <ns0:r>
        <ns0:t xml:space="preserve"> </ns0:t>
      </ns0:r>
      <ns0:r>
        <ns0:rPr>
          <ns0:rStyle ns0:val="VerbatimChar"/>
        </ns0:rPr>
        <ns0:t xml:space="preserve">TE34 × Path24</ns0:t>
      </ns0:r>
      <ns0:r>
        <ns0:t xml:space="preserve"> </ns0:t>
      </ns0:r>
      <ns0:r>
        <ns0:t xml:space="preserve">intersection used only when both evidence streams are required; source file</ns0:t>
      </ns0:r>
      <ns0:r>
        <ns0:t xml:space="preserve"> </ns0:t>
      </ns0:r>
      <ns0:r>
        <ns0:rPr>
          <ns0:rStyle ns0:val="VerbatimChar"/>
        </ns0:rPr>
        <ns0:t xml:space="preserve">analyses/03_phylogenetic_path/data/te_relative_iod_overlap.csv</ns0:t>
      </ns0:r>
      <ns0:r>
        <ns0:t xml:space="preserve">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Overlap21 species:</ns0:t>
      </ns0:r>
      <ns0:r>
        <ns0:t xml:space="preserve"> </ns0:t>
      </ns0:r>
      <ns0:r>
        <ns0:rPr>
          <ns0:i/>
          <ns0:iCs/>
        </ns0:rPr>
        <ns0:t xml:space="preserve">D. aeneus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amphileucus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anicetus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apalachicolae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auriculatus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bairdi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campi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fuscus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gvnigeusgwotli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intermedius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kanawha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marmoratus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mavrokoilius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monticola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ocoee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orestes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perlapsus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tilleyi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valtos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welteri</ns0:t>
      </ns0:r>
      <ns0:r>
        <ns0:t xml:space="preserve">, and</ns0:t>
      </ns0:r>
      <ns0:r>
        <ns0:t xml:space="preserve"> </ns0:t>
      </ns0:r>
      <ns0:r>
        <ns0:rPr>
          <ns0:i/>
          <ns0:iCs/>
        </ns0:rPr>
        <ns0:t xml:space="preserve">D. wrighti</ns0:t>
      </ns0:r>
      <ns0:r>
        <ns0:t xml:space="preserve">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rPr>
          <ns0:i/>
          <ns0:iCs/>
        </ns0:rPr>
        <ns0:t xml:space="preserve">D. brimleyorum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folkertsi</ns0:t>
      </ns0:r>
      <ns0:r>
        <ns0:t xml:space="preserve">, and</ns0:t>
      </ns0:r>
      <ns0:r>
        <ns0:t xml:space="preserve"> </ns0:t>
      </ns0:r>
      <ns0:r>
        <ns0:rPr>
          <ns0:i/>
          <ns0:iCs/>
        </ns0:rPr>
        <ns0:t xml:space="preserve">D. ochrophaeus</ns0:t>
      </ns0:r>
      <ns0:r>
        <ns0:t xml:space="preserve"> </ns0:t>
      </ns0:r>
      <ns0:r>
        <ns0:t xml:space="preserve">remain in Path24 but lack an active TE34 resource; no TE value was imputed.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rPr>
          <ns0:i/>
          <ns0:iCs/>
        </ns0:rPr>
        <ns0:t xml:space="preserve">D. aeneus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orestes</ns0:t>
      </ns0:r>
      <ns0:r>
        <ns0:t xml:space="preserve">, and</ns0:t>
      </ns0:r>
      <ns0:r>
        <ns0:t xml:space="preserve"> </ns0:t>
      </ns0:r>
      <ns0:r>
        <ns0:rPr>
          <ns0:i/>
          <ns0:iCs/>
        </ns0:rPr>
        <ns0:t xml:space="preserve">D. wrighti</ns0:t>
      </ns0:r>
      <ns0:r>
        <ns0:t xml:space="preserve"> </ns0:t>
      </ns0:r>
      <ns0:r>
        <ns0:t xml:space="preserve">were manually reviewed and retained below an automatic sample target; reduced support remains explicit.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A species-level genomic–microscopy join does not establish that both measurements came from the same biological individual.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SRA and assembly resources are joined through the accession-explicit active lookup; the expert-reidentified</ns0:t>
      </ns0:r>
      <ns0:r>
        <ns0:t xml:space="preserve"> </ns0:t>
      </ns0:r>
      <ns0:r>
        <ns0:rPr>
          <ns0:i/>
          <ns0:iCs/>
        </ns0:rPr>
        <ns0:t xml:space="preserve">D. fuscus</ns0:t>
      </ns0:r>
      <ns0:r>
        <ns0:t xml:space="preserve"> </ns0:t>
      </ns0:r>
      <ns0:r>
        <ns0:t xml:space="preserve">resource is</ns0:t>
      </ns0:r>
      <ns0:r>
        <ns0:t xml:space="preserve"> </ns0:t>
      </ns0:r>
      <ns0:r>
        <ns0:rPr>
          <ns0:rStyle ns0:val="VerbatimChar"/>
        </ns0:rPr>
        <ns0:t xml:space="preserve">SRX20497025 / GCA_032353935.1</ns0:t>
      </ns0:r>
      <ns0:r>
        <ns0:t xml:space="preserve">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dnaPipeTE retry labels are technical runs, not biological replicates; the two</ns0:t>
      </ns0:r>
      <ns0:r>
        <ns0:t xml:space="preserve"> </ns0:t>
      </ns0:r>
      <ns0:r>
        <ns0:rPr>
          <ns0:i/>
          <ns0:iCs/>
        </ns0:rPr>
        <ns0:t xml:space="preserve">D. orestes</ns0:t>
      </ns0:r>
      <ns0:r>
        <ns0:t xml:space="preserve"> </ns0:t>
      </ns0:r>
      <ns0:r>
        <ns0:t xml:space="preserve">runs were normalized separately and equal-weight averaged.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Collaborator maximum SVL comes from</ns0:t>
      </ns0:r>
      <ns0:r>
        <ns0:t xml:space="preserve"> </ns0:t>
      </ns0:r>
      <ns0:r>
        <ns0:rPr>
          <ns0:rStyle ns0:val="VerbatimChar"/>
        </ns0:rPr>
        <ns0:t xml:space="preserve">analyses/03_phylogenetic_path/data/collaborator_max_svl.xlsx</ns0:t>
      </ns0:r>
      <ns0:r>
        <ns0:t xml:space="preserve">; total length and literature body-size proxies are not silently substituted.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Developmental mode, aquaticity, microhabitat, and elevation were curated from manual literature extraction, NC Biodiversity accounts, and AmphiBIO with source-priority flags.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Exact collaborator-SVL source aliases</ns0:t>
      </ns0:r>
      <ns0:r>
        <ns0:t xml:space="preserve"> </ns0:t>
      </ns0:r>
      <ns0:r>
        <ns0:rPr>
          <ns0:rStyle ns0:val="VerbatimChar"/>
        </ns0:rPr>
        <ns0:t xml:space="preserve">orestes-ac</ns0:t>
      </ns0:r>
      <ns0:r>
        <ns0:t xml:space="preserve"> </ns0:t>
      </ns0:r>
      <ns0:r>
        <ns0:t xml:space="preserve">(52 mm) and</ns0:t>
      </ns0:r>
      <ns0:r>
        <ns0:t xml:space="preserve"> </ns0:t>
      </ns0:r>
      <ns0:r>
        <ns0:rPr>
          <ns0:rStyle ns0:val="VerbatimChar"/>
        </ns0:rPr>
        <ns0:t xml:space="preserve">orestes-b</ns0:t>
      </ns0:r>
      <ns0:r>
        <ns0:t xml:space="preserve"> </ns0:t>
      </ns0:r>
      <ns0:r>
        <ns0:t xml:space="preserve">(50 mm) map to</ns0:t>
      </ns0:r>
      <ns0:r>
        <ns0:t xml:space="preserve"> </ns0:t>
      </ns0:r>
      <ns0:r>
        <ns0:rPr>
          <ns0:i/>
          <ns0:iCs/>
        </ns0:rPr>
        <ns0:t xml:space="preserve">D. orestes</ns0:t>
      </ns0:r>
      <ns0:r>
        <ns0:t xml:space="preserve">; the registered maximum-of-maxima rule gives 52 mm. All Overlap21 species consequently have TE, morphology/IOD, and maximum-SVL data; the final integrated model remains unselected and unfitted.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State whether panel rules were specified before outcome inspection.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Supply individual counts, specimen matching, locality/date, collector, voucher/tissue identifier, sex/stage, permit, ethics approval, and Nagoya/access-compliance details.</ns0:t>
      </ns0:r>
    </ns0:p>
    <ns0:bookmarkEnd ns0:id="20"/>
    <ns0:bookmarkStart ns0:id="21" ns0:name="Xa8ee819f5803f3fa75b16e214bed074a496b0d9"/>
    <ns0:p>
      <ns0:pPr>
        <ns0:pStyle ns0:val="Heading2"/>
      </ns0:pPr>
      <ns0:r>
        <ns0:t xml:space="preserve">2. Genomic processing and transposable-element characterization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[HISTORICAL COMMAND]</ns0:t>
      </ns0:r>
      <ns0:r>
        <ns0:t xml:space="preserve"> </ns0:t>
      </ns0:r>
      <ns0:r>
        <ns0:t xml:space="preserve">Mitochondrial filtering: BWA reference indexing;</ns0:t>
      </ns0:r>
      <ns0:r>
        <ns0:t xml:space="preserve"> </ns0:t>
      </ns0:r>
      <ns0:r>
        <ns0:rPr>
          <ns0:rStyle ns0:val="VerbatimChar"/>
        </ns0:rPr>
        <ns0:t xml:space="preserve">bwa mem -t 8</ns0:t>
      </ns0:r>
      <ns0:r>
        <ns0:t xml:space="preserve">; SAMtools conversion/sorting;</ns0:t>
      </ns0:r>
      <ns0:r>
        <ns0:t xml:space="preserve"> </ns0:t>
      </ns0:r>
      <ns0:r>
        <ns0:rPr>
          <ns0:rStyle ns0:val="VerbatimChar"/>
        </ns0:rPr>
        <ns0:t xml:space="preserve">samtools view -f 12 -F 256</ns0:t>
      </ns0:r>
      <ns0:r>
        <ns0:t xml:space="preserve"> </ns0:t>
      </ns0:r>
      <ns0:r>
        <ns0:t xml:space="preserve">to retain read pairs unmapped to the mitochondrial reference.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Confirm read-download procedure/date, library layout, adapter and quality trimming, contamination screening, mate handling, BAM-to-FASTQ conversion, and software versions.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[HISTORICAL COMMAND]</ns0:t>
      </ns0:r>
      <ns0:r>
        <ns0:t xml:space="preserve"> </ns0:t>
      </ns0:r>
      <ns0:r>
        <ns0:t xml:space="preserve">RepeatModeler: TEtools</ns0:t>
      </ns0:r>
      <ns0:r>
        <ns0:t xml:space="preserve"> </ns0:t>
      </ns0:r>
      <ns0:r>
        <ns0:rPr>
          <ns0:rStyle ns0:val="VerbatimChar"/>
        </ns0:rPr>
        <ns0:t xml:space="preserve">1.87.sif</ns0:t>
      </ns0:r>
      <ns0:r>
        <ns0:t xml:space="preserve">, Singularity 3.7.4,</ns0:t>
      </ns0:r>
      <ns0:r>
        <ns0:t xml:space="preserve"> </ns0:t>
      </ns0:r>
      <ns0:r>
        <ns0:rPr>
          <ns0:rStyle ns0:val="VerbatimChar"/>
        </ns0:rPr>
        <ns0:t xml:space="preserve">BuildDatabase</ns0:t>
      </ns0:r>
      <ns0:r>
        <ns0:t xml:space="preserve">, and</ns0:t>
      </ns0:r>
      <ns0:r>
        <ns0:t xml:space="preserve"> </ns0:t>
      </ns0:r>
      <ns0:r>
        <ns0:rPr>
          <ns0:rStyle ns0:val="VerbatimChar"/>
        </ns0:rPr>
        <ns0:t xml:space="preserve">RepeatModeler -threads 32 -LTRStruct -genomeSampleSizeMax 10000000000</ns0:t>
      </ns0:r>
      <ns0:r>
        <ns0:t xml:space="preserve">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[HISTORICAL COMMAND]</ns0:t>
      </ns0:r>
      <ns0:r>
        <ns0:t xml:space="preserve"> </ns0:t>
      </ns0:r>
      <ns0:r>
        <ns0:t xml:space="preserve">CD-HIT-EST:</ns0:t>
      </ns0:r>
      <ns0:r>
        <ns0:t xml:space="preserve"> </ns0:t>
      </ns0:r>
      <ns0:r>
        <ns0:rPr>
          <ns0:rStyle ns0:val="VerbatimChar"/>
        </ns0:rPr>
        <ns0:t xml:space="preserve">-aS 0.8 -c 0.8 -G 0 -g 1 -b 500 -T 64 -M 500000</ns0:t>
      </ns0:r>
      <ns0:r>
        <ns0:t xml:space="preserve">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Confirm the checksum lineage from the CD-HIT product to</ns0:t>
      </ns0:r>
      <ns0:r>
        <ns0:t xml:space="preserve"> </ns0:t>
      </ns0:r>
      <ns0:r>
        <ns0:rPr>
          <ns0:rStyle ns0:val="VerbatimChar"/>
        </ns0:rPr>
        <ns0:t xml:space="preserve">/nfs/home/jlamb/TE_libs/dedupe_telib.fasta</ns0:t>
      </ns0:r>
      <ns0:r>
        <ns0:t xml:space="preserve">; the repository does not prove that identity.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[HISTORICAL COMMAND]</ns0:t>
      </ns0:r>
      <ns0:r>
        <ns0:t xml:space="preserve"> </ns0:t>
      </ns0:r>
      <ns0:r>
        <ns0:t xml:space="preserve">dnaPipeTE: Singularity 4.1.2; 16 CPUs; nuclear-filtered mate 1; configured 15-Gb genome-size denominator; 0.1× target coverage;</ns0:t>
      </ns0:r>
      <ns0:r>
        <ns0:t xml:space="preserve"> </ns0:t>
      </ns0:r>
      <ns0:r>
        <ns0:rPr>
          <ns0:rStyle ns0:val="VerbatimChar"/>
        </ns0:rPr>
        <ns0:t xml:space="preserve">RM_t=0.15</ns0:t>
      </ns0:r>
      <ns0:r>
        <ns0:t xml:space="preserve">; two internal samples; custom</ns0:t>
      </ns0:r>
      <ns0:r>
        <ns0:t xml:space="preserve"> </ns0:t>
      </ns0:r>
      <ns0:r>
        <ns0:rPr>
          <ns0:rStyle ns0:val="VerbatimChar"/>
        </ns0:rPr>
        <ns0:t xml:space="preserve">dedupe_telib.fasta</ns0:t>
      </ns0:r>
      <ns0:r>
        <ns0:t xml:space="preserve">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The configured 15-Gb dnaPipeTE denominator is a sensitivity setting, not a measured genome size or validated absolute TE load.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Stored dnaPipeTE components were parsed to class, order, and superfamily; aligned bases define total, retained, and unresolved repeat mass for S06-S07 dnaPipeTE quality control. Unresolved aligned-base mass was excluded from diversity calculations.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RepeatMasker</ns0:t>
      </ns0:r>
      <ns0:r>
        <ns0:t xml:space="preserve"> </ns0:t>
      </ns0:r>
      <ns0:r>
        <ns0:rPr>
          <ns0:rStyle ns0:val="VerbatimChar"/>
        </ns0:rPr>
        <ns0:t xml:space="preserve">.align</ns0:t>
      </ns0:r>
      <ns0:r>
        <ns0:t xml:space="preserve"> </ns0:t>
      </ns0:r>
      <ns0:r>
        <ns0:t xml:space="preserve">inputs describe dnaPipeTE</ns0:t>
      </ns0:r>
      <ns0:r>
        <ns0:t xml:space="preserve"> </ns0:t>
      </ns0:r>
      <ns0:r>
        <ns0:rPr>
          <ns0:rStyle ns0:val="VerbatimChar"/>
        </ns0:rPr>
        <ns0:t xml:space="preserve">Trinity.fasta</ns0:t>
      </ns0:r>
      <ns0:r>
        <ns0:t xml:space="preserve"> </ns0:t>
      </ns0:r>
      <ns0:r>
        <ns0:t xml:space="preserve">repeat-contig assemblies, not the accession-linked GCA assemblies.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Supply dnaPipeTE version/commit, container digest, custom-library checksum, random-seed/iteration details, Trinity settings, RepeatMasker version/search engine/options/library release, and complete command logs.</ns0:t>
      </ns0:r>
    </ns0:p>
    <ns0:bookmarkEnd ns0:id="21"/>
    <ns0:bookmarkStart ns0:id="22" ns0:name="X4aafe0737017d642b065b5b0f4a8b67c0b94767"/>
    <ns0:p>
      <ns0:pPr>
        <ns0:pStyle ns0:val="Heading2"/>
      </ns0:pPr>
      <ns0:r>
        <ns0:t xml:space="preserve">3. TE composition, diversity, repeat landscapes, and LTR proxy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Diversity was calculated separately at order and superfamily level after each species’ classified categories were reclosed to one. S08 is one 68-row, five-column table with 34 order-level and 34 superfamily-level rows. The order-level stratum is the primary paper-facing diversity analysis, and the superfamily-level stratum is a sensitivity/audit view.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Only exact-positive bins entered the formulas. Natural-log Shannon entropy was</ns0:t>
      </ns0:r>
      <ns0:r>
        <ns0:t xml:space="preserve"> </ns0:t>
      </ns0:r>
      <ns0:r>
        <ns0:rPr>
          <ns0:rStyle ns0:val="VerbatimChar"/>
        </ns0:rPr>
        <ns0:t xml:space="preserve">H′ = −Σpᵢ ln(pᵢ)</ns0:t>
      </ns0:r>
      <ns0:r>
        <ns0:t xml:space="preserve"> </ns0:t>
      </ns0:r>
      <ns0:r>
        <ns0:t xml:space="preserve">and the explicitly named Gini-Simpson index was</ns0:t>
      </ns0:r>
      <ns0:r>
        <ns0:t xml:space="preserve"> </ns0:t>
      </ns0:r>
      <ns0:r>
        <ns0:rPr>
          <ns0:rStyle ns0:val="VerbatimChar"/>
        </ns0:rPr>
        <ns0:t xml:space="preserve">1 − Σpᵢ²</ns0:t>
      </ns0:r>
      <ns0:r>
        <ns0:t xml:space="preserve">. These are the only paper-facing diversity indices. Observed richness is retained as an audit/support count,</ns0:t>
      </ns0:r>
      <ns0:r>
        <ns0:t xml:space="preserve"> </ns0:t>
      </ns0:r>
      <ns0:r>
        <ns0:rPr>
          <ns0:rStyle ns0:val="VerbatimChar"/>
        </ns0:rPr>
        <ns0:t xml:space="preserve">S = count(pᵢ &gt; 0)</ns0:t>
      </ns0:r>
      <ns0:r>
        <ns0:t xml:space="preserve">, not as a diversity endpoint.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Unresolved aligned-base mass remains only in S06-S07 dnaPipeTE quality-control tables and does not enter S08 diversity. Rare classified features excluded from the shared-feature PCA remain in both order- and superfamily-level diversity calculations.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TE34 superfamily PCA: retain features with positive abundance in all 34 species after same-species retry averaging; close rows; apply CLR; center columns; fit without post-CLR variance scaling; orient each axis so its largest absolute loading is positive. The retained matrix contains no zeros, so no zero replacement is required.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S09 scores, S10 variance, S11 loadings, and Figure 2 now come from the same retry-averaged 24-feature CLR-PCA fit.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Formal clustering audit used all 23 nonzero, unscaled PCA axes, which preserve the complete 24-feature CLR/Aitchison distances; PC1–PC2 and PC1–PC6 fits were sensitivity analyses rather than the selection surface.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K-means diagnostics covered</ns0:t>
      </ns0:r>
      <ns0:r>
        <ns0:t xml:space="preserve"> </ns0:t>
      </ns0:r>
      <ns0:r>
        <ns0:rPr>
          <ns0:rStyle ns0:val="VerbatimChar"/>
        </ns0:rPr>
        <ns0:t xml:space="preserve">k = 1…8</ns0:t>
      </ns0:r>
      <ns0:r>
        <ns0:t xml:space="preserve"> </ns0:t>
      </ns0:r>
      <ns0:r>
        <ns0:t xml:space="preserve">with 1,000 starts. The primary gap statistic used 1,000 scaled-PCA null datasets, squared Euclidean dispersion, the Tibshirani one-standard-error selector, and seed 20260810.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No discrete cluster solution passed the rebuild gates. Gap selected</ns0:t>
      </ns0:r>
      <ns0:r>
        <ns0:t xml:space="preserve"> </ns0:t>
      </ns0:r>
      <ns0:r>
        <ns0:rPr>
          <ns0:rStyle ns0:val="VerbatimChar"/>
        </ns0:rPr>
        <ns0:t xml:space="preserve">k=1</ns0:t>
      </ns0:r>
      <ns0:r>
        <ns0:t xml:space="preserve">; maximum silhouette selected a weak</ns0:t>
      </ns0:r>
      <ns0:r>
        <ns0:t xml:space="preserve"> </ns0:t>
      </ns0:r>
      <ns0:r>
        <ns0:rPr>
          <ns0:rStyle ns0:val="VerbatimChar"/>
        </ns0:rPr>
        <ns0:t xml:space="preserve">k=7</ns0:t>
      </ns0:r>
      <ns0:r>
        <ns0:t xml:space="preserve"> </ns0:t>
      </ns0:r>
      <ns0:r>
        <ns0:t xml:space="preserve">solution with two singleton clusters; the only singleton-free candidate was</ns0:t>
      </ns0:r>
      <ns0:r>
        <ns0:t xml:space="preserve"> </ns0:t>
      </ns0:r>
      <ns0:r>
        <ns0:rPr>
          <ns0:rStyle ns0:val="VerbatimChar"/>
        </ns0:rPr>
        <ns0:t xml:space="preserve">k=2</ns0:t>
      </ns0:r>
      <ns0:r>
        <ns0:t xml:space="preserve"> </ns0:t>
      </ns0:r>
      <ns0:r>
        <ns0:t xml:space="preserve">(9/25 species, mean silhouette 0.179) and was unstable under 28-of-34 species subsampling (median adjusted Rand index -0.042).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The clustering gates were adopted during this post-hoc rebuild, not preregistered. Candidate</ns0:t>
      </ns0:r>
      <ns0:r>
        <ns0:t xml:space="preserve"> </ns0:t>
      </ns0:r>
      <ns0:r>
        <ns0:rPr>
          <ns0:rStyle ns0:val="VerbatimChar"/>
        </ns0:rPr>
        <ns0:t xml:space="preserve">k=2</ns0:t>
      </ns0:r>
      <ns0:r>
        <ns0:t xml:space="preserve"> </ns0:t>
      </ns0:r>
      <ns0:r>
        <ns0:t xml:space="preserve">and</ns0:t>
      </ns0:r>
      <ns0:r>
        <ns0:t xml:space="preserve"> </ns0:t>
      </ns0:r>
      <ns0:r>
        <ns0:rPr>
          <ns0:rStyle ns0:val="VerbatimChar"/>
        </ns0:rPr>
        <ns0:t xml:space="preserve">k=7</ns0:t>
      </ns0:r>
      <ns0:r>
        <ns0:t xml:space="preserve"> </ns0:t>
      </ns0:r>
      <ns0:r>
        <ns0:t xml:space="preserve">assignments are retained as rejected audit outputs and must not be described as supported biological clusters.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Full 24-feature composition showed multivariate phylogenetic signal under Adams’</ns0:t>
      </ns0:r>
      <ns0:r>
        <ns0:t xml:space="preserve"> </ns0:t>
      </ns0:r>
      <ns0:r>
        <ns0:rPr>
          <ns0:rStyle ns0:val="VerbatimChar"/>
        </ns0:rPr>
        <ns0:t xml:space="preserve">K_mult</ns0:t>
      </ns0:r>
      <ns0:r>
        <ns0:t xml:space="preserve"> </ns0:t>
      </ns0:r>
      <ns0:r>
        <ns0:t xml:space="preserve">with 99,999 complete-vector tip permutations:</ns0:t>
      </ns0:r>
      <ns0:r>
        <ns0:t xml:space="preserve"> </ns0:t>
      </ns0:r>
      <ns0:r>
        <ns0:rPr>
          <ns0:rStyle ns0:val="VerbatimChar"/>
        </ns0:rPr>
        <ns0:t xml:space="preserve">K_mult = 0.6581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p = 0.00001</ns0:t>
      </ns0:r>
      <ns0:r>
        <ns0:t xml:space="preserve">. Because</ns0:t>
      </ns0:r>
      <ns0:r>
        <ns0:t xml:space="preserve"> </ns0:t>
      </ns0:r>
      <ns0:r>
        <ns0:rPr>
          <ns0:rStyle ns0:val="VerbatimChar"/>
        </ns0:rPr>
        <ns0:t xml:space="preserve">K_mult &lt; 1</ns0:t>
      </ns0:r>
      <ns0:r>
        <ns0:t xml:space="preserve">, signal was weaker than Brownian-motion expectation even though it exceeded the randomized-tip null.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Post-hoc reproductive-strategy PERMANOVA used the full Aitchison distance matrix for 33 coded TE34 species and 99,999 label permutations:</ns0:t>
      </ns0:r>
      <ns0:r>
        <ns0:t xml:space="preserve"> </ns0:t>
      </ns0:r>
      <ns0:r>
        <ns0:rPr>
          <ns0:rStyle ns0:val="VerbatimChar"/>
        </ns0:rPr>
        <ns0:t xml:space="preserve">R² = 0.2624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p = 0.00001</ns0:t>
      </ns0:r>
      <ns0:r>
        <ns0:t xml:space="preserve">; the spatial-median, bias-adjusted PERMDISP diagnostic was not significant (</ns0:t>
      </ns0:r>
      <ns0:r>
        <ns0:rPr>
          <ns0:rStyle ns0:val="VerbatimChar"/>
        </ns0:rPr>
        <ns0:t xml:space="preserve">p = 0.6763</ns0:t>
      </ns0:r>
      <ns0:r>
        <ns0:t xml:space="preserve">).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Holm-adjusted post-hoc contrasts supported direct development versus aquatic larvae (</ns0:t>
      </ns0:r>
      <ns0:r>
        <ns0:rPr>
          <ns0:rStyle ns0:val="VerbatimChar"/>
        </ns0:rPr>
        <ns0:t xml:space="preserve">R² = 0.1217</ns0:t>
      </ns0:r>
      <ns0:r>
        <ns0:t xml:space="preserve">, adjusted</ns0:t>
      </ns0:r>
      <ns0:r>
        <ns0:t xml:space="preserve"> </ns0:t>
      </ns0:r>
      <ns0:r>
        <ns0:rPr>
          <ns0:rStyle ns0:val="VerbatimChar"/>
        </ns0:rPr>
        <ns0:t xml:space="preserve">p = 0.00045</ns0:t>
      </ns0:r>
      <ns0:r>
        <ns0:t xml:space="preserve">) and aquatic versus terrestrial eggs among aquatic-larval species (</ns0:t>
      </ns0:r>
      <ns0:r>
        <ns0:rPr>
          <ns0:rStyle ns0:val="VerbatimChar"/>
        </ns0:rPr>
        <ns0:t xml:space="preserve">R² = 0.1691</ns0:t>
      </ns0:r>
      <ns0:r>
        <ns0:t xml:space="preserve">, adjusted</ns0:t>
      </ns0:r>
      <ns0:r>
        <ns0:t xml:space="preserve"> </ns0:t>
      </ns0:r>
      <ns0:r>
        <ns0:rPr>
          <ns0:rStyle ns0:val="VerbatimChar"/>
        </ns0:rPr>
        <ns0:t xml:space="preserve">p = 0.00002</ns0:t>
      </ns0:r>
      <ns0:r>
        <ns0:t xml:space="preserve">).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In a marginal size sensitivity on 33 complete species, reproductive strategy remained associated after log10 maximum SVL (</ns0:t>
      </ns0:r>
      <ns0:r>
        <ns0:rPr>
          <ns0:rStyle ns0:val="VerbatimChar"/>
        </ns0:rPr>
        <ns0:t xml:space="preserve">R² = 0.1991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p = 0.00001</ns0:t>
      </ns0:r>
      <ns0:r>
        <ns0:t xml:space="preserve">), whereas SVL added no marginal association after strategy (</ns0:t>
      </ns0:r>
      <ns0:r>
        <ns0:rPr>
          <ns0:rStyle ns0:val="VerbatimChar"/>
        </ns0:rPr>
        <ns0:t xml:space="preserve">R² = 0.0205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p = 0.5717</ns0:t>
      </ns0:r>
      <ns0:r>
        <ns0:t xml:space="preserve">).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Reproductive strategy was supplied after expert review of the initial PCA, so these are post-hoc species-level associations. Ordinary label permutations do not correct for shared phylogeny, and the source tree’s citation/calibration provenance remains unresolved.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PCA is an exploratory ordination, not a causal predictor. Continuous phylogenetic or trait structure does not imply stable discrete clusters.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Corrected RepeatMasker substrate: 9,533,364 hits and 2,135,413,681 inclusive aligned bp across 34 species.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Hit length:</ns0:t>
      </ns0:r>
      <ns0:r>
        <ns0:t xml:space="preserve"> </ns0:t>
      </ns0:r>
      <ns0:r>
        <ns0:rPr>
          <ns0:rStyle ns0:val="VerbatimChar"/>
        </ns0:rPr>
        <ns0:t xml:space="preserve">abs(query_end − query_start) + 1</ns0:t>
      </ns0:r>
      <ns0:r>
        <ns0:t xml:space="preserve">; invalid divergence/length rows excluded; reported divergence floored into one-percentage-point bins with a terminal 50% bin.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Each species was normalized by its total inclusive aligned RepeatMasker hit bp.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Across-species landscape means zero-fill every species/category/bin combination before equal-weight averaging across TE34.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Landscape fractions describe aligned repeat annotations—not genome occupancy, insertion counts, direct insertion ages, interval-deduplicated coverage, or evolutionary rates.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rPr>
          <ns0:rStyle ns0:val="VerbatimChar"/>
        </ns0:rPr>
        <ns0:t xml:space="preserve">Unclassified</ns0:t>
      </ns0:r>
      <ns0:r>
        <ns0:t xml:space="preserve"> </ns0:t>
      </ns0:r>
      <ns0:r>
        <ns0:t xml:space="preserve">is an accounting/annotation category, not a biological TE order.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LTR candidates: at least 3,000 bp; exact sequence-coordinate TEsorter joins; TEsorter</ns0:t>
      </ns0:r>
      <ns0:r>
        <ns0:t xml:space="preserve"> </ns0:t>
      </ns0:r>
      <ns0:r>
        <ns0:rPr>
          <ns0:rStyle ns0:val="VerbatimChar"/>
        </ns0:rPr>
        <ns0:t xml:space="preserve">Order = LTR</ns0:t>
      </ns0:r>
      <ns0:r>
        <ns0:t xml:space="preserve">,</ns0:t>
      </ns0:r>
      <ns0:r>
        <ns0:t xml:space="preserve"> </ns0:t>
      </ns0:r>
      <ns0:r>
        <ns0:rPr>
          <ns0:rStyle ns0:val="VerbatimChar"/>
        </ns0:rPr>
        <ns0:t xml:space="preserve">Superfamily = Gypsy</ns0:t>
      </ns0:r>
      <ns0:r>
        <ns0:t xml:space="preserve">, and at least five whitespace-delimited</ns0:t>
      </ns0:r>
      <ns0:r>
        <ns0:t xml:space="preserve"> </ns0:t>
      </ns0:r>
      <ns0:r>
        <ns0:rPr>
          <ns0:rStyle ns0:val="VerbatimChar"/>
        </ns0:rPr>
        <ns0:t xml:space="preserve">DOMAIN|MODEL</ns0:t>
      </ns0:r>
      <ns0:r>
        <ns0:t xml:space="preserve"> </ns0:t>
      </ns0:r>
      <ns0:r>
        <ns0:t xml:space="preserve">annotations.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[HISTORICAL COMMAND]</ns0:t>
      </ns0:r>
      <ns0:r>
        <ns0:t xml:space="preserve"> </ns0:t>
      </ns0:r>
      <ns0:r>
        <ns0:t xml:space="preserve">Paired, trimmed, mitochondrial-filtered reads were mapped to the corresponding per-species LTR contigs with Bowtie2</ns0:t>
      </ns0:r>
      <ns0:r>
        <ns0:t xml:space="preserve"> </ns0:t>
      </ns0:r>
      <ns0:r>
        <ns0:rPr>
          <ns0:rStyle ns0:val="VerbatimChar"/>
        </ns0:rPr>
        <ns0:t xml:space="preserve">-L 20 --very-sensitive-local</ns0:t>
      </ns0:r>
      <ns0:r>
        <ns0:t xml:space="preserve">; SAMtools was then used for BAM conversion, sorting, indexing, and per-position depth.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Bowtie2 and SAMtools versions, MAPQ threshold, multimapper handling, secondary/supplementary-alignment handling, and duplicate policy remain unresolved; do not infer them from the stored depth products.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Regional depth retains unreported and explicit zero-depth positions as zero.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Historical LTR audit: an archived delimiter bug treated 1,088 rows as five/six-domain candidates; two truncated depth files were excluded, leaving 1,086 usable rows preserved in S14. Correct parsing yields 408 eligible LTR/Gypsy elements with at least five domains across 30 species.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Primary LTR branch: 381 of 408 eligible elements are retained by the required within-species two-sided 1.5-IQR rule; 407 independently pass the 80% regional positive-depth gate; their intersection contains 380 primary elements across all 30 species.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The 80% branch requires positive read depth at</ns0:t>
      </ns0:r>
      <ns0:r>
        <ns0:t xml:space="preserve"> </ns0:t>
      </ns0:r>
      <ns0:r>
        <ns0:rPr>
          <ns0:rStyle ns0:val="VerbatimChar"/>
        </ns0:rPr>
        <ns0:t xml:space="preserve">≥ 0.8</ns0:t>
      </ns0:r>
      <ns0:r>
        <ns0:t xml:space="preserve"> </ns0:t>
      </ns0:r>
      <ns0:r>
        <ns0:t xml:space="preserve">of expected positions separately in the left LTR, right LTR, and internal region. It is not a reporting-completeness filter; every usable depth file reports all expected positions.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Species summaries: median, geometric mean, trimmed/winsorized estimates, 2,000 bootstrap replicates, and leave-one-element-out influence.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The original analysis notebook used an inclusive, within-species, two-sided Tukey filter (</ns0:t>
      </ns0:r>
      <ns0:r>
        <ns0:rPr>
          <ns0:rStyle ns0:val="VerbatimChar"/>
        </ns0:rPr>
        <ns0:t xml:space="preserve">Q1 − 1.5 × IQR ≤ ratio ≤ Q3 + 1.5 × IQR</ns0:t>
      </ns0:r>
      <ns0:r>
        <ns0:t xml:space="preserve">). In the corrected zero-aware release, fences are recalculated within species over the 408 eligible elements before intersection with the independently declared 80% gate. S14 retains all 1,086 usable historical rows and marks the 678 ineligible rows explicitly; filtering changes primary branch membership rather than deleting audit evidence.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A later July 2026 compound one-element screen is not the original IQR method and is retained only as a retired provenance reconstruction.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Terminal:internal depth is a mapping/deletion-footprint proxy—not an ectopic-recombination, solo-LTR, or DNA-loss rate.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Integrated overlap21 sensitivity: full classified-superfamily Shannon entropy joined to relative nuclear IOD; historical salamander points are excluded from the publication-facing table.</ns0:t>
      </ns0:r>
    </ns0:p>
    <ns0:bookmarkEnd ns0:id="22"/>
    <ns0:bookmarkStart ns0:id="23" ns0:name="X418d70166f7b6fd561d4cca42475e119c87a889"/>
    <ns0:p>
      <ns0:pPr>
        <ns0:pStyle ns0:val="Heading2"/>
      </ns0:pPr>
      <ns0:r>
        <ns0:t xml:space="preserve">4. Specimen preparation, microscopy, and image-based phenotyping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Each</ns0:t>
      </ns0:r>
      <ns0:r>
        <ns0:t xml:space="preserve"> </ns0:t>
      </ns0:r>
      <ns0:r>
        <ns0:rPr>
          <ns0:rStyle ns0:val="VerbatimChar"/>
        </ns0:rPr>
        <ns0:t xml:space="preserve">specimen_id</ns0:t>
      </ns0:r>
      <ns0:r>
        <ns0:t xml:space="preserve"> </ns0:t>
      </ns0:r>
      <ns0:r>
        <ns0:t xml:space="preserve">represents one individual animal; images and measured objects sharing a</ns0:t>
      </ns0:r>
      <ns0:r>
        <ns0:t xml:space="preserve"> </ns0:t>
      </ns0:r>
      <ns0:r>
        <ns0:rPr>
          <ns0:rStyle ns0:val="VerbatimChar"/>
        </ns0:rPr>
        <ns0:t xml:space="preserve">specimen_id</ns0:t>
      </ns0:r>
      <ns0:r>
        <ns0:t xml:space="preserve"> </ns0:t>
      </ns0:r>
      <ns0:r>
        <ns0:t xml:space="preserve">are repeated observations from that animal, not independent biological replicates.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The active releases contain 42 animals in the cell–nucleus morphology stream and 50 in the nuclear-IOD stream: 41 occur in both streams, for 51 distinct animals across their union.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All animals used for erythrocyte collection were fixed in ethanol before collection; there was no live-specimen collection group.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Erythrocytes were collected from a heart incision using a pipette.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The collected erythrocytes were pipetted onto the center of the slide.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Ethanol concentration and fixation/storage duration; anticoagulant/concentration; volume; time to smear; storage temperature.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Slides were stained with Feulgen–Schiff reagent following the protocol in Hardie, Gregory, and Hebert (2002),</ns0:t>
      </ns0:r>
      <ns0:r>
        <ns0:t xml:space="preserve"> </ns0:t>
      </ns0:r>
      <ns0:r>
        <ns0:rPr>
          <ns0:i/>
          <ns0:iCs/>
        </ns0:rPr>
        <ns0:t xml:space="preserve">From Pixels to Picograms: A Beginners’ Guide to Genome Quantification by Feulgen Image Analysis Densitometry</ns0:t>
      </ns0:r>
      <ns0:r>
        <ns0:t xml:space="preserve"> </ns0:t>
      </ns0:r>
      <ns0:r>
        <ns0:t xml:space="preserve">(doi:</ns0:t>
      </ns0:r>
      <ns0:r>
        <ns0:t xml:space="preserve"> </ns0:t>
      </ns0:r>
      <ns0:r>
        <ns0:rPr>
          <ns0:rStyle ns0:val="VerbatimChar"/>
        </ns0:rPr>
        <ns0:t xml:space="preserve">10.1177/002215540205000601</ns0:t>
      </ns0:r>
      <ns0:r>
        <ns0:t xml:space="preserve">).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Slides were imaged with an Olympus APX100 using a 40× objective.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Cellpose was used for cell segmentation and YOLO was used for nucleus segmentation.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 COMPUTATIONAL]</ns0:t>
      </ns0:r>
      <ns0:r>
        <ns0:t xml:space="preserve"> </ns0:t>
      </ns0:r>
      <ns0:r>
        <ns0:t xml:space="preserve">The preserved masks retain source-image, tile, mask, centroid, overlap, and object-level traceability.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Confirm Cellpose/YOLO versions, exact model weights/checksums, training lineage, inference thresholds, and which checkpoint generated each archived mask set.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Eligibility required a valid physical one-to-one cell–nucleus pair, accepted/core flags, no edge touch, positive area/IOD fields, high overlap support, and no suspect/discard flags.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Eligible cells were ranked within species by descending cell area.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Cell and nucleus masks were manually reviewed, and rejected candidates were replaced by the next-largest eligible accepted cell.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The sampling target was the 50 largest accepted cells per species.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Cell selection estimates the upper tail of detected eligible erythrocytes, not the population-average cell.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Accepted masks were used to calculate cell area, nucleus area, and nuclear IOD.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Final morphology panel: 1,152 reviewed cell–nucleus pairs across Path24; 21 species contributed 50,</ns0:t>
      </ns0:r>
      <ns0:r>
        <ns0:t xml:space="preserve"> </ns0:t>
      </ns0:r>
      <ns0:r>
        <ns0:rPr>
          <ns0:i/>
          <ns0:iCs/>
        </ns0:rPr>
        <ns0:t xml:space="preserve">D. aeneus</ns0:t>
      </ns0:r>
      <ns0:r>
        <ns0:t xml:space="preserve"> </ns0:t>
      </ns0:r>
      <ns0:r>
        <ns0:t xml:space="preserve">44,</ns0:t>
      </ns0:r>
      <ns0:r>
        <ns0:t xml:space="preserve"> </ns0:t>
      </ns0:r>
      <ns0:r>
        <ns0:rPr>
          <ns0:i/>
          <ns0:iCs/>
        </ns0:rPr>
        <ns0:t xml:space="preserve">D. orestes</ns0:t>
      </ns0:r>
      <ns0:r>
        <ns0:t xml:space="preserve"> </ns0:t>
      </ns0:r>
      <ns0:r>
        <ns0:t xml:space="preserve">50, and</ns0:t>
      </ns0:r>
      <ns0:r>
        <ns0:t xml:space="preserve"> </ns0:t>
      </ns0:r>
      <ns0:r>
        <ns0:rPr>
          <ns0:i/>
          <ns0:iCs/>
        </ns0:rPr>
        <ns0:t xml:space="preserve">D. wrighti</ns0:t>
      </ns0:r>
      <ns0:r>
        <ns0:t xml:space="preserve"> </ns0:t>
      </ns0:r>
      <ns0:r>
        <ns0:t xml:space="preserve">8.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Cell and nucleus areas derive from mask pixels using the stored</ns0:t>
      </ns0:r>
      <ns0:r>
        <ns0:t xml:space="preserve"> </ns0:t>
      </ns0:r>
      <ns0:r>
        <ns0:rPr>
          <ns0:rStyle ns0:val="VerbatimChar"/>
        </ns0:rPr>
        <ns0:t xml:space="preserve">0.12 µm/pixel</ns0:t>
      </ns0:r>
      <ns0:r>
        <ns0:t xml:space="preserve"> </ns0:t>
      </ns0:r>
      <ns0:r>
        <ns0:t xml:space="preserve">linear scale (</ns0:t>
      </ns0:r>
      <ns0:r>
        <ns0:rPr>
          <ns0:rStyle ns0:val="VerbatimChar"/>
        </ns0:rPr>
        <ns0:t xml:space="preserve">0.0144 µm²</ns0:t>
      </ns0:r>
      <ns0:r>
        <ns0:t xml:space="preserve"> </ns0:t>
      </ns0:r>
      <ns0:r>
        <ns0:t xml:space="preserve">per pixel); species summaries use medians and conditional paired-object bootstrap intervals.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Morphology contains 42 animals. Seven species are represented by one animal (</ns0:t>
      </ns0:r>
      <ns0:r>
        <ns0:rPr>
          <ns0:i/>
          <ns0:iCs/>
        </ns0:rPr>
        <ns0:t xml:space="preserve">D. anicetus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apalachicolae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auriculatus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bairdi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gvnigeusgwotli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intermedius</ns0:t>
      </ns0:r>
      <ns0:r>
        <ns0:t xml:space="preserve">, and</ns0:t>
      </ns0:r>
      <ns0:r>
        <ns0:t xml:space="preserve"> </ns0:t>
      </ns0:r>
      <ns0:r>
        <ns0:rPr>
          <ns0:i/>
          <ns0:iCs/>
        </ns0:rPr>
        <ns0:t xml:space="preserve">D. perlapsus</ns0:t>
      </ns0:r>
      <ns0:r>
        <ns0:t xml:space="preserve">); S19 records animals per species and the largest single-animal contribution.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Morphology intervals resample accepted objects conditional on the observed images and animals. They do not estimate population-level among-animal uncertainty, and high contribution from one animal remains visible rather than being treated as independent replication.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Pixel optical density:</ns0:t>
      </ns0:r>
      <ns0:r>
        <ns0:t xml:space="preserve"> </ns0:t>
      </ns0:r>
      <ns0:r>
        <ns0:rPr>
          <ns0:rStyle ns0:val="VerbatimChar"/>
        </ns0:rPr>
        <ns0:t xml:space="preserve">log10(I_background / intensity)</ns0:t>
      </ns0:r>
      <ns0:r>
        <ns0:t xml:space="preserve">; nuclear IOD: sum across nuclear-mask pixels.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IOD matching used log edge sharpness and log relative ring noise; IOD, darkness, nucleus area, and cell area were excluded from matching.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Final IOD panel: 805 reviewed nuclei across 24 species, 51 images, and 50 specimens.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Species IOD estimate: arithmetic mean of image-specific median per-nucleus IOD values; hierarchical bootstrap resampled images and then nuclei within images; 2,000 replicates; seed 20260710. Dividing all 24 estimates and interval bounds by the Path24 median anchor (</ns0:t>
      </ns0:r>
      <ns0:r>
        <ns0:rPr>
          <ns0:rStyle ns0:val="VerbatimChar"/>
        </ns0:rPr>
        <ns0:t xml:space="preserve">950.176112815</ns0:t>
      </ns0:r>
      <ns0:r>
        <ns0:t xml:space="preserve">) gives the primary relative-IOD index.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S23 (</ns0:t>
      </ns0:r>
      <ns0:r>
        <ns0:rPr>
          <ns0:rStyle ns0:val="VerbatimChar"/>
        </ns0:rPr>
        <ns0:t xml:space="preserve">nuclear_iod_by_image.csv</ns0:t>
      </ns0:r>
      <ns0:r>
        <ns0:t xml:space="preserve">) is the unnormalized 51-image aggregation audit. Its image medians and means are not relative indices or ratios.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The declared IOD quality-balance gate is maximum absolute standardized mean difference</ns0:t>
      </ns0:r>
      <ns0:r>
        <ns0:t xml:space="preserve"> </ns0:t>
      </ns0:r>
      <ns0:r>
        <ns0:rPr>
          <ns0:rStyle ns0:val="VerbatimChar"/>
        </ns0:rPr>
        <ns0:t xml:space="preserve">≤ 0.10</ns0:t>
      </ns0:r>
      <ns0:r>
        <ns0:t xml:space="preserve"> </ns0:t>
      </ns0:r>
      <ns0:r>
        <ns0:t xml:space="preserve">and maximum Kolmogorov–Smirnov distance</ns0:t>
      </ns0:r>
      <ns0:r>
        <ns0:t xml:space="preserve"> </ns0:t>
      </ns0:r>
      <ns0:r>
        <ns0:rPr>
          <ns0:rStyle ns0:val="VerbatimChar"/>
        </ns0:rPr>
        <ns0:t xml:space="preserve">≤ 0.25</ns0:t>
      </ns0:r>
      <ns0:r>
        <ns0:t xml:space="preserve">.</ns0:t>
      </ns0:r>
      <ns0:r>
        <ns0:t xml:space="preserve"> </ns0:t>
      </ns0:r>
      <ns0:r>
        <ns0:rPr>
          <ns0:i/>
          <ns0:iCs/>
        </ns0:rPr>
        <ns0:t xml:space="preserve">D. aeneus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ochrophaeus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orestes</ns0:t>
      </ns0:r>
      <ns0:r>
        <ns0:t xml:space="preserve">, and</ns0:t>
      </ns0:r>
      <ns0:r>
        <ns0:t xml:space="preserve"> </ns0:t>
      </ns0:r>
      <ns0:r>
        <ns0:rPr>
          <ns0:i/>
          <ns0:iCs/>
        </ns0:rPr>
        <ns0:t xml:space="preserve">D. wrighti</ns0:t>
      </ns0:r>
      <ns0:r>
        <ns0:t xml:space="preserve"> </ns0:t>
      </ns0:r>
      <ns0:r>
        <ns0:t xml:space="preserve">fail this gate and remain visibly flagged rather than silently removed.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rPr>
          <ns0:i/>
          <ns0:iCs/>
        </ns0:rPr>
        <ns0:t xml:space="preserve">D. anicetus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D. bairdi</ns0:t>
      </ns0:r>
      <ns0:r>
        <ns0:t xml:space="preserve">, and</ns0:t>
      </ns0:r>
      <ns0:r>
        <ns0:t xml:space="preserve"> </ns0:t>
      </ns0:r>
      <ns0:r>
        <ns0:rPr>
          <ns0:i/>
          <ns0:iCs/>
        </ns0:rPr>
        <ns0:t xml:space="preserve">D. gvnigeusgwotli</ns0:t>
      </ns0:r>
      <ns0:r>
        <ns0:t xml:space="preserve"> </ns0:t>
      </ns0:r>
      <ns0:r>
        <ns0:t xml:space="preserve">each have one IOD image from one animal. Point shape exposes this support limitation in Figure 6.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Primary variable is relative image-derived nuclear IOD. Process_413/specimen 32469 and Process_414/specimen 32470 were the </ns0:t>
      </ns0:r>
      <ns0:r>
        <ns0:t xml:space="preserve"> </ns0:t>
      </ns0:r>
      <ns0:r>
        <ns0:rPr>
          <ns0:i/>
          <ns0:iCs/>
        </ns0:rPr>
        <ns0:t xml:space="preserve">D. fuscus</ns0:t>
      </ns0:r>
      <ns0:r>
        <ns0:t xml:space="preserve"> </ns0:t>
      </ns0:r>
      <ns0:r>
        <ns0:t xml:space="preserve">standards and were stained in the same experimental runs as the unknowns. The separate descriptive scale uses the published pooled D. fuscus assembly estimate of 16.1 Gbp, converted with 1 pg = 0.978 Gbp to 16.462167689 pg/1C. This assembly-derived anchor remains conditional pending the exact standard-to-target run map and standard-slide QC; it is not an independently validated C-value.</ns0:t>
      </ns0:r>
    </ns0:p>
    <ns0:bookmarkEnd ns0:id="23"/>
    <ns0:bookmarkStart ns0:id="24" ns0:name="phylogenetic-comparative-analyses"/>
    <ns0:p>
      <ns0:pPr>
        <ns0:pStyle ns0:val="Heading2"/>
      </ns0:pPr>
      <ns0:r>
        <ns0:t xml:space="preserve">5. Phylogenetic comparative analyses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[AUTHOR CONFIRMED]</ns0:t>
      </ns0:r>
      <ns0:r>
        <ns0:t xml:space="preserve"> </ns0:t>
      </ns0:r>
      <ns0:r>
        <ns0:t xml:space="preserve">The focal time-calibrated</ns0:t>
      </ns0:r>
      <ns0:r>
        <ns0:t xml:space="preserve"> </ns0:t>
      </ns0:r>
      <ns0:r>
        <ns0:rPr>
          <ns0:i/>
          <ns0:iCs/>
        </ns0:rPr>
        <ns0:t xml:space="preserve">Desmognathus</ns0:t>
      </ns0:r>
      <ns0:r>
        <ns0:t xml:space="preserve"> </ns0:t>
      </ns0:r>
      <ns0:r>
        <ns0:t xml:space="preserve">phylogeny was provided directly by Alex Pyron.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Primary phenotype/path analysis uses all 24 finalized species and an exact 24-tip trim of the focal dated tree.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Tree-tip labels were normalized, tips without complete analysis data were removed with</ns0:t>
      </ns0:r>
      <ns0:r>
        <ns0:t xml:space="preserve"> </ns0:t>
      </ns0:r>
      <ns0:r>
        <ns0:rPr>
          <ns0:rStyle ns0:val="VerbatimChar"/>
        </ns0:rPr>
        <ns0:t xml:space="preserve">ape::drop.tip</ns0:t>
      </ns0:r>
      <ns0:r>
        <ns0:t xml:space="preserve">, and resulting single-descendant internal nodes were collapsed; duplicate species tips were not permitted.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The published-tree sensitivity uses 18 species because six Path24 taxa are absent; it does not redefine the primary panel.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Supply the focal-tree publication/archive identifier, calibration method, and branch-length provenance; the collaborator source is now confirmed but these citation details remain unresolved.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Do not restore or use the archived</ns0:t>
      </ns0:r>
      <ns0:r>
        <ns0:t xml:space="preserve"> </ns0:t>
      </ns0:r>
      <ns0:r>
        <ns0:rPr>
          <ns0:rStyle ns0:val="VerbatimChar"/>
        </ns0:rPr>
        <ns0:t xml:space="preserve">results/phylogeny/processed_phylogeny.nwk</ns0:t>
      </ns0:r>
      <ns0:r>
        <ns0:t xml:space="preserve"> </ns0:t>
      </ns0:r>
      <ns0:r>
        <ns0:t xml:space="preserve">for inference; its exact 0.8 branch scaling is undocumented. The active exact tree is</ns0:t>
      </ns0:r>
      <ns0:r>
        <ns0:t xml:space="preserve"> </ns0:t>
      </ns0:r>
      <ns0:r>
        <ns0:rPr>
          <ns0:rStyle ns0:val="VerbatimChar"/>
        </ns0:rPr>
        <ns0:t xml:space="preserve">analyses/03_phylogenetic_path/trees/path24_time_tree.nwk</ns0:t>
      </ns0:r>
      <ns0:r>
        <ns0:t xml:space="preserve">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Positive traits were log10-transformed and sample-standardized before comparative fitting.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 BOUNDARY]</ns0:t>
      </ns0:r>
      <ns0:r>
        <ns0:t xml:space="preserve"> </ns0:t>
      </ns0:r>
      <ns0:r>
        <ns0:t xml:space="preserve">Express the path node as relative nuclear IOD. Its standardized log10 values are numerically identical to those from the conditional</ns0:t>
      </ns0:r>
      <ns0:r>
        <ns0:t xml:space="preserve"> </ns0:t>
      </ns0:r>
      <ns0:r>
        <ns0:rPr>
          <ns0:i/>
          <ns0:iCs/>
        </ns0:rPr>
        <ns0:t xml:space="preserve">D. fuscus</ns0:t>
      </ns0:r>
      <ns0:r>
        <ns0:t xml:space="preserve">-scaled pg column because multiplication by one positive constant cancels during standardization; this does not validate an absolute genome size.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Pagel λ was fitted by maximum likelihood over</ns0:t>
      </ns0:r>
      <ns0:r>
        <ns0:t xml:space="preserve"> </ns0:t>
      </ns0:r>
      <ns0:r>
        <ns0:rPr>
          <ns0:rStyle ns0:val="VerbatimChar"/>
        </ns0:rPr>
        <ns0:t xml:space="preserve">10^-7…1</ns0:t>
      </ns0:r>
      <ns0:r>
        <ns0:t xml:space="preserve">; coefficient uncertainty used residual degrees of freedom, t tests, 95% intervals, and generalized R².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Path design: 25 labeled DAGs; 11 Markov-equivalence classes; ten testable classes; λ primary model; α=0.05; competitive threshold</ns0:t>
      </ns0:r>
      <ns0:r>
        <ns0:t xml:space="preserve"> </ns0:t>
      </ns0:r>
      <ns0:r>
        <ns0:rPr>
          <ns0:rStyle ns0:val="VerbatimChar"/>
        </ns0:rPr>
        <ns0:t xml:space="preserve">ΔCICc ≤ 2</ns0:t>
      </ns0:r>
      <ns0:r>
        <ns0:t xml:space="preserve">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Sensitivity suite already preserved: 250 measurement bootstraps; 24 leave-one-species-out fits; 200 published bootstrap trees; four evolutionary models; 800 simulations.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Saved path runtime: phylopath 1.3.1; phylolm 2.6.5; ape 5.8.1; R 4.4.3.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Path results are exploratory association-model sensitivities; Markov-equivalent arrows cannot be causally oriented from these data.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Analyses using both TE and phenotype evidence must use overlap21; Path24-only morphology/IOD models remain 24 species.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The currently implemented Path24 model contains only relative nuclear IOD, nucleus area, and cell area; TE composition and SVL are not fitted predictors.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[PLANNED — NOT PERFORMED]</ns0:t>
      </ns0:r>
      <ns0:r>
        <ns0:t xml:space="preserve"> </ns0:t>
      </ns0:r>
      <ns0:r>
        <ns0:t xml:space="preserve">The final analysis step may integrate TE composition and collaborator maximum SVL with the morphology/IOD traits on the exact complete-case overlap and a correspondingly pruned tree. Its variables, DAGs, analysis panel, and statistical specification have not yet been selected or fitted.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VerbatimChar"/>
        </ns0:rPr>
        <ns0:t xml:space="preserve">[BOUNDARY]</ns0:t>
      </ns0:r>
      <ns0:r>
        <ns0:t xml:space="preserve"> </ns0:t>
      </ns0:r>
      <ns0:r>
        <ns0:t xml:space="preserve">Do not describe the current three-trait Path24 results as the completed all-data phylogenetic path analysis.</ns0:t>
      </ns0:r>
    </ns0:p>
    <ns0:bookmarkEnd ns0:id="24"/>
    <ns0:bookmarkStart ns0:id="25" ns0:name="software-and-reproducibility"/>
    <ns0:p>
      <ns0:pPr>
        <ns0:pStyle ns0:val="Heading2"/>
      </ns0:pPr>
      <ns0:r>
        <ns0:t xml:space="preserve">6. Software and reproducibility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HPC-derived dnaPipeTE, RepeatModeler, RepeatMasker, LTR discovery/mapping/depth, segmentation, and model-training products were treated as immutable inputs.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Local work was limited to panel joins, retry averaging, summaries, CLR-PCA, statistics, packaging, checksums, and figure rendering.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Release artifacts carry SHA-256 hashes, row/column counts, source paths, and manuscript-use classifications.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[VERIFIED]</ns0:t>
      </ns0:r>
      <ns0:r>
        <ns0:t xml:space="preserve"> </ns0:t>
      </ns0:r>
      <ns0:r>
        <ns0:t xml:space="preserve">Publication figure system: Nimbus Sans; at least 7-pt target text; accessible colors plus shape/line-type redundancy; embedded-font CMYK PDF; review PNG; 300-ppi CMYK TIFF.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[AUTHOR INPUT]</ns0:t>
      </ns0:r>
      <ns0:r>
        <ns0:t xml:space="preserve"> </ns0:t>
      </ns0:r>
      <ns0:r>
        <ns0:t xml:space="preserve">Supply unresolved upstream software versions, original command logs, focal-tree citation, laboratory protocols, and final repository DOI.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[AUTHOR ACTION]</ns0:t>
      </ns0:r>
      <ns0:r>
        <ns0:t xml:space="preserve"> </ns0:t>
      </ns0:r>
      <ns0:r>
        <ns0:t xml:space="preserve">Archive code and underlying data in a persistent DOI-issuing repository; provide accessions/DOIs and dataset citations in the separate Data Availability section.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Style ns0:val="VerbatimChar"/>
        </ns0:rPr>
        <ns0:t xml:space="preserve">[AUTHOR ACTION]</ns0:t>
      </ns0:r>
      <ns0:r>
        <ns0:t xml:space="preserve"> </ns0:t>
      </ns0:r>
      <ns0:r>
        <ns0:t xml:space="preserve">GBE currently requires disclosure of any AI-assisted coding, data processing, proofreading, or language work in the cover letter and Methods and/or Acknowledgements; authors must write and approve the final disclosure.</ns0:t>
      </ns0:r>
    </ns0:p>
    <ns0:bookmarkEnd ns0:id="25"/>
    <ns0:bookmarkStart ns0:id="26" ns0:name="analyses-not-to-rerun"/>
    <ns0:p>
      <ns0:pPr>
        <ns0:pStyle ns0:val="Heading2"/>
      </ns0:pPr>
      <ns0:r>
        <ns0:t xml:space="preserve">Analyses not to rerun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SRA preprocessing or mitochondrial filtering.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RepeatModeler, TE-library construction, or CD-HIT.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dnaPipeTE or RepeatMasker.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DANTE, LTRharvest, LTRdigest, or TEsorter.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Bowtie2/SAMtools LTR mapping or depth generation.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Cell/nucleus model training or segmentation inference.</ns0:t>
      </ns0:r>
    </ns0:p>
    <ns0:p>
      <ns0:pPr>
        <ns0:pStyle ns0:val="Compact"/>
        <ns0:numPr>
          <ns0:ilvl ns0:val="0"/>
          <ns0:numId ns0:val="1008"/>
        </ns0:numPr>
      </ns0:pPr>
      <ns0:r>
        <ns0:t xml:space="preserve">Existing full path-analysis bootstrap, tree-sensitivity, leave-one-out, or simulation suite unless a separate rerun is explicitly authorized.</ns0:t>
      </ns0:r>
    </ns0:p>
    <ns0:bookmarkEnd ns0:id="26"/>
    <ns0:bookmarkEnd ns0:id="27"/>
    <ns0:sectPr ns0:rsidR="00FC693F" ns0:rsidRPr="0006063C" ns0:rsidSect="00034616">
      <ns0:headerReference ns1:id="rId9" ns0:type="default"/>
      <ns0:headerReference ns1:id="rId10" ns0:type="even"/>
      <ns0:footerReference ns1:id="rId11" ns0:type="default"/>
      <ns0:footerReference ns1:id="rId12" ns0:type="even"/>
      <ns0:pgSz ns0:h="15840" ns0:w="12240"/>
      <ns0:pgMar ns0:bottom="1440" ns0:footer="708" ns0:gutter="0" ns0:header="708" ns0:left="1440" ns0:right="1440" ns0:top="1440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16B75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16B75"/>
        <w:sz w:val="17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16B75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16B75"/>
        <w:sz w:val="17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  <w:pBdr>
        <w:bottom w:val="single" w:sz="4" w:space="7" w:color="D4DCE5"/>
      </w:pBdr>
    </w:pPr>
    <w:r>
      <w:rPr>
        <w:rFonts w:ascii="Calibri" w:hAnsi="Calibri"/>
        <w:b/>
        <w:color w:val="616B75"/>
        <w:sz w:val="17"/>
      </w:rPr>
      <w:t>DESMOGNATHUS STUDY  |  MATERIALS AND METHODS OUTLINE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  <w:pBdr>
        <w:bottom w:val="single" w:sz="4" w:space="7" w:color="D4DCE5"/>
      </w:pBdr>
    </w:pPr>
    <w:r>
      <w:rPr>
        <w:rFonts w:ascii="Calibri" w:hAnsi="Calibri"/>
        <w:b/>
        <w:color w:val="616B75"/>
        <w:sz w:val="17"/>
      </w:rPr>
      <w:t>DESMOGNATHUS STUDY  |  MATERIALS AND METHODS OUTLINE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pos="540" w:val="num"/>
        </w:tabs>
        <w:ind w:hanging="270" w:left="540"/>
        <w:spacing w:after="80" w:before="0" w:line="300" w:lineRule="auto"/>
      </w:pPr>
      <w:rPr>
        <w:rFonts w:ascii="Calibri" w:hAnsi="Calibri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20" w:before="0" w:line="300" w:lineRule="auto"/>
    </w:pPr>
    <w:rPr>
      <w:rFonts w:ascii="Calibri" w:hAnsi="Calibri"/>
      <w:color w:val="202A35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00" w:before="360" w:line="240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40" w:before="280" w:line="240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00" w:before="200" w:line="240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MethodsTitle" w:type="paragraph">
    <w:name w:val="Methods Title"/>
    <w:pPr>
      <w:keepNext/>
      <w:widowControl/>
      <w:spacing w:after="80" w:before="0" w:line="240" w:lineRule="auto"/>
    </w:pPr>
    <w:rPr>
      <w:rFonts w:ascii="Calibri" w:hAnsi="Calibri"/>
      <w:b/>
      <w:color w:val="1F4D78"/>
      <w:sz w:val="48"/>
    </w:rPr>
  </w:style>
  <w:style w:customStyle="1" w:styleId="MethodsMetadata" w:type="paragraph">
    <w:name w:val="Methods Metadata"/>
    <w:pPr>
      <w:keepNext/>
      <w:widowControl/>
      <w:spacing w:after="260" w:before="0" w:line="240" w:lineRule="auto"/>
    </w:pPr>
    <w:rPr>
      <w:rFonts w:ascii="Calibri" w:hAnsi="Calibri"/>
      <w:b/>
      <w:color w:val="616B75"/>
      <w:sz w:val="20"/>
    </w:rPr>
  </w:style>
  <w:style w:customStyle="1" w:styleId="MethodsBullet" w:type="paragraph">
    <w:name w:val="Methods Bullet"/>
    <w:pPr>
      <w:keepLines/>
      <w:widowControl/>
      <w:spacing w:after="80" w:before="0" w:line="300" w:lineRule="auto"/>
      <w:ind w:hanging="271" w:left="540"/>
    </w:pPr>
    <w:rPr>
      <w:rFonts w:ascii="Calibri" w:hAnsi="Calibri"/>
      <w:color w:val="202A35"/>
      <w:sz w:val="22"/>
    </w:rPr>
  </w:style>
  <w:style w:customStyle="1" w:styleId="MethodsInlineCode" w:type="character">
    <w:name w:val="Methods Inline Code"/>
    <w:rPr>
      <w:rFonts w:ascii="Consolas" w:hAnsi="Consolas"/>
      <w:b w:val="0"/>
      <w:i w:val="0"/>
      <w:color w:val="5B6570"/>
      <w:sz w:val="19"/>
    </w:rPr>
  </w:style>
  <w:style w:customStyle="1" w:styleId="MethodsEmphasis" w:type="character">
    <w:name w:val="Methods Emphasis"/>
    <w:rPr>
      <w:rFonts w:ascii="Calibri" w:hAnsi="Calibri"/>
      <w:b w:val="0"/>
      <w:i/>
      <w:color w:val="202A35"/>
      <w:sz w:val="22"/>
    </w:rPr>
  </w:style>
  <w:style w:customStyle="1" w:styleId="MethodsStatusVerified" w:type="character">
    <w:name w:val="Methods Status Verified"/>
    <w:rPr>
      <w:rFonts w:ascii="Calibri" w:hAnsi="Calibri"/>
      <w:b/>
      <w:i w:val="0"/>
      <w:color w:val="1F4D78"/>
      <w:sz w:val="21"/>
    </w:rPr>
  </w:style>
  <w:style w:customStyle="1" w:styleId="MethodsStatusConfirmed" w:type="character">
    <w:name w:val="Methods Status Confirmed"/>
    <w:rPr>
      <w:rFonts w:ascii="Calibri" w:hAnsi="Calibri"/>
      <w:b/>
      <w:i w:val="0"/>
      <w:color w:val="2F6B4F"/>
      <w:sz w:val="21"/>
    </w:rPr>
  </w:style>
  <w:style w:customStyle="1" w:styleId="MethodsStatusAction" w:type="character">
    <w:name w:val="Methods Status Action"/>
    <w:rPr>
      <w:rFonts w:ascii="Calibri" w:hAnsi="Calibri"/>
      <w:b/>
      <w:i w:val="0"/>
      <w:color w:val="7A5A00"/>
      <w:sz w:val="21"/>
    </w:rPr>
  </w:style>
  <w:style w:customStyle="1" w:styleId="MethodsStatusBoundary" w:type="character">
    <w:name w:val="Methods Status Boundary"/>
    <w:rPr>
      <w:rFonts w:ascii="Calibri" w:hAnsi="Calibri"/>
      <w:b/>
      <w:i w:val="0"/>
      <w:color w:val="9B1C1C"/>
      <w:sz w:val="21"/>
    </w:rPr>
  </w:style>
  <w:style w:customStyle="1" w:styleId="MethodsStatusHistorical" w:type="character">
    <w:name w:val="Methods Status Historical"/>
    <w:rPr>
      <w:rFonts w:ascii="Calibri" w:hAnsi="Calibri"/>
      <w:b/>
      <w:i w:val="0"/>
      <w:color w:val="5B6570"/>
      <w:sz w:val="21"/>
    </w:rPr>
  </w:style>
  <w:style w:customStyle="1" w:styleId="MethodsStatusPlanned" w:type="character">
    <w:name w:val="Methods Status Planned"/>
    <w:rPr>
      <w:rFonts w:ascii="Calibri" w:hAnsi="Calibri"/>
      <w:b/>
      <w:i w:val="0"/>
      <w:color w:val="7A5A0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2026-08-12T18:59:39Z</dcterms:created>
  <dcterms:modified xsi:type="dcterms:W3CDTF">2026-08-12T18:59:39Z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