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anuscriptTitle"/>
        <w:rPr/>
      </w:pPr>
      <w:r>
        <w:rPr>
          <w:rFonts w:eastAsia="Times New Roman"/>
          <w:b/>
          <w:i w:val="false"/>
          <w:color w:val="000000"/>
          <w:sz w:val="30"/>
        </w:rPr>
        <w:t>Materials and Methods</w:t>
      </w:r>
    </w:p>
    <w:p>
      <w:pPr>
        <w:pStyle w:val="Heading1"/>
        <w:keepNext w:val="true"/>
        <w:rPr/>
      </w:pPr>
      <w:r>
        <w:rPr>
          <w:rFonts w:eastAsia="Times New Roman" w:ascii="Times New Roman" w:hAnsi="Times New Roman"/>
          <w:b/>
          <w:i w:val="false"/>
          <w:color w:val="000000"/>
          <w:sz w:val="23"/>
        </w:rPr>
        <w:t>Study design and data sources</w:t>
      </w:r>
    </w:p>
    <w:p>
      <w:pPr>
        <w:pStyle w:val="Normal"/>
        <w:widowControl/>
        <w:rPr/>
      </w:pPr>
      <w:r>
        <w:rPr>
          <w:rFonts w:eastAsia="Times New Roman"/>
          <w:b w:val="false"/>
          <w:i w:val="false"/>
          <w:color w:val="000000"/>
          <w:sz w:val="22"/>
        </w:rPr>
        <w:t xml:space="preserve">Analyses were conducted on data-complete species panels defined for each data type. The transposable-element analyses comprised 34 species, the microscopy and phylogenetic-comparative analyses comprised 24 species, and 21 species occurred in both panels. </w:t>
      </w:r>
      <w:r>
        <w:rPr>
          <w:rFonts w:eastAsia="Times New Roman"/>
          <w:b w:val="false"/>
          <w:i/>
          <w:color w:val="000000"/>
          <w:sz w:val="22"/>
        </w:rPr>
        <w:t>Desmognathus brimleyorum</w:t>
      </w:r>
      <w:r>
        <w:rPr>
          <w:rFonts w:eastAsia="Times New Roman"/>
          <w:b w:val="false"/>
          <w:i w:val="false"/>
          <w:color w:val="000000"/>
          <w:sz w:val="22"/>
        </w:rPr>
        <w:t xml:space="preserve">, </w:t>
      </w:r>
      <w:r>
        <w:rPr>
          <w:rFonts w:eastAsia="Times New Roman"/>
          <w:b w:val="false"/>
          <w:i/>
          <w:color w:val="000000"/>
          <w:sz w:val="22"/>
        </w:rPr>
        <w:t>D. folkertsi</w:t>
      </w:r>
      <w:r>
        <w:rPr>
          <w:rFonts w:eastAsia="Times New Roman"/>
          <w:b w:val="false"/>
          <w:i w:val="false"/>
          <w:color w:val="000000"/>
          <w:sz w:val="22"/>
        </w:rPr>
        <w:t xml:space="preserve">, and </w:t>
      </w:r>
      <w:r>
        <w:rPr>
          <w:rFonts w:eastAsia="Times New Roman"/>
          <w:b w:val="false"/>
          <w:i/>
          <w:color w:val="000000"/>
          <w:sz w:val="22"/>
        </w:rPr>
        <w:t>D. ochrophaeus</w:t>
      </w:r>
      <w:r>
        <w:rPr>
          <w:rFonts w:eastAsia="Times New Roman"/>
          <w:b w:val="false"/>
          <w:i w:val="false"/>
          <w:color w:val="000000"/>
          <w:sz w:val="22"/>
        </w:rPr>
        <w:t xml:space="preserve"> were represented in the microscopy panel but lacked transposable-element data, and no values were imputed for these species. Genomic and microscopy measurements were joined at the species level and were not assumed to have been obtained from the same animals.</w:t>
      </w:r>
    </w:p>
    <w:p>
      <w:pPr>
        <w:pStyle w:val="Normal"/>
        <w:widowControl/>
        <w:rPr/>
      </w:pPr>
      <w:r>
        <w:rPr>
          <w:rFonts w:eastAsia="Times New Roman"/>
          <w:b w:val="false"/>
          <w:i w:val="false"/>
          <w:color w:val="000000"/>
          <w:sz w:val="22"/>
        </w:rPr>
        <w:t xml:space="preserve">Genome assemblies and raw sequencing resources were obtained from the National Center for Biotechnology Information Assembly and Sequence Read Archive databases. Accession-specific identity records were used to reconcile source names with the analysis taxonomy. Two dnaPipeTE outputs were available for </w:t>
      </w:r>
      <w:r>
        <w:rPr>
          <w:rFonts w:eastAsia="Times New Roman"/>
          <w:b w:val="false"/>
          <w:i/>
          <w:color w:val="000000"/>
          <w:sz w:val="22"/>
        </w:rPr>
        <w:t>D. orestes</w:t>
      </w:r>
      <w:r>
        <w:rPr>
          <w:rFonts w:eastAsia="Times New Roman"/>
          <w:b w:val="false"/>
          <w:i w:val="false"/>
          <w:color w:val="000000"/>
          <w:sz w:val="22"/>
        </w:rPr>
        <w:t>. These represented technical runs rather than biological replicates, so each run was normalized separately and the two compositions were averaged with equal weight.</w:t>
      </w:r>
    </w:p>
    <w:p>
      <w:pPr>
        <w:pStyle w:val="Normal"/>
        <w:widowControl/>
        <w:ind w:hanging="0" w:start="0"/>
        <w:rPr/>
      </w:pPr>
      <w:r>
        <w:rPr>
          <w:rFonts w:eastAsia="Times New Roman"/>
          <w:b w:val="false"/>
          <w:i w:val="false"/>
          <w:color w:val="000000"/>
          <w:sz w:val="22"/>
        </w:rPr>
        <w:tab/>
        <w:t>Maximum snout–vent length, body-size, and life-history data were provided by Alex Pyron. Maximum SVL was used rather than total length; for D. orestes, the larger of two reported values (52 and 50</w:t>
      </w:r>
      <w:r>
        <w:rPr>
          <w:rFonts w:eastAsia="Times New Roman"/>
          <w:b w:val="false"/>
          <w:i w:val="false"/>
          <w:color w:val="000000"/>
          <w:sz w:val="22"/>
        </w:rPr>
        <w:t>mm) was retained. Reproductive strategy was categorized as direct development, aquatic eggs, or terrestrial eggs with aquatic larvae.</w:t>
      </w:r>
    </w:p>
    <w:p>
      <w:pPr>
        <w:pStyle w:val="Heading1"/>
        <w:keepNext w:val="true"/>
        <w:rPr/>
      </w:pPr>
      <w:r>
        <w:rPr>
          <w:rFonts w:eastAsia="Times New Roman" w:ascii="Times New Roman" w:hAnsi="Times New Roman"/>
          <w:b/>
          <w:i w:val="false"/>
          <w:color w:val="000000"/>
          <w:sz w:val="23"/>
        </w:rPr>
        <w:t>Genomic read processing and de novo TE library construction</w:t>
      </w:r>
    </w:p>
    <w:p>
      <w:pPr>
        <w:pStyle w:val="Normal"/>
        <w:widowControl/>
        <w:bidi w:val="0"/>
        <w:rPr/>
      </w:pPr>
      <w:r>
        <w:rPr>
          <w:rFonts w:eastAsia="Times New Roman"/>
          <w:b w:val="false"/>
          <w:i w:val="false"/>
          <w:color w:val="000000"/>
          <w:sz w:val="22"/>
        </w:rPr>
        <w:t xml:space="preserve">Mitochondrial reads were removed by indexing a mitochondrial reference </w:t>
      </w:r>
      <w:r>
        <w:rPr>
          <w:rFonts w:eastAsia="Times New Roman"/>
          <w:b w:val="false"/>
          <w:i w:val="false"/>
          <w:color w:val="000000"/>
          <w:sz w:val="22"/>
        </w:rPr>
        <w:t xml:space="preserve">(genbank </w:t>
      </w:r>
      <w:hyperlink r:id="rId2">
        <w:r>
          <w:rPr>
            <w:rStyle w:val="Hyperlink"/>
            <w:rFonts w:eastAsia="Times New Roman" w:ascii="Roboto;Helvetica;Arial;sans-serif" w:hAnsi="Roboto;Helvetica;Arial;sans-serif"/>
            <w:b w:val="false"/>
            <w:i w:val="false"/>
            <w:color w:val="0071BC"/>
            <w:sz w:val="22"/>
            <w:u w:val="single"/>
          </w:rPr>
          <w:t>AY728227.1</w:t>
        </w:r>
      </w:hyperlink>
      <w:r>
        <w:rPr>
          <w:rFonts w:eastAsia="Times New Roman"/>
          <w:b w:val="false"/>
          <w:i w:val="false"/>
          <w:color w:val="000000"/>
          <w:sz w:val="22"/>
        </w:rPr>
        <w:t xml:space="preserve">, aligning paired reads with BWA-MEM using eight threads, converting and sorting the alignments with SAMtools, and applying </w:t>
      </w:r>
      <w:r>
        <w:rPr>
          <w:rFonts w:eastAsia="Times New Roman"/>
          <w:b w:val="false"/>
          <w:i w:val="false"/>
          <w:color w:val="000000"/>
          <w:sz w:val="21"/>
        </w:rPr>
        <w:t>samtools view -f 12 -F 256</w:t>
      </w:r>
      <w:r>
        <w:rPr>
          <w:rFonts w:eastAsia="Times New Roman"/>
          <w:b w:val="false"/>
          <w:i w:val="false"/>
          <w:color w:val="000000"/>
          <w:sz w:val="22"/>
        </w:rPr>
        <w:t xml:space="preserve"> to retain pairs for which both mates were unmapped to the mitochondrial reference. These nonmapping pairs formed the nuclear-read input for subsequent TE analyses. </w:t>
      </w:r>
    </w:p>
    <w:p>
      <w:pPr>
        <w:pStyle w:val="Normal"/>
        <w:widowControl/>
        <w:rPr/>
      </w:pPr>
      <w:r>
        <w:rPr>
          <w:rFonts w:eastAsia="Times New Roman"/>
          <w:b w:val="false"/>
          <w:i w:val="false"/>
          <w:color w:val="000000"/>
          <w:sz w:val="22"/>
        </w:rPr>
        <w:t xml:space="preserve">A </w:t>
      </w:r>
      <w:r>
        <w:rPr>
          <w:rFonts w:eastAsia="Times New Roman"/>
          <w:b w:val="false"/>
          <w:i/>
          <w:color w:val="000000"/>
          <w:sz w:val="22"/>
        </w:rPr>
        <w:t>Desmognathus</w:t>
      </w:r>
      <w:r>
        <w:rPr>
          <w:rFonts w:eastAsia="Times New Roman"/>
          <w:b w:val="false"/>
          <w:i w:val="false"/>
          <w:color w:val="000000"/>
          <w:sz w:val="22"/>
        </w:rPr>
        <w:t xml:space="preserve">-specific repeat library was generated with RepeatModeler. The workflow used the TEtools </w:t>
      </w:r>
      <w:r>
        <w:rPr>
          <w:rFonts w:eastAsia="Times New Roman"/>
          <w:b w:val="false"/>
          <w:i w:val="false"/>
          <w:color w:val="000000"/>
          <w:sz w:val="21"/>
        </w:rPr>
        <w:t>1.87.sif</w:t>
      </w:r>
      <w:r>
        <w:rPr>
          <w:rFonts w:eastAsia="Times New Roman"/>
          <w:b w:val="false"/>
          <w:i w:val="false"/>
          <w:color w:val="000000"/>
          <w:sz w:val="22"/>
        </w:rPr>
        <w:t xml:space="preserve"> container under Singularity 3.7.4, built a database for each assembly, and ran RepeatModeler with 32 threads, </w:t>
      </w:r>
      <w:r>
        <w:rPr>
          <w:rFonts w:eastAsia="Times New Roman"/>
          <w:b w:val="false"/>
          <w:i w:val="false"/>
          <w:color w:val="000000"/>
          <w:sz w:val="21"/>
        </w:rPr>
        <w:t>-LTRStruct</w:t>
      </w:r>
      <w:r>
        <w:rPr>
          <w:rFonts w:eastAsia="Times New Roman"/>
          <w:b w:val="false"/>
          <w:i w:val="false"/>
          <w:color w:val="000000"/>
          <w:sz w:val="22"/>
        </w:rPr>
        <w:t xml:space="preserve">, and </w:t>
      </w:r>
      <w:r>
        <w:rPr>
          <w:rFonts w:eastAsia="Times New Roman"/>
          <w:b w:val="false"/>
          <w:i w:val="false"/>
          <w:color w:val="000000"/>
          <w:sz w:val="21"/>
        </w:rPr>
        <w:t>-genomeSampleSizeMax 10000000000</w:t>
      </w:r>
      <w:r>
        <w:rPr>
          <w:rFonts w:eastAsia="Times New Roman"/>
          <w:b w:val="false"/>
          <w:i w:val="false"/>
          <w:color w:val="000000"/>
          <w:sz w:val="22"/>
        </w:rPr>
        <w:t xml:space="preserve">. Redundant consensus sequences were clustered with CD-HIT-EST using </w:t>
      </w:r>
      <w:r>
        <w:rPr>
          <w:rFonts w:eastAsia="Times New Roman"/>
          <w:b w:val="false"/>
          <w:i w:val="false"/>
          <w:color w:val="000000"/>
          <w:sz w:val="21"/>
        </w:rPr>
        <w:t>-d 0 -aS 0.8 -c 0.8 -G 0 -g 1 -b 500 -T 64 -M 500000</w:t>
      </w:r>
      <w:r>
        <w:rPr>
          <w:rFonts w:eastAsia="Times New Roman"/>
          <w:b w:val="false"/>
          <w:i w:val="false"/>
          <w:color w:val="000000"/>
          <w:sz w:val="22"/>
        </w:rPr>
        <w:t xml:space="preserve">. Subsequent dnaPipeTE analyses used the custom library </w:t>
      </w:r>
      <w:r>
        <w:rPr>
          <w:rFonts w:eastAsia="Times New Roman"/>
          <w:b w:val="false"/>
          <w:i w:val="false"/>
          <w:color w:val="000000"/>
          <w:sz w:val="21"/>
        </w:rPr>
        <w:t>as its TE database</w:t>
      </w:r>
      <w:r>
        <w:rPr>
          <w:rFonts w:eastAsia="Times New Roman"/>
          <w:b w:val="false"/>
          <w:i w:val="false"/>
          <w:color w:val="000000"/>
          <w:sz w:val="22"/>
        </w:rPr>
        <w:t>.</w:t>
      </w:r>
    </w:p>
    <w:p>
      <w:pPr>
        <w:pStyle w:val="Heading1"/>
        <w:keepNext w:val="true"/>
        <w:rPr/>
      </w:pPr>
      <w:r>
        <w:rPr>
          <w:rFonts w:eastAsia="Times New Roman" w:ascii="Times New Roman" w:hAnsi="Times New Roman"/>
          <w:b/>
          <w:i w:val="false"/>
          <w:color w:val="000000"/>
          <w:sz w:val="23"/>
        </w:rPr>
        <w:t>TE abundance estimation and classification</w:t>
      </w:r>
    </w:p>
    <w:p>
      <w:pPr>
        <w:pStyle w:val="Normal"/>
        <w:widowControl/>
        <w:rPr/>
      </w:pPr>
      <w:r>
        <w:rPr>
          <w:rFonts w:eastAsia="Times New Roman"/>
          <w:b w:val="false"/>
          <w:i w:val="false"/>
          <w:color w:val="000000"/>
          <w:sz w:val="22"/>
        </w:rPr>
        <w:t xml:space="preserve">Transposable-element abundance was estimated from the nuclear-filtered short reads with dnaPipeTE. The workflow used Singularity 4.1.2, 16 CPUs, mate 1 of the nuclear-filtered reads, a configured 15-Gb genome-size denominator, 0.1× target coverage, </w:t>
      </w:r>
      <w:r>
        <w:rPr>
          <w:rFonts w:eastAsia="Times New Roman"/>
          <w:b w:val="false"/>
          <w:i w:val="false"/>
          <w:color w:val="000000"/>
          <w:sz w:val="21"/>
        </w:rPr>
        <w:t>RM_t = 0.15</w:t>
      </w:r>
      <w:r>
        <w:rPr>
          <w:rFonts w:eastAsia="Times New Roman"/>
          <w:b w:val="false"/>
          <w:i w:val="false"/>
          <w:color w:val="000000"/>
          <w:sz w:val="22"/>
        </w:rPr>
        <w:t xml:space="preserve">, two internal samples, and </w:t>
      </w:r>
      <w:r>
        <w:rPr>
          <w:rFonts w:eastAsia="Times New Roman"/>
          <w:b w:val="false"/>
          <w:i w:val="false"/>
          <w:color w:val="000000"/>
          <w:sz w:val="21"/>
        </w:rPr>
        <w:t>custom TE library</w:t>
      </w:r>
      <w:r>
        <w:rPr>
          <w:rFonts w:eastAsia="Times New Roman"/>
          <w:b w:val="false"/>
          <w:i w:val="false"/>
          <w:color w:val="000000"/>
          <w:sz w:val="22"/>
        </w:rPr>
        <w:t>. The 15-Gb value was used only to configure read sampling and was not interpreted as a measured genome size or absolute TE load.</w:t>
      </w:r>
    </w:p>
    <w:p>
      <w:pPr>
        <w:pStyle w:val="Normal"/>
        <w:widowControl/>
        <w:rPr/>
      </w:pPr>
      <w:r>
        <w:rPr>
          <w:rFonts w:eastAsia="Times New Roman"/>
          <w:b w:val="false"/>
          <w:i w:val="false"/>
          <w:color w:val="000000"/>
          <w:sz w:val="22"/>
        </w:rPr>
        <w:t xml:space="preserve">The dnaPipeTE </w:t>
      </w:r>
      <w:r>
        <w:rPr>
          <w:rFonts w:eastAsia="Times New Roman"/>
          <w:b w:val="false"/>
          <w:i w:val="false"/>
          <w:color w:val="000000"/>
          <w:sz w:val="21"/>
        </w:rPr>
        <w:t>_reads_per_component_and_annotation</w:t>
      </w:r>
      <w:r>
        <w:rPr>
          <w:rFonts w:eastAsia="Times New Roman"/>
          <w:b w:val="false"/>
          <w:i w:val="false"/>
          <w:color w:val="000000"/>
          <w:sz w:val="22"/>
        </w:rPr>
        <w:t xml:space="preserve"> output was parsed to assign repeat components to class, order, and superfamily. Within each taxonomic level, aligned bases assigned to each classified TE category were divided by the total classified aligned bases for that species. Total aligned-base mass, retained classified mass, and unresolved mass were preserved as quality-control quantities. Unresolved mass did not enter the diversity calculations. RepeatMasker </w:t>
      </w:r>
      <w:r>
        <w:rPr>
          <w:rFonts w:eastAsia="Times New Roman"/>
          <w:b w:val="false"/>
          <w:i w:val="false"/>
          <w:color w:val="000000"/>
          <w:sz w:val="21"/>
        </w:rPr>
        <w:t>.align</w:t>
      </w:r>
      <w:r>
        <w:rPr>
          <w:rFonts w:eastAsia="Times New Roman"/>
          <w:b w:val="false"/>
          <w:i w:val="false"/>
          <w:color w:val="000000"/>
          <w:sz w:val="22"/>
        </w:rPr>
        <w:t xml:space="preserve"> files used for divergence profiles described dnaPipeTE Trinity repeat-contig assemblies rather than the accession-linked genome assemblies.</w:t>
      </w:r>
    </w:p>
    <w:p>
      <w:pPr>
        <w:pStyle w:val="Heading1"/>
        <w:keepNext w:val="true"/>
        <w:rPr/>
      </w:pPr>
      <w:r>
        <w:rPr>
          <w:rFonts w:eastAsia="Times New Roman" w:ascii="Times New Roman" w:hAnsi="Times New Roman"/>
          <w:b/>
          <w:i w:val="false"/>
          <w:color w:val="000000"/>
          <w:sz w:val="23"/>
        </w:rPr>
        <w:t>TE diversity and compositional ordination</w:t>
      </w:r>
    </w:p>
    <w:p>
      <w:pPr>
        <w:pStyle w:val="Normal"/>
        <w:widowControl/>
        <w:rPr/>
      </w:pPr>
      <w:r>
        <w:rPr>
          <w:rFonts w:eastAsia="Times New Roman"/>
          <w:b w:val="false"/>
          <w:i w:val="false"/>
          <w:color w:val="000000"/>
          <w:sz w:val="22"/>
        </w:rPr>
        <w:t xml:space="preserve">TE diversity was calculated at the superfamily level following the top-ten scope used by Wang et al. (2025). For each species, the ten most abundant strictly positive TE superfamilies were selected independently; abundance ties were resolved by superfamily name. The selected abundances were reclosed to sum to one before natural-log Shannon entropy, </w:t>
      </w:r>
      <w:r>
        <w:rPr>
          <w:rFonts w:eastAsia="Times New Roman"/>
          <w:b w:val="false"/>
          <w:i w:val="false"/>
          <w:color w:val="000000"/>
          <w:sz w:val="22"/>
          <w:iCs/>
        </w:rPr>
        <w:t>H'</w:t>
      </w:r>
      <w:r>
        <w:rPr>
          <w:rFonts w:eastAsia="Times New Roman"/>
          <w:b w:val="false"/>
          <w:i w:val="false"/>
          <w:color w:val="000000"/>
          <w:sz w:val="22"/>
        </w:rPr>
        <w:t xml:space="preserve"> = −Σ </w:t>
      </w:r>
      <w:r>
        <w:rPr>
          <w:rFonts w:eastAsia="Times New Roman"/>
          <w:b w:val="false"/>
          <w:i w:val="false"/>
          <w:color w:val="000000"/>
          <w:sz w:val="22"/>
          <w:iCs/>
        </w:rPr>
        <w:t>p</w:t>
      </w:r>
      <w:r>
        <w:rPr>
          <w:rFonts w:eastAsia="Times New Roman"/>
          <w:b w:val="false"/>
          <w:i w:val="false"/>
          <w:color w:val="000000"/>
          <w:sz w:val="22"/>
          <w:vertAlign w:val="subscript"/>
        </w:rPr>
        <w:t>i</w:t>
      </w:r>
      <w:r>
        <w:rPr>
          <w:rFonts w:eastAsia="Times New Roman"/>
          <w:b w:val="false"/>
          <w:i w:val="false"/>
          <w:color w:val="000000"/>
          <w:sz w:val="22"/>
        </w:rPr>
        <w:t xml:space="preserve"> ln(</w:t>
      </w:r>
      <w:r>
        <w:rPr>
          <w:rFonts w:eastAsia="Times New Roman"/>
          <w:b w:val="false"/>
          <w:i w:val="false"/>
          <w:color w:val="000000"/>
          <w:sz w:val="22"/>
          <w:iCs/>
        </w:rPr>
        <w:t>p</w:t>
      </w:r>
      <w:r>
        <w:rPr>
          <w:rFonts w:eastAsia="Times New Roman"/>
          <w:b w:val="false"/>
          <w:i w:val="false"/>
          <w:color w:val="000000"/>
          <w:sz w:val="22"/>
          <w:vertAlign w:val="subscript"/>
        </w:rPr>
        <w:t>i</w:t>
      </w:r>
      <w:r>
        <w:rPr>
          <w:rFonts w:eastAsia="Times New Roman"/>
          <w:b w:val="false"/>
          <w:i w:val="false"/>
          <w:color w:val="000000"/>
          <w:sz w:val="22"/>
        </w:rPr>
        <w:t xml:space="preserve">), and the Gini-Simpson index, 1 − Σ </w:t>
      </w:r>
      <w:r>
        <w:rPr>
          <w:rFonts w:eastAsia="Times New Roman"/>
          <w:b w:val="false"/>
          <w:i w:val="false"/>
          <w:color w:val="000000"/>
          <w:sz w:val="22"/>
          <w:iCs/>
        </w:rPr>
        <w:t>p</w:t>
      </w:r>
      <w:r>
        <w:rPr>
          <w:rFonts w:eastAsia="Times New Roman"/>
          <w:b w:val="false"/>
          <w:i w:val="false"/>
          <w:color w:val="000000"/>
          <w:sz w:val="22"/>
          <w:vertAlign w:val="subscript"/>
        </w:rPr>
        <w:t>i</w:t>
      </w:r>
      <w:r>
        <w:rPr>
          <w:rFonts w:eastAsia="Times New Roman"/>
          <w:b w:val="false"/>
          <w:i w:val="false"/>
          <w:color w:val="000000"/>
          <w:sz w:val="22"/>
          <w:vertAlign w:val="superscript"/>
        </w:rPr>
        <w:t>2</w:t>
      </w:r>
      <w:r>
        <w:rPr>
          <w:rFonts w:eastAsia="Times New Roman"/>
          <w:b w:val="false"/>
          <w:i w:val="false"/>
          <w:color w:val="000000"/>
          <w:sz w:val="22"/>
        </w:rPr>
        <w:t xml:space="preserve">, were calculated, where </w:t>
      </w:r>
      <w:r>
        <w:rPr>
          <w:rFonts w:eastAsia="Times New Roman"/>
          <w:b w:val="false"/>
          <w:i w:val="false"/>
          <w:color w:val="000000"/>
          <w:sz w:val="22"/>
          <w:iCs/>
        </w:rPr>
        <w:t>p</w:t>
      </w:r>
      <w:r>
        <w:rPr>
          <w:rFonts w:eastAsia="Times New Roman"/>
          <w:b w:val="false"/>
          <w:i w:val="false"/>
          <w:color w:val="000000"/>
          <w:sz w:val="22"/>
          <w:vertAlign w:val="subscript"/>
        </w:rPr>
        <w:t>i</w:t>
      </w:r>
      <w:r>
        <w:rPr>
          <w:rFonts w:eastAsia="Times New Roman"/>
          <w:b w:val="false"/>
          <w:i w:val="false"/>
          <w:color w:val="000000"/>
          <w:sz w:val="22"/>
        </w:rPr>
        <w:t xml:space="preserve"> is the reclosed proportion of classified aligned bases assigned to superfamily </w:t>
      </w:r>
      <w:r>
        <w:rPr>
          <w:rFonts w:eastAsia="Times New Roman"/>
          <w:b w:val="false"/>
          <w:i w:val="false"/>
          <w:color w:val="000000"/>
          <w:sz w:val="22"/>
          <w:iCs/>
        </w:rPr>
        <w:t>i</w:t>
      </w:r>
      <w:r>
        <w:rPr>
          <w:rFonts w:eastAsia="Times New Roman"/>
          <w:b w:val="false"/>
          <w:i w:val="false"/>
          <w:color w:val="000000"/>
          <w:sz w:val="22"/>
        </w:rPr>
        <w:t>. Wang et al. (2025) do not state whether their retained top-ten abundances were reclosed; reclosure is therefore specified explicitly here.</w:t>
      </w:r>
    </w:p>
    <w:p>
      <w:pPr>
        <w:pStyle w:val="Normal"/>
        <w:widowControl/>
        <w:rPr/>
      </w:pPr>
      <w:r>
        <w:rPr>
          <w:rFonts w:eastAsia="Times New Roman"/>
          <w:b w:val="false"/>
          <w:i w:val="false"/>
          <w:color w:val="000000"/>
          <w:sz w:val="22"/>
        </w:rPr>
        <w:t>PCA was conducted on the classified superfamily compositions of the 34 TE species. After technical-run averaging, superfamilies with positive abundance in every species were retained, leaving 24 shared superfamilies. Ginger, Merlin, Dada, Chapaev, and CR1 were excluded from the ordination because they were not detected in every species. Each retained composition was reclosed to sum to one and transformed by the centered log ratio, CLR(</w:t>
      </w:r>
      <w:r>
        <w:rPr>
          <w:rFonts w:eastAsia="Times New Roman"/>
          <w:b w:val="false"/>
          <w:i/>
          <w:color w:val="000000"/>
          <w:sz w:val="22"/>
        </w:rPr>
        <w:t>p</w:t>
      </w:r>
      <w:r>
        <w:rPr>
          <w:rFonts w:eastAsia="Times New Roman"/>
          <w:b w:val="false"/>
          <w:i w:val="false"/>
          <w:color w:val="000000"/>
          <w:sz w:val="18"/>
          <w:vertAlign w:val="subscript"/>
        </w:rPr>
        <w:t>i</w:t>
      </w:r>
      <w:r>
        <w:rPr>
          <w:rFonts w:eastAsia="Times New Roman"/>
          <w:b w:val="false"/>
          <w:i w:val="false"/>
          <w:color w:val="000000"/>
          <w:sz w:val="22"/>
        </w:rPr>
        <w:t>) = ln(</w:t>
      </w:r>
      <w:r>
        <w:rPr>
          <w:rFonts w:eastAsia="Times New Roman"/>
          <w:b w:val="false"/>
          <w:i/>
          <w:color w:val="000000"/>
          <w:sz w:val="22"/>
        </w:rPr>
        <w:t>p</w:t>
      </w:r>
      <w:r>
        <w:rPr>
          <w:rFonts w:eastAsia="Times New Roman"/>
          <w:b w:val="false"/>
          <w:i w:val="false"/>
          <w:color w:val="000000"/>
          <w:sz w:val="18"/>
          <w:vertAlign w:val="subscript"/>
        </w:rPr>
        <w:t>i</w:t>
      </w:r>
      <w:r>
        <w:rPr>
          <w:rFonts w:eastAsia="Times New Roman"/>
          <w:b w:val="false"/>
          <w:i w:val="false"/>
          <w:color w:val="000000"/>
          <w:sz w:val="22"/>
        </w:rPr>
        <w:t>) - mean[ln(</w:t>
      </w:r>
      <w:r>
        <w:rPr>
          <w:rFonts w:eastAsia="Times New Roman"/>
          <w:b w:val="false"/>
          <w:i/>
          <w:color w:val="000000"/>
          <w:sz w:val="22"/>
        </w:rPr>
        <w:t>p</w:t>
      </w:r>
      <w:r>
        <w:rPr>
          <w:rFonts w:eastAsia="Times New Roman"/>
          <w:b w:val="false"/>
          <w:i w:val="false"/>
          <w:color w:val="000000"/>
          <w:sz w:val="22"/>
        </w:rPr>
        <w:t>)]. The retained matrix contained no zeros, so no zero replacement was applied. CLR columns were centered without variance scaling, and principal components were obtained by singular-value decomposition. Axis signs were oriented deterministically so that the loading with the largest absolute value on each axis was positive.</w:t>
      </w:r>
    </w:p>
    <w:p>
      <w:pPr>
        <w:pStyle w:val="Heading1"/>
        <w:keepNext w:val="true"/>
        <w:rPr/>
      </w:pPr>
      <w:r>
        <w:rPr>
          <w:rFonts w:eastAsia="Times New Roman" w:ascii="Times New Roman" w:hAnsi="Times New Roman"/>
          <w:b/>
          <w:i w:val="false"/>
          <w:color w:val="000000"/>
          <w:sz w:val="23"/>
        </w:rPr>
        <w:t>Repeat divergence profiles</w:t>
      </w:r>
    </w:p>
    <w:p>
      <w:pPr>
        <w:pStyle w:val="Normal"/>
        <w:widowControl/>
        <w:rPr/>
      </w:pPr>
      <w:r>
        <w:rPr>
          <w:rFonts w:eastAsia="Times New Roman"/>
          <w:b w:val="false"/>
          <w:i w:val="false"/>
          <w:color w:val="000000"/>
          <w:sz w:val="22"/>
        </w:rPr>
        <w:t xml:space="preserve">Repeat divergence profiles were reconstructed from the RepeatMasker </w:t>
      </w:r>
      <w:r>
        <w:rPr>
          <w:rFonts w:eastAsia="Times New Roman"/>
          <w:b w:val="false"/>
          <w:i w:val="false"/>
          <w:color w:val="000000"/>
          <w:sz w:val="21"/>
        </w:rPr>
        <w:t>.align</w:t>
      </w:r>
      <w:r>
        <w:rPr>
          <w:rFonts w:eastAsia="Times New Roman"/>
          <w:b w:val="false"/>
          <w:i w:val="false"/>
          <w:color w:val="000000"/>
          <w:sz w:val="22"/>
        </w:rPr>
        <w:t xml:space="preserve"> files associated with the dnaPipeTE Trinity repeat-contig assemblies. Inclusive aligned hit length was calculated as |query end - query start| + 1. Rows with invalid divergence or length values were removed, and reported divergence was assigned to one-percentage-point bins with a terminal 50% bin. Within each species, aligned bases in each TE category and divergence bin were divided by the total inclusive aligned RepeatMasker hit bases for that species. Missing species-by-category-by-bin combinations were filled with zero before equal-weight averaging across the 34 species.</w:t>
      </w:r>
    </w:p>
    <w:p>
      <w:pPr>
        <w:pStyle w:val="Normal"/>
        <w:widowControl/>
        <w:rPr/>
      </w:pPr>
      <w:r>
        <w:rPr>
          <w:rFonts w:eastAsia="Times New Roman"/>
          <w:b w:val="false"/>
          <w:i w:val="false"/>
          <w:color w:val="000000"/>
          <w:sz w:val="22"/>
        </w:rPr>
        <w:t>These fractions describe the composition of aligned repeat annotations rather than genome occupancy, insertion counts, insertion ages, or evolutionary rates. Unclassified repeats were retained as an annotation category rather than treated as a biological TE order.</w:t>
      </w:r>
    </w:p>
    <w:p>
      <w:pPr>
        <w:pStyle w:val="Heading1"/>
        <w:keepNext w:val="true"/>
        <w:rPr/>
      </w:pPr>
      <w:r>
        <w:rPr>
          <w:rFonts w:eastAsia="Times New Roman" w:ascii="Times New Roman" w:hAnsi="Times New Roman"/>
          <w:b/>
          <w:i w:val="false"/>
          <w:color w:val="000000"/>
          <w:sz w:val="23"/>
        </w:rPr>
        <w:t>LTR terminal-to-internal depth proxy</w:t>
      </w:r>
    </w:p>
    <w:p>
      <w:pPr>
        <w:pStyle w:val="Normal"/>
        <w:widowControl/>
        <w:rPr/>
      </w:pPr>
      <w:r>
        <w:rPr>
          <w:rFonts w:eastAsia="Times New Roman"/>
          <w:b w:val="false"/>
          <w:i w:val="false"/>
          <w:color w:val="000000"/>
          <w:sz w:val="22"/>
        </w:rPr>
        <w:t xml:space="preserve">DANTE, LTRharvest, and LTRdigest were used to identify candidate full-length long terminal repeat (LTR) elements and annotate their 5' LTR, internal region, and 3' LTR. Candidate sequences were joined to TEsorter annotations by exact sequence identifier and coordinates. Elements were eligible when they were at least 3,000 bp long, were classified by TEsorter as Order = LTR and Superfamily = Gypsy, and contained at least five whitespace-delimited </w:t>
      </w:r>
      <w:r>
        <w:rPr>
          <w:rFonts w:eastAsia="Times New Roman"/>
          <w:b w:val="false"/>
          <w:i w:val="false"/>
          <w:color w:val="000000"/>
          <w:sz w:val="21"/>
        </w:rPr>
        <w:t>DOMAIN|MODEL</w:t>
      </w:r>
      <w:r>
        <w:rPr>
          <w:rFonts w:eastAsia="Times New Roman"/>
          <w:b w:val="false"/>
          <w:i w:val="false"/>
          <w:color w:val="000000"/>
          <w:sz w:val="22"/>
        </w:rPr>
        <w:t xml:space="preserve"> annotations. Correct parsing produced 408 eligible LTR/Gypsy elements across 30 species.</w:t>
      </w:r>
    </w:p>
    <w:p>
      <w:pPr>
        <w:pStyle w:val="Normal"/>
        <w:widowControl/>
        <w:rPr/>
      </w:pPr>
      <w:r>
        <w:rPr>
          <w:rFonts w:eastAsia="Times New Roman"/>
          <w:b w:val="false"/>
          <w:i w:val="false"/>
          <w:color w:val="000000"/>
          <w:sz w:val="22"/>
        </w:rPr>
        <w:t xml:space="preserve">Trimmed, mitochondrial-filtered paired reads from each species were mapped to the corresponding LTR contigs with Bowtie2 using </w:t>
      </w:r>
      <w:r>
        <w:rPr>
          <w:rFonts w:eastAsia="Times New Roman"/>
          <w:b w:val="false"/>
          <w:i w:val="false"/>
          <w:color w:val="000000"/>
          <w:sz w:val="21"/>
        </w:rPr>
        <w:t>-L 20 --very-sensitive-local</w:t>
      </w:r>
      <w:r>
        <w:rPr>
          <w:rFonts w:eastAsia="Times New Roman"/>
          <w:b w:val="false"/>
          <w:i w:val="false"/>
          <w:color w:val="000000"/>
          <w:sz w:val="22"/>
        </w:rPr>
        <w:t>. SAMtools was used to convert, sort, and index the alignments and to calculate per-position depth. Positions absent from the depth output were assigned a depth of zero. Mean terminal depth was calculated as the length-weighted mean across the 5' and 3' LTRs, and mean internal depth was calculated over the annotated internal region. The terminal-to-internal ratio was obtained by dividing mean terminal depth by mean internal depth. The archived records do not preserve the Bowtie2 and SAMtools versions or the policies for mapping quality, multimappers, secondary or supplementary alignments, and duplicate reads.</w:t>
      </w:r>
    </w:p>
    <w:p>
      <w:pPr>
        <w:pStyle w:val="Normal"/>
        <w:widowControl/>
        <w:rPr/>
      </w:pPr>
      <w:r>
        <w:rPr>
          <w:rFonts w:eastAsia="Times New Roman"/>
          <w:b w:val="false"/>
          <w:i w:val="false"/>
          <w:color w:val="000000"/>
          <w:sz w:val="22"/>
        </w:rPr>
        <w:t xml:space="preserve">Before species-level summaries were calculated, an inclusive two-sided Tukey filter was applied independently within each species to the untransformed element ratios. Elements were retained when Q1 − 1.5 × IQR ≤ ratio ≤ Q3 + 1.5 × IQR. The quartiles and fences were calculated from the 408 eligible elements before any coverage filtering, and 381 elements passed the IQR rule. An independent coverage gate required positive depth at 80% or more of the expected positions separately in the 5' LTR, 3' LTR, and internal region; 407 elements passed this gate. The intersection of the two filters contained 380 elements across all 30 species. Species were summarized by the median ratio with 2,000 element-bootstrap replicates. </w:t>
      </w:r>
    </w:p>
    <w:p>
      <w:pPr>
        <w:pStyle w:val="Normal"/>
        <w:widowControl/>
        <w:rPr/>
      </w:pPr>
      <w:r>
        <w:rPr>
          <w:rFonts w:eastAsia="Times New Roman"/>
          <w:b w:val="false"/>
          <w:i w:val="false"/>
          <w:color w:val="000000"/>
          <w:sz w:val="22"/>
        </w:rPr>
        <w:t>The terminal-to-internal statistic was used as an indirect mapping and deletion-footprint proxy motivated by the hypothesis that recombination between terminal repeats can remove internal sequence</w:t>
      </w:r>
      <w:r>
        <w:rPr>
          <w:rFonts w:eastAsia="Times New Roman"/>
          <w:b w:val="false"/>
          <w:i w:val="false"/>
          <w:color w:val="000000"/>
          <w:sz w:val="22"/>
        </w:rPr>
        <w:t>s</w:t>
      </w:r>
      <w:r>
        <w:rPr>
          <w:rFonts w:eastAsia="Times New Roman"/>
          <w:b w:val="false"/>
          <w:i w:val="false"/>
          <w:color w:val="000000"/>
          <w:sz w:val="22"/>
        </w:rPr>
        <w:t>.</w:t>
      </w:r>
    </w:p>
    <w:p>
      <w:pPr>
        <w:pStyle w:val="Heading1"/>
        <w:keepNext w:val="true"/>
        <w:rPr/>
      </w:pPr>
      <w:r>
        <w:rPr>
          <w:rFonts w:eastAsia="Times New Roman" w:ascii="Times New Roman" w:hAnsi="Times New Roman"/>
          <w:b/>
          <w:i w:val="false"/>
          <w:color w:val="000000"/>
          <w:sz w:val="23"/>
        </w:rPr>
        <w:t>Specimen preparation, staining, and image acquisition</w:t>
      </w:r>
    </w:p>
    <w:p>
      <w:pPr>
        <w:pStyle w:val="Normal"/>
        <w:widowControl/>
        <w:rPr/>
      </w:pPr>
      <w:r>
        <w:rPr>
          <w:rFonts w:eastAsia="Times New Roman"/>
          <w:b w:val="false"/>
          <w:i w:val="false"/>
          <w:color w:val="000000"/>
          <w:sz w:val="22"/>
        </w:rPr>
        <w:t>Each microscopy specimen identifier represented one individual animal; multiple images and measured objects from the same specimen were repeated observations rather than independent biological replicates. All animals were ethanol-fixed before erythrocyte collection. Erythrocytes were collected from an incision through the heart with a pipette and deposited at the center of a microscope slide. Slides were stained with Feulgen-Schiff reagent following Hardie et al. (2002) and imaged on an Olympus APX100 with a 40× objective.</w:t>
      </w:r>
    </w:p>
    <w:p>
      <w:pPr>
        <w:pStyle w:val="Heading1"/>
        <w:keepNext w:val="true"/>
        <w:rPr/>
      </w:pPr>
      <w:r>
        <w:rPr>
          <w:rFonts w:eastAsia="Times New Roman" w:ascii="Times New Roman" w:hAnsi="Times New Roman"/>
          <w:b/>
          <w:i w:val="false"/>
          <w:color w:val="000000"/>
          <w:sz w:val="23"/>
        </w:rPr>
        <w:t>Cell and nucleus segmentation and morphometry</w:t>
      </w:r>
    </w:p>
    <w:p>
      <w:pPr>
        <w:pStyle w:val="Normal"/>
        <w:widowControl/>
        <w:rPr/>
      </w:pPr>
      <w:r>
        <w:rPr>
          <w:rFonts w:eastAsia="Times New Roman"/>
          <w:b w:val="false"/>
          <w:i w:val="false"/>
          <w:color w:val="000000"/>
          <w:sz w:val="22"/>
        </w:rPr>
        <w:t xml:space="preserve">Cell boundaries were segmented with Cellpose and nuclei were segmented with </w:t>
      </w:r>
      <w:r>
        <w:rPr>
          <w:rFonts w:eastAsia="Times New Roman"/>
          <w:b w:val="false"/>
          <w:i w:val="false"/>
          <w:color w:val="000000"/>
          <w:sz w:val="22"/>
        </w:rPr>
        <w:t xml:space="preserve">a custom trained </w:t>
      </w:r>
      <w:r>
        <w:rPr>
          <w:rFonts w:eastAsia="Times New Roman"/>
          <w:b w:val="false"/>
          <w:i w:val="false"/>
          <w:color w:val="000000"/>
          <w:sz w:val="22"/>
        </w:rPr>
        <w:t xml:space="preserve">YOLO </w:t>
      </w:r>
      <w:r>
        <w:rPr>
          <w:rFonts w:eastAsia="Times New Roman"/>
          <w:b w:val="false"/>
          <w:i w:val="false"/>
          <w:color w:val="000000"/>
          <w:sz w:val="22"/>
        </w:rPr>
        <w:t>model</w:t>
      </w:r>
      <w:r>
        <w:rPr>
          <w:rFonts w:eastAsia="Times New Roman"/>
          <w:b w:val="false"/>
          <w:i w:val="false"/>
          <w:color w:val="000000"/>
          <w:sz w:val="22"/>
        </w:rPr>
        <w:t xml:space="preserve">. Masks retained source-image, tile, centroid, overlap, and object-level identifiers. Objects were eligible when they formed a valid one-to-one cell-nucleus pair, did not touch an image edge, </w:t>
      </w:r>
      <w:r>
        <w:rPr>
          <w:rFonts w:eastAsia="Times New Roman"/>
          <w:b w:val="false"/>
          <w:i w:val="false"/>
          <w:color w:val="000000"/>
          <w:sz w:val="22"/>
        </w:rPr>
        <w:t>were not overlapping other cells or debris, and passed manual review</w:t>
      </w:r>
      <w:r>
        <w:rPr>
          <w:rFonts w:eastAsia="Times New Roman"/>
          <w:b w:val="false"/>
          <w:i w:val="false"/>
          <w:color w:val="000000"/>
          <w:sz w:val="22"/>
        </w:rPr>
        <w:t>.</w:t>
      </w:r>
    </w:p>
    <w:p>
      <w:pPr>
        <w:pStyle w:val="Normal"/>
        <w:widowControl/>
        <w:rPr/>
      </w:pPr>
      <w:r>
        <w:rPr>
          <w:rFonts w:eastAsia="Times New Roman"/>
          <w:b w:val="false"/>
          <w:i w:val="false"/>
          <w:color w:val="000000"/>
          <w:sz w:val="22"/>
        </w:rPr>
        <w:t>Eligible cells were ranked within species by descending cell area. The target was the 50 largest accepted cells per species, and rejected objects were replaced by the next-largest eligible accepted cell. This procedure estimates the upper tail of detected eligible erythrocyte size rather than the population-average cell. The final morphometry dataset contained 1,152 reviewed cell-nucleus pairs across 24 species and 42 animals. Twenty-</w:t>
      </w:r>
      <w:r>
        <w:rPr>
          <w:rFonts w:eastAsia="Times New Roman"/>
          <w:b w:val="false"/>
          <w:i w:val="false"/>
          <w:color w:val="000000"/>
          <w:sz w:val="22"/>
        </w:rPr>
        <w:t>two</w:t>
      </w:r>
      <w:r>
        <w:rPr>
          <w:rFonts w:eastAsia="Times New Roman"/>
          <w:b w:val="false"/>
          <w:i w:val="false"/>
          <w:color w:val="000000"/>
          <w:sz w:val="22"/>
        </w:rPr>
        <w:t xml:space="preserve"> species contributed 50 cells, </w:t>
      </w:r>
      <w:r>
        <w:rPr>
          <w:rFonts w:eastAsia="Times New Roman"/>
          <w:b w:val="false"/>
          <w:i/>
          <w:color w:val="000000"/>
          <w:sz w:val="22"/>
        </w:rPr>
        <w:t>D. aeneus</w:t>
      </w:r>
      <w:r>
        <w:rPr>
          <w:rFonts w:eastAsia="Times New Roman"/>
          <w:b w:val="false"/>
          <w:i w:val="false"/>
          <w:color w:val="000000"/>
          <w:sz w:val="22"/>
        </w:rPr>
        <w:t xml:space="preserve"> contributed 44, and </w:t>
      </w:r>
      <w:r>
        <w:rPr>
          <w:rFonts w:eastAsia="Times New Roman"/>
          <w:b w:val="false"/>
          <w:i/>
          <w:color w:val="000000"/>
          <w:sz w:val="22"/>
        </w:rPr>
        <w:t>D. wrighti</w:t>
      </w:r>
      <w:r>
        <w:rPr>
          <w:rFonts w:eastAsia="Times New Roman"/>
          <w:b w:val="false"/>
          <w:i w:val="false"/>
          <w:color w:val="000000"/>
          <w:sz w:val="22"/>
        </w:rPr>
        <w:t xml:space="preserve"> contributed 8.</w:t>
      </w:r>
    </w:p>
    <w:p>
      <w:pPr>
        <w:pStyle w:val="Normal"/>
        <w:widowControl/>
        <w:rPr/>
      </w:pPr>
      <w:r>
        <w:rPr>
          <w:rFonts w:eastAsia="Times New Roman"/>
          <w:b w:val="false"/>
          <w:i w:val="false"/>
          <w:color w:val="000000"/>
          <w:sz w:val="22"/>
        </w:rPr>
        <w:t>Cell and nucleus areas were calculated from mask pixels using a linear calibration of 0.12 micrometers per pixel, equivalent to 0.0144 square micrometers per pixel. Species-level cell and nucleus estimates were medians of the accepted objects. Uncertainty intervals were obtained by paired-object bootstrap resampling conditional on the observed images and animals. These intervals do not estimate population-level variation among animals.</w:t>
      </w:r>
    </w:p>
    <w:p>
      <w:pPr>
        <w:pStyle w:val="Heading1"/>
        <w:keepNext w:val="true"/>
        <w:rPr/>
      </w:pPr>
      <w:r>
        <w:rPr>
          <w:rFonts w:eastAsia="Times New Roman" w:ascii="Times New Roman" w:hAnsi="Times New Roman"/>
          <w:b/>
          <w:i w:val="false"/>
          <w:color w:val="000000"/>
          <w:sz w:val="23"/>
        </w:rPr>
        <w:t>Nuclear IOD measurement and conditional genome-size calibration</w:t>
      </w:r>
    </w:p>
    <w:p>
      <w:pPr>
        <w:pStyle w:val="Normal"/>
        <w:widowControl/>
        <w:rPr/>
      </w:pPr>
      <w:r>
        <w:rPr>
          <w:rFonts w:eastAsia="Times New Roman"/>
          <w:b w:val="false"/>
          <w:i w:val="false"/>
          <w:color w:val="000000"/>
          <w:sz w:val="22"/>
        </w:rPr>
        <w:t>Pixel optical density was calculated as log10(background intensity / pixel intensity), and nuclear integrated optical density (IOD) was calculated by summing pixel optical density over the nuclear mask. Images were matched using log edge sharpness and log relative ring noise; IOD, darkness, nucleus area, and cell area were excluded from the matching variables. Balance was assessed with a maximum absolute standardized mean difference threshold of 0.10 and a maximum Kolmogorov-Smirnov distance threshold of 0.25. Species that failed either threshold remained in the release and were flagged rather than removed.</w:t>
      </w:r>
    </w:p>
    <w:p>
      <w:pPr>
        <w:pStyle w:val="Normal"/>
        <w:widowControl/>
        <w:rPr/>
      </w:pPr>
      <w:r>
        <w:rPr>
          <w:rFonts w:eastAsia="Times New Roman"/>
          <w:b w:val="false"/>
          <w:i w:val="false"/>
          <w:color w:val="000000"/>
          <w:sz w:val="22"/>
        </w:rPr>
        <w:t>The final IOD dataset contained 805 reviewed nuclei from 51 images, 50 animals, and 24 species. For each image, the median per-nucleus IOD was calculated, and the species estimate was the arithmetic mean of the image medians so that images rather than nuclei received equal weight. Uncertainty was estimated with 2,000 hierarchical-bootstrap replicates that resampled images and then nuclei within images. Dividing each species estimate and interval by the median estimate across the 24-species panel produced a relative-IOD index used to document the measurement and calibration path.</w:t>
      </w:r>
    </w:p>
    <w:p>
      <w:pPr>
        <w:pStyle w:val="Normal"/>
        <w:widowControl/>
        <w:rPr/>
      </w:pPr>
      <w:r>
        <w:rPr>
          <w:rFonts w:eastAsia="Times New Roman"/>
          <w:b w:val="false"/>
          <w:i w:val="false"/>
          <w:color w:val="000000"/>
          <w:sz w:val="22"/>
        </w:rPr>
        <w:t xml:space="preserve">Two </w:t>
      </w:r>
      <w:r>
        <w:rPr>
          <w:rFonts w:eastAsia="Times New Roman"/>
          <w:b w:val="false"/>
          <w:i/>
          <w:color w:val="000000"/>
          <w:sz w:val="22"/>
        </w:rPr>
        <w:t>D. fuscus</w:t>
      </w:r>
      <w:r>
        <w:rPr>
          <w:rFonts w:eastAsia="Times New Roman"/>
          <w:b w:val="false"/>
          <w:i w:val="false"/>
          <w:color w:val="000000"/>
          <w:sz w:val="22"/>
        </w:rPr>
        <w:t xml:space="preserve"> reference slides, prepared from specimens 32469 and 32470, served as DNA-content standards and were stained in the same experimental runs as the unknowns. Conditional genome size was calculated as target genome size (pg/1C) = (target equal-image IOD / </w:t>
      </w:r>
      <w:r>
        <w:rPr>
          <w:rFonts w:eastAsia="Times New Roman"/>
          <w:b w:val="false"/>
          <w:i/>
          <w:color w:val="000000"/>
          <w:sz w:val="22"/>
        </w:rPr>
        <w:t>D. fuscus</w:t>
      </w:r>
      <w:r>
        <w:rPr>
          <w:rFonts w:eastAsia="Times New Roman"/>
          <w:b w:val="false"/>
          <w:i w:val="false"/>
          <w:color w:val="000000"/>
          <w:sz w:val="22"/>
        </w:rPr>
        <w:t xml:space="preserve"> equal-image IOD) × 16.462167689 pg/1C. The reference value was obtained from the selected pooled </w:t>
      </w:r>
      <w:r>
        <w:rPr>
          <w:rFonts w:eastAsia="Times New Roman"/>
          <w:b w:val="false"/>
          <w:i/>
          <w:color w:val="000000"/>
          <w:sz w:val="22"/>
        </w:rPr>
        <w:t>D. fuscus</w:t>
      </w:r>
      <w:r>
        <w:rPr>
          <w:rFonts w:eastAsia="Times New Roman"/>
          <w:b w:val="false"/>
          <w:i w:val="false"/>
          <w:color w:val="000000"/>
          <w:sz w:val="22"/>
        </w:rPr>
        <w:t xml:space="preserve"> assembly estimate as 16.1 Gbp / 0.978 Gbp per pg = 16.462167689 pg/1C (Myers et al. 2025).</w:t>
      </w:r>
    </w:p>
    <w:p>
      <w:pPr>
        <w:pStyle w:val="Heading1"/>
        <w:keepNext w:val="true"/>
        <w:rPr/>
      </w:pPr>
      <w:r>
        <w:rPr>
          <w:rFonts w:eastAsia="Times New Roman" w:ascii="Times New Roman" w:hAnsi="Times New Roman"/>
          <w:b/>
          <w:i w:val="false"/>
          <w:color w:val="000000"/>
          <w:sz w:val="23"/>
        </w:rPr>
        <w:t>Phylogenetic comparative analyses</w:t>
      </w:r>
    </w:p>
    <w:p>
      <w:pPr>
        <w:pStyle w:val="Normal"/>
        <w:widowControl/>
        <w:rPr/>
      </w:pPr>
      <w:r>
        <w:rPr>
          <w:rFonts w:eastAsia="Times New Roman"/>
          <w:b w:val="false"/>
          <w:i w:val="false"/>
          <w:color w:val="000000"/>
          <w:sz w:val="22"/>
        </w:rPr>
        <w:t xml:space="preserve">The focal time-calibrated </w:t>
      </w:r>
      <w:r>
        <w:rPr>
          <w:rFonts w:eastAsia="Times New Roman"/>
          <w:b w:val="false"/>
          <w:i/>
          <w:color w:val="000000"/>
          <w:sz w:val="22"/>
        </w:rPr>
        <w:t>Desmognathus</w:t>
      </w:r>
      <w:r>
        <w:rPr>
          <w:rFonts w:eastAsia="Times New Roman"/>
          <w:b w:val="false"/>
          <w:i w:val="false"/>
          <w:color w:val="000000"/>
          <w:sz w:val="22"/>
        </w:rPr>
        <w:t xml:space="preserve"> phylogeny was supplied by Alex Pyron. Taxon names were reconciled with the study species, exact unsuffixed representative tips were retained, and alternate tips and species without complete data were pruned with </w:t>
      </w:r>
      <w:r>
        <w:rPr>
          <w:rFonts w:eastAsia="Times New Roman"/>
          <w:b w:val="false"/>
          <w:i w:val="false"/>
          <w:color w:val="000000"/>
          <w:sz w:val="21"/>
        </w:rPr>
        <w:t>ape::drop.tip</w:t>
      </w:r>
      <w:r>
        <w:rPr>
          <w:rFonts w:eastAsia="Times New Roman"/>
          <w:b w:val="false"/>
          <w:i w:val="false"/>
          <w:color w:val="000000"/>
          <w:sz w:val="22"/>
        </w:rPr>
        <w:t>. Single-descendant internal nodes produced by pruning were collapsed, and duplicate species tips were not permitted. The primary morphology and conditional-genome-size analyses used 24 tips. Tree sensitivity was evaluated by comparing the focal tree pruned to the same 18-species taxon set with a published 18-species topology, thereby separating taxon-set effects from differences between trees.</w:t>
      </w:r>
    </w:p>
    <w:p>
      <w:pPr>
        <w:pStyle w:val="Normal"/>
        <w:widowControl/>
        <w:rPr/>
      </w:pPr>
      <w:r>
        <w:rPr>
          <w:rFonts w:eastAsia="Times New Roman"/>
          <w:b w:val="false"/>
          <w:i w:val="false"/>
          <w:color w:val="000000"/>
          <w:sz w:val="22"/>
        </w:rPr>
        <w:t>Positive trait values were log10-transformed and sample-standardized before comparative fitting. Pairwise associations among conditional genome size, nucleus area, and cell area were estimated with Pagel-lambda phylogenetic generalized least squares. Lambda was estimated by maximum likelihood over 10</w:t>
      </w:r>
      <w:r>
        <w:rPr>
          <w:rFonts w:eastAsia="Times New Roman"/>
          <w:b w:val="false"/>
          <w:i w:val="false"/>
          <w:color w:val="000000"/>
          <w:sz w:val="18"/>
          <w:vertAlign w:val="superscript"/>
        </w:rPr>
        <w:t>-7</w:t>
      </w:r>
      <w:r>
        <w:rPr>
          <w:rFonts w:eastAsia="Times New Roman"/>
          <w:b w:val="false"/>
          <w:i w:val="false"/>
          <w:color w:val="000000"/>
          <w:sz w:val="22"/>
        </w:rPr>
        <w:t xml:space="preserve"> to 1. Coefficient tests used residual degrees of freedom and the </w:t>
      </w:r>
      <w:r>
        <w:rPr>
          <w:rFonts w:eastAsia="Times New Roman"/>
          <w:b w:val="false"/>
          <w:i/>
          <w:color w:val="000000"/>
          <w:sz w:val="22"/>
        </w:rPr>
        <w:t>t</w:t>
      </w:r>
      <w:r>
        <w:rPr>
          <w:rFonts w:eastAsia="Times New Roman"/>
          <w:b w:val="false"/>
          <w:i w:val="false"/>
          <w:color w:val="000000"/>
          <w:sz w:val="22"/>
        </w:rPr>
        <w:t xml:space="preserve"> distribution, and 95% confidence intervals and generalized </w:t>
      </w:r>
      <w:r>
        <w:rPr>
          <w:rFonts w:eastAsia="Times New Roman"/>
          <w:b w:val="false"/>
          <w:i/>
          <w:color w:val="000000"/>
          <w:sz w:val="22"/>
        </w:rPr>
        <w:t>R</w:t>
      </w:r>
      <w:r>
        <w:rPr>
          <w:rFonts w:eastAsia="Times New Roman"/>
          <w:b w:val="false"/>
          <w:i w:val="false"/>
          <w:color w:val="000000"/>
          <w:sz w:val="18"/>
          <w:vertAlign w:val="superscript"/>
        </w:rPr>
        <w:t>2</w:t>
      </w:r>
      <w:r>
        <w:rPr>
          <w:rFonts w:eastAsia="Times New Roman"/>
          <w:b w:val="false"/>
          <w:i w:val="false"/>
          <w:color w:val="000000"/>
          <w:sz w:val="22"/>
        </w:rPr>
        <w:t xml:space="preserve"> were reported. Forward, reverse, and two-predictor models were retained as sensitivity analyses rather than interpreted as causal directions.</w:t>
      </w:r>
    </w:p>
    <w:p>
      <w:pPr>
        <w:pStyle w:val="Normal"/>
        <w:widowControl/>
        <w:rPr/>
      </w:pPr>
      <w:r>
        <w:rPr>
          <w:rFonts w:eastAsia="Times New Roman"/>
          <w:b w:val="false"/>
          <w:i w:val="false"/>
          <w:color w:val="000000"/>
          <w:sz w:val="22"/>
        </w:rPr>
        <w:t>Phylogenetic path analysis was conducted on conditional genome size, nucleus area, and cell area. The candidate set contained 25 directed acyclic graphs representing 11 Markov-equivalence classes, ten of which contained testable conditional-independence claims. Pagel-lambda models were primary, alpha was 0.05, and models within 2 CICc units of the best-supported class were considered competitive. Markov-equivalent graphs were not used to assign a unique causal direction.</w:t>
      </w:r>
    </w:p>
    <w:p>
      <w:pPr>
        <w:pStyle w:val="Normal"/>
        <w:widowControl/>
        <w:rPr/>
      </w:pPr>
      <w:r>
        <w:rPr>
          <w:rFonts w:eastAsia="Times New Roman"/>
          <w:b w:val="false"/>
          <w:i w:val="false"/>
          <w:color w:val="000000"/>
          <w:sz w:val="22"/>
        </w:rPr>
        <w:t>Model sensitivity was examined with 250 measurement-bootstrap datasets that resampled paired cell-nucleus objects and the image and nucleus hierarchy underlying genome-size estimates. Additional analyses comprised 24 leave-one-species-out fits, 200 published bootstrap trees, and four evolutionary models: Brownian motion, Pagel lambda, Ornstein-Uhlenbeck with a fixed root, and Ornstein-Uhlenbeck with a random root. Simulation calibration used 800 datasets generated from four candidate causal classes under independent and Brownian residual regimes. Multiplication of IOD by a positive calibration constant cancels after log transformation and standardization, so fitted coefficients are invariant to the IOD-to-pg conversion. This mathematical invariance does not validate an absolute genome-size scale.</w:t>
      </w:r>
    </w:p>
    <w:p>
      <w:pPr>
        <w:pStyle w:val="Normal"/>
        <w:widowControl/>
        <w:rPr/>
      </w:pPr>
      <w:r>
        <w:rPr>
          <w:rFonts w:eastAsia="Times New Roman"/>
          <w:b w:val="false"/>
          <w:i w:val="false"/>
          <w:color w:val="000000"/>
          <w:sz w:val="22"/>
        </w:rPr>
        <w:t>The fitted path model contains only conditional genome size, nucleus area, and cell area. TE composition and maximum snout-vent length have not been incorporated into this model, and the current three-trait analysis was not treated as a completed all-data causal model.</w:t>
      </w:r>
    </w:p>
    <w:p>
      <w:pPr>
        <w:pStyle w:val="Heading1"/>
        <w:keepNext w:val="true"/>
        <w:rPr/>
      </w:pPr>
      <w:r>
        <w:rPr>
          <w:rFonts w:eastAsia="Times New Roman" w:ascii="Times New Roman" w:hAnsi="Times New Roman"/>
          <w:b/>
          <w:i w:val="false"/>
          <w:color w:val="000000"/>
          <w:sz w:val="23"/>
        </w:rPr>
        <w:t>Software and data availability</w:t>
      </w:r>
    </w:p>
    <w:p>
      <w:pPr>
        <w:pStyle w:val="Normal"/>
        <w:widowControl/>
        <w:spacing w:before="0" w:after="80"/>
        <w:rPr/>
      </w:pPr>
      <w:r>
        <w:rPr>
          <w:rFonts w:eastAsia="Times New Roman"/>
          <w:b w:val="false"/>
          <w:i w:val="false"/>
          <w:color w:val="000000"/>
          <w:sz w:val="22"/>
        </w:rPr>
        <w:t>Downstream analyses were conducted from preserved RepeatModeler, dnaPipeTE, RepeatMasker, LTR mapping, and reviewed microscopy outputs. Local processing included species-identity joins, technical-run averaging, filtering, diversity calculations, CLR-PCA, phylogenetic analyses, and figure generation. The phylogenetic analyses used R 4.4.3, ape 5.8.1, phylolm 2.6.5, and phylopath 1.3.1. The released LTR and reviewed-morphology tables retain row-level eligibility, exclusion, and quality-control fields. Other raw and high-performance-computing outputs remain in frozen archival storage. Released files are accompanied by source paths, dimensions, column definitions, and SHA-256 checksums.</w:t>
      </w:r>
    </w:p>
    <w:sectPr>
      <w:footerReference w:type="even" r:id="rId3"/>
      <w:footerReference w:type="default" r:id="rId4"/>
      <w:footerReference w:type="first" r:id="rId5"/>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Roboto">
    <w:altName w:val="Helvetica"/>
    <w:charset w:val="01" w:characterSet="utf-8"/>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eastAsia="Times New Roman"/>
        <w:b w:val="false"/>
        <w:i w:val="false"/>
        <w:color w:val="000000"/>
        <w:sz w:val="22"/>
      </w:rPr>
      <w:fldChar w:fldCharType="begin"/>
    </w:r>
    <w:r>
      <w:rPr>
        <w:rFonts w:eastAsia="Times New Roman"/>
        <w:b w:val="false"/>
        <w:i w:val="false"/>
        <w:color w:val="000000"/>
        <w:sz w:val="22"/>
      </w:rPr>
      <w:instrText xml:space="preserve"> PAGE </w:instrText>
    </w:r>
    <w:r>
      <w:rPr>
        <w:rFonts w:eastAsia="Times New Roman"/>
        <w:b w:val="false"/>
        <w:i w:val="false"/>
        <w:color w:val="000000"/>
        <w:sz w:val="22"/>
      </w:rPr>
      <w:fldChar w:fldCharType="separate"/>
    </w:r>
    <w:r>
      <w:rPr>
        <w:rFonts w:eastAsia="Times New Roman"/>
        <w:b w:val="false"/>
        <w:i w:val="false"/>
        <w:color w:val="000000"/>
        <w:sz w:val="22"/>
      </w:rPr>
      <w:t>5</w:t>
    </w:r>
    <w:r>
      <w:rPr>
        <w:rFonts w:eastAsia="Times New Roman"/>
        <w:b w:val="false"/>
        <w:i w:val="false"/>
        <w:color w:val="000000"/>
        <w:sz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eastAsia="Times New Roman"/>
        <w:b w:val="false"/>
        <w:i w:val="false"/>
        <w:color w:val="000000"/>
        <w:sz w:val="22"/>
      </w:rPr>
      <w:fldChar w:fldCharType="begin"/>
    </w:r>
    <w:r>
      <w:rPr>
        <w:rFonts w:eastAsia="Times New Roman"/>
        <w:b w:val="false"/>
        <w:i w:val="false"/>
        <w:color w:val="000000"/>
        <w:sz w:val="22"/>
      </w:rPr>
      <w:instrText xml:space="preserve"> PAGE </w:instrText>
    </w:r>
    <w:r>
      <w:rPr>
        <w:rFonts w:eastAsia="Times New Roman"/>
        <w:b w:val="false"/>
        <w:i w:val="false"/>
        <w:color w:val="000000"/>
        <w:sz w:val="22"/>
      </w:rPr>
      <w:fldChar w:fldCharType="separate"/>
    </w:r>
    <w:r>
      <w:rPr>
        <w:rFonts w:eastAsia="Times New Roman"/>
        <w:b w:val="false"/>
        <w:i w:val="false"/>
        <w:color w:val="000000"/>
        <w:sz w:val="22"/>
      </w:rPr>
      <w:t>5</w:t>
    </w:r>
    <w:r>
      <w:rPr>
        <w:rFonts w:eastAsia="Times New Roman"/>
        <w:b w:val="false"/>
        <w:i w:val="false"/>
        <w:color w:val="000000"/>
        <w:sz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9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ind w:firstLine="360"/>
      <w:jc w:val="start"/>
    </w:pPr>
    <w:rPr>
      <w:rFonts w:ascii="Times New Roman" w:hAnsi="Times New Roman"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60"/>
      <w:ind w:hanging="0"/>
      <w:jc w:val="start"/>
      <w:outlineLvl w:val="0"/>
    </w:pPr>
    <w:rPr>
      <w:rFonts w:ascii="Calibri" w:hAnsi="Calibri" w:eastAsia="ＭＳ ゴシック" w:cs="" w:asciiTheme="majorHAnsi" w:cstheme="majorBidi" w:eastAsiaTheme="majorEastAsia" w:hAnsiTheme="majorHAnsi"/>
      <w:b/>
      <w:bCs/>
      <w:color w:val="000000"/>
      <w:sz w:val="23"/>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ManuscriptTitle" w:customStyle="1">
    <w:name w:val="Manuscript Title"/>
    <w:basedOn w:val="Normal"/>
    <w:qFormat/>
    <w:pPr>
      <w:keepNext w:val="true"/>
      <w:spacing w:before="0" w:after="240"/>
      <w:ind w:hanging="0"/>
      <w:jc w:val="center"/>
    </w:pPr>
    <w:rPr>
      <w:rFonts w:ascii="Times New Roman" w:hAnsi="Times New Roman"/>
      <w:b/>
      <w:color w:val="000000"/>
      <w:sz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cbi.nlm.nih.gov/nuccore/AY728227.1/"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LibreOffice/26.2.4.2$Linux_X86_64 LibreOffice_project/620$Build-2</Application>
  <AppVersion>15.0000</AppVersion>
  <Pages>5</Pages>
  <Words>2189</Words>
  <Characters>13419</Characters>
  <CharactersWithSpaces>15568</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2026-08-13T00:00:00Z</dcterms:created>
  <dc:creator>Desmognathus TE Study</dc:creator>
  <dc:description>Generated from MATERIALS_AND_METHODS_RESEARCHER_DRAFT.md</dc:description>
  <cp:keywords>Desmognathus transposable elements microscopy genome size</cp:keywords>
  <dc:language>en-US</dc:language>
  <cp:lastModifiedBy/>
  <dcterms:modified xsi:type="dcterms:W3CDTF">2026-08-13T17:02:16Z</dcterms:modified>
  <cp:revision>5</cp:revision>
  <dc:subject>Researcher-facing draft for the Desmognathus TE study</dc:subject>
  <dc:title>Materials and Methods</dc:title>
</cp:coreProperties>
</file>

<file path=docProps/custom.xml><?xml version="1.0" encoding="utf-8"?>
<Properties xmlns="http://schemas.openxmlformats.org/officeDocument/2006/custom-properties" xmlns:vt="http://schemas.openxmlformats.org/officeDocument/2006/docPropsVTypes"/>
</file>