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6"/>
          <w:szCs w:val="36"/>
        </w:rPr>
        <w:t xml:space="preserve">UNANIMOUS SHAREHOLDERS AGREEMENT</w:t>
      </w:r>
    </w:p>
    <w:p>
      <w:pPr>
        <w:spacing w:after="360"/>
        <w:jc w:val="center"/>
      </w:pPr>
      <w:r>
        <w:rPr>
          <w:b/>
          <w:bCs/>
        </w:rPr>
        <w:t xml:space="preserve">[COMPANY NAME] INC.</w:t>
      </w:r>
    </w:p>
    <w:p>
      <w:pPr>
        <w:pBdr>
          <w:top w:val="single" w:color="888888" w:sz="6"/>
          <w:bottom w:val="single" w:color="888888" w:sz="6"/>
        </w:pBdr>
        <w:spacing w:after="360" w:before="240"/>
      </w:pPr>
      <w:r>
        <w:rPr>
          <w:i/>
          <w:iCs/>
          <w:sz w:val="18"/>
          <w:szCs w:val="18"/>
        </w:rPr>
        <w:t xml:space="preserve">TEMPLATE NOTICE: This document is a starting template and is NOT legal advice. It must be reviewed and customized by a qualified Canadian corporate lawyer before execution. Specific terms — particularly tax-sensitive provisions affecting CCPC status and LCGE eligibility — must be tailored to your circumstances.</w:t>
      </w:r>
    </w:p>
    <w:p>
      <w:pPr>
        <w:spacing w:after="120"/>
      </w:pPr>
      <w:r>
        <w:t xml:space="preserve">THIS AGREEMENT is made effective as of the _____ day of _______________, 20___ (the "Effective Date").</w:t>
      </w:r>
    </w:p>
    <w:p>
      <w:r>
        <w:t xml:space="preserve"/>
      </w:r>
    </w:p>
    <w:p>
      <w:pPr>
        <w:spacing w:after="120"/>
      </w:pPr>
      <w:r>
        <w:rPr>
          <w:b/>
          <w:bCs/>
        </w:rPr>
        <w:t xml:space="preserve">AMONG:</w:t>
      </w:r>
    </w:p>
    <w:p>
      <w:pPr>
        <w:spacing w:after="120"/>
      </w:pPr>
      <w:r>
        <w:t xml:space="preserve">Yona Watson, an individual residing in [CITY, PROVINCE]</w:t>
      </w:r>
    </w:p>
    <w:p>
      <w:pPr>
        <w:spacing w:after="120"/>
      </w:pPr>
      <w:r>
        <w:t xml:space="preserve">(hereinafter "Watson")</w:t>
      </w:r>
    </w:p>
    <w:p>
      <w:r>
        <w:t xml:space="preserve"/>
      </w:r>
    </w:p>
    <w:p>
      <w:pPr>
        <w:spacing w:after="120"/>
      </w:pPr>
      <w:r>
        <w:rPr>
          <w:b/>
          <w:bCs/>
        </w:rPr>
        <w:t xml:space="preserve">AND:</w:t>
      </w:r>
    </w:p>
    <w:p>
      <w:pPr>
        <w:spacing w:after="120"/>
      </w:pPr>
      <w:r>
        <w:t xml:space="preserve">Jake Feldman, an individual residing in [CITY, PROVINCE]</w:t>
      </w:r>
    </w:p>
    <w:p>
      <w:pPr>
        <w:spacing w:after="120"/>
      </w:pPr>
      <w:r>
        <w:t xml:space="preserve">(hereinafter "Feldman")</w:t>
      </w:r>
    </w:p>
    <w:p>
      <w:r>
        <w:t xml:space="preserve"/>
      </w:r>
    </w:p>
    <w:p>
      <w:pPr>
        <w:spacing w:after="120"/>
      </w:pPr>
      <w:r>
        <w:rPr>
          <w:b/>
          <w:bCs/>
        </w:rPr>
        <w:t xml:space="preserve">AND:</w:t>
      </w:r>
    </w:p>
    <w:p>
      <w:pPr>
        <w:spacing w:after="120"/>
      </w:pPr>
      <w:r>
        <w:t xml:space="preserve">[COMPANY NAME] INC., a corporation incorporated under the Canada Business Corporations Act</w:t>
      </w:r>
    </w:p>
    <w:p>
      <w:pPr>
        <w:spacing w:after="120"/>
      </w:pPr>
      <w:r>
        <w:t xml:space="preserve">(the "Corporation")</w:t>
      </w:r>
    </w:p>
    <w:p>
      <w:r>
        <w:t xml:space="preserve"/>
      </w:r>
    </w:p>
    <w:p>
      <w:pPr>
        <w:spacing w:after="120"/>
      </w:pPr>
      <w:r>
        <w:t xml:space="preserve">(Watson and Feldman are collectively referred to as the "Shareholders" and each individually as a "Shareholder".)</w:t>
      </w:r>
    </w:p>
    <w:p>
      <w:pPr>
        <w:pStyle w:val="Heading1"/>
      </w:pPr>
      <w:r>
        <w:t xml:space="preserve">RECITALS</w:t>
      </w:r>
    </w:p>
    <w:p>
      <w:pPr>
        <w:spacing w:after="120"/>
      </w:pPr>
      <w:r>
        <w:t xml:space="preserve">WHEREAS the Corporation was incorporated under the Canada Business Corporations Act for the purpose of carrying on the business of developing, manufacturing, and operating unmanned aerial vehicle (drone) technologies and related services (the "Business");</w:t>
      </w:r>
    </w:p>
    <w:p>
      <w:pPr>
        <w:spacing w:after="120"/>
      </w:pPr>
      <w:r>
        <w:t xml:space="preserve">AND WHEREAS the authorized share capital of the Corporation consists of an unlimited number of common shares, of which the Shareholders hold the following:</w:t>
      </w:r>
    </w:p>
    <w:p>
      <w:pPr>
        <w:pStyle w:val="ListParagraph"/>
        <w:numPr>
          <w:ilvl w:val="0"/>
          <w:numId w:val="2"/>
        </w:numPr>
        <w:spacing w:after="80"/>
      </w:pPr>
      <w:r>
        <w:t xml:space="preserve">Watson: 4,000,000 common shares (50%)</w:t>
      </w:r>
    </w:p>
    <w:p>
      <w:pPr>
        <w:pStyle w:val="ListParagraph"/>
        <w:numPr>
          <w:ilvl w:val="0"/>
          <w:numId w:val="2"/>
        </w:numPr>
        <w:spacing w:after="80"/>
      </w:pPr>
      <w:r>
        <w:t xml:space="preserve">Feldman: 4,000,000 common shares (50%)</w:t>
      </w:r>
    </w:p>
    <w:p>
      <w:pPr>
        <w:spacing w:after="120"/>
      </w:pPr>
      <w:r>
        <w:t xml:space="preserve">AND WHEREAS the parties wish to enter into this Agreement to govern their relationship as Shareholders, the management of the Corporation, and the disposition of shares;</w:t>
      </w:r>
    </w:p>
    <w:p>
      <w:pPr>
        <w:spacing w:after="120"/>
      </w:pPr>
      <w:r>
        <w:t xml:space="preserve">NOW THEREFORE in consideration of the mutual covenants contained herein, the parties agree as follows:</w:t>
      </w:r>
    </w:p>
    <w:p>
      <w:pPr>
        <w:pStyle w:val="Heading1"/>
      </w:pPr>
      <w:r>
        <w:t xml:space="preserve">ARTICLE 1 — DEFINITIONS AND INTERPRETATION</w:t>
      </w:r>
    </w:p>
    <w:p>
      <w:pPr>
        <w:pStyle w:val="ListParagraph"/>
        <w:numPr>
          <w:ilvl w:val="0"/>
          <w:numId w:val="3"/>
        </w:numPr>
        <w:spacing w:after="120"/>
      </w:pPr>
      <w:r>
        <w:t xml:space="preserve">"Agreement" means this Unanimous Shareholders Agreement, including all schedules, as amended from time to time.</w:t>
      </w:r>
    </w:p>
    <w:p>
      <w:pPr>
        <w:pStyle w:val="ListParagraph"/>
        <w:numPr>
          <w:ilvl w:val="0"/>
          <w:numId w:val="3"/>
        </w:numPr>
        <w:spacing w:after="120"/>
      </w:pPr>
      <w:r>
        <w:t xml:space="preserve">"Board" means the board of directors of the Corporation.</w:t>
      </w:r>
    </w:p>
    <w:p>
      <w:pPr>
        <w:pStyle w:val="ListParagraph"/>
        <w:numPr>
          <w:ilvl w:val="0"/>
          <w:numId w:val="3"/>
        </w:numPr>
        <w:spacing w:after="120"/>
      </w:pPr>
      <w:r>
        <w:t xml:space="preserve">"CBCA" means the Canada Business Corporations Act.</w:t>
      </w:r>
    </w:p>
    <w:p>
      <w:pPr>
        <w:pStyle w:val="ListParagraph"/>
        <w:numPr>
          <w:ilvl w:val="0"/>
          <w:numId w:val="3"/>
        </w:numPr>
        <w:spacing w:after="120"/>
      </w:pPr>
      <w:r>
        <w:t xml:space="preserve">"Fair Market Value" means the value of a share determined in good faith by the Board, or, failing agreement, by an independent valuator mutually agreed upon by the parties.</w:t>
      </w:r>
    </w:p>
    <w:p>
      <w:pPr>
        <w:pStyle w:val="ListParagraph"/>
        <w:numPr>
          <w:ilvl w:val="0"/>
          <w:numId w:val="3"/>
        </w:numPr>
        <w:spacing w:after="120"/>
      </w:pPr>
      <w:r>
        <w:t xml:space="preserve">"Shares" means common shares in the capital of the Corporation.</w:t>
      </w:r>
    </w:p>
    <w:p>
      <w:pPr>
        <w:pStyle w:val="ListParagraph"/>
        <w:numPr>
          <w:ilvl w:val="0"/>
          <w:numId w:val="3"/>
        </w:numPr>
        <w:spacing w:after="120"/>
      </w:pPr>
      <w:r>
        <w:t xml:space="preserve">"Vesting Schedule" has the meaning set out in Article 5.</w:t>
      </w:r>
    </w:p>
    <w:p>
      <w:pPr>
        <w:pStyle w:val="Heading1"/>
      </w:pPr>
      <w:r>
        <w:t xml:space="preserve">ARTICLE 2 — BOARD AND GOVERNANCE</w:t>
      </w:r>
    </w:p>
    <w:p>
      <w:pPr>
        <w:pStyle w:val="ListParagraph"/>
        <w:numPr>
          <w:ilvl w:val="0"/>
          <w:numId w:val="3"/>
        </w:numPr>
        <w:spacing w:after="120"/>
      </w:pPr>
      <w:r>
        <w:t xml:space="preserve">The Board shall initially consist of two (2) directors, being Watson and Feldman.</w:t>
      </w:r>
    </w:p>
    <w:p>
      <w:pPr>
        <w:pStyle w:val="ListParagraph"/>
        <w:numPr>
          <w:ilvl w:val="0"/>
          <w:numId w:val="3"/>
        </w:numPr>
        <w:spacing w:after="120"/>
      </w:pPr>
      <w:r>
        <w:t xml:space="preserve">Each Shareholder shall have the right to nominate one director for so long as such Shareholder holds at least ten percent (10%) of the issued and outstanding Shares.</w:t>
      </w:r>
    </w:p>
    <w:p>
      <w:pPr>
        <w:pStyle w:val="ListParagraph"/>
        <w:numPr>
          <w:ilvl w:val="0"/>
          <w:numId w:val="3"/>
        </w:numPr>
        <w:spacing w:after="120"/>
      </w:pPr>
      <w:r>
        <w:t xml:space="preserve">Quorum for any meeting of the Board shall require both directors to be present (in person or by electronic means).</w:t>
      </w:r>
    </w:p>
    <w:p>
      <w:pPr>
        <w:pStyle w:val="ListParagraph"/>
        <w:numPr>
          <w:ilvl w:val="0"/>
          <w:numId w:val="3"/>
        </w:numPr>
        <w:spacing w:after="120"/>
      </w:pPr>
      <w:r>
        <w:t xml:space="preserve">All decisions of the Board shall require the unanimous approval of both directors, except as otherwise provided in this Agreement or in the by-laws of the Corporation.</w:t>
      </w:r>
    </w:p>
    <w:p>
      <w:pPr>
        <w:pStyle w:val="ListParagraph"/>
        <w:numPr>
          <w:ilvl w:val="0"/>
          <w:numId w:val="3"/>
        </w:numPr>
        <w:spacing w:after="120"/>
      </w:pPr>
      <w:r>
        <w:t xml:space="preserve">The following matters shall require the unanimous written approval of all Shareholders:</w:t>
      </w:r>
    </w:p>
    <w:p>
      <w:pPr>
        <w:pStyle w:val="ListParagraph"/>
        <w:numPr>
          <w:ilvl w:val="1"/>
          <w:numId w:val="3"/>
        </w:numPr>
        <w:spacing w:after="120"/>
      </w:pPr>
      <w:r>
        <w:t xml:space="preserve">Any amendment to the articles or by-laws of the Corporation;</w:t>
      </w:r>
    </w:p>
    <w:p>
      <w:pPr>
        <w:pStyle w:val="ListParagraph"/>
        <w:numPr>
          <w:ilvl w:val="1"/>
          <w:numId w:val="3"/>
        </w:numPr>
        <w:spacing w:after="120"/>
      </w:pPr>
      <w:r>
        <w:t xml:space="preserve">Any issuance, redemption, or repurchase of Shares;</w:t>
      </w:r>
    </w:p>
    <w:p>
      <w:pPr>
        <w:pStyle w:val="ListParagraph"/>
        <w:numPr>
          <w:ilvl w:val="1"/>
          <w:numId w:val="3"/>
        </w:numPr>
        <w:spacing w:after="120"/>
      </w:pPr>
      <w:r>
        <w:t xml:space="preserve">Any incurrence of debt exceeding $50,000;</w:t>
      </w:r>
    </w:p>
    <w:p>
      <w:pPr>
        <w:pStyle w:val="ListParagraph"/>
        <w:numPr>
          <w:ilvl w:val="1"/>
          <w:numId w:val="3"/>
        </w:numPr>
        <w:spacing w:after="120"/>
      </w:pPr>
      <w:r>
        <w:t xml:space="preserve">Any sale of all or substantially all of the assets of the Corporation;</w:t>
      </w:r>
    </w:p>
    <w:p>
      <w:pPr>
        <w:pStyle w:val="ListParagraph"/>
        <w:numPr>
          <w:ilvl w:val="1"/>
          <w:numId w:val="3"/>
        </w:numPr>
        <w:spacing w:after="120"/>
      </w:pPr>
      <w:r>
        <w:t xml:space="preserve">Any merger, amalgamation, or reorganization;</w:t>
      </w:r>
    </w:p>
    <w:p>
      <w:pPr>
        <w:pStyle w:val="ListParagraph"/>
        <w:numPr>
          <w:ilvl w:val="1"/>
          <w:numId w:val="3"/>
        </w:numPr>
        <w:spacing w:after="120"/>
      </w:pPr>
      <w:r>
        <w:t xml:space="preserve">Any change to the principal business of the Corporation;</w:t>
      </w:r>
    </w:p>
    <w:p>
      <w:pPr>
        <w:pStyle w:val="ListParagraph"/>
        <w:numPr>
          <w:ilvl w:val="1"/>
          <w:numId w:val="3"/>
        </w:numPr>
        <w:spacing w:after="120"/>
      </w:pPr>
      <w:r>
        <w:t xml:space="preserve">Any declaration or payment of dividends;</w:t>
      </w:r>
    </w:p>
    <w:p>
      <w:pPr>
        <w:pStyle w:val="ListParagraph"/>
        <w:numPr>
          <w:ilvl w:val="1"/>
          <w:numId w:val="3"/>
        </w:numPr>
        <w:spacing w:after="120"/>
      </w:pPr>
      <w:r>
        <w:t xml:space="preserve">Any related-party transaction;</w:t>
      </w:r>
    </w:p>
    <w:p>
      <w:pPr>
        <w:pStyle w:val="ListParagraph"/>
        <w:numPr>
          <w:ilvl w:val="1"/>
          <w:numId w:val="3"/>
        </w:numPr>
        <w:spacing w:after="120"/>
      </w:pPr>
      <w:r>
        <w:t xml:space="preserve">Hiring or terminating any executive officer, or setting compensation above $100,000 annually;</w:t>
      </w:r>
    </w:p>
    <w:p>
      <w:pPr>
        <w:pStyle w:val="ListParagraph"/>
        <w:numPr>
          <w:ilvl w:val="1"/>
          <w:numId w:val="3"/>
        </w:numPr>
        <w:spacing w:after="120"/>
      </w:pPr>
      <w:r>
        <w:t xml:space="preserve">Approval of the annual budget and any deviation exceeding 15%.</w:t>
      </w:r>
    </w:p>
    <w:p>
      <w:pPr>
        <w:pStyle w:val="Heading1"/>
      </w:pPr>
      <w:r>
        <w:t xml:space="preserve">ARTICLE 3 — DEADLOCK RESOLUTION</w:t>
      </w:r>
    </w:p>
    <w:p>
      <w:pPr>
        <w:pStyle w:val="ListParagraph"/>
        <w:numPr>
          <w:ilvl w:val="0"/>
          <w:numId w:val="3"/>
        </w:numPr>
        <w:spacing w:after="120"/>
      </w:pPr>
      <w:r>
        <w:t xml:space="preserve">In the event the Shareholders or directors cannot agree on a matter requiring unanimous approval (a "Deadlock"), the parties shall first attempt to resolve the Deadlock through good-faith negotiation for a period of thirty (30) days.</w:t>
      </w:r>
    </w:p>
    <w:p>
      <w:pPr>
        <w:pStyle w:val="ListParagraph"/>
        <w:numPr>
          <w:ilvl w:val="0"/>
          <w:numId w:val="3"/>
        </w:numPr>
        <w:spacing w:after="120"/>
      </w:pPr>
      <w:r>
        <w:t xml:space="preserve">If the Deadlock remains unresolved, the parties shall engage in mediation with a mutually agreed mediator for a further thirty (30) days.</w:t>
      </w:r>
    </w:p>
    <w:p>
      <w:pPr>
        <w:pStyle w:val="ListParagraph"/>
        <w:numPr>
          <w:ilvl w:val="0"/>
          <w:numId w:val="3"/>
        </w:numPr>
        <w:spacing w:after="120"/>
      </w:pPr>
      <w:r>
        <w:t xml:space="preserve">If mediation fails, either Shareholder may invoke a "Shotgun" buy-sell mechanism, whereby:</w:t>
      </w:r>
    </w:p>
    <w:p>
      <w:pPr>
        <w:pStyle w:val="ListParagraph"/>
        <w:numPr>
          <w:ilvl w:val="1"/>
          <w:numId w:val="3"/>
        </w:numPr>
        <w:spacing w:after="120"/>
      </w:pPr>
      <w:r>
        <w:t xml:space="preserve">The initiating Shareholder shall deliver written notice specifying a price per Share;</w:t>
      </w:r>
    </w:p>
    <w:p>
      <w:pPr>
        <w:pStyle w:val="ListParagraph"/>
        <w:numPr>
          <w:ilvl w:val="1"/>
          <w:numId w:val="3"/>
        </w:numPr>
        <w:spacing w:after="120"/>
      </w:pPr>
      <w:r>
        <w:t xml:space="preserve">The receiving Shareholder shall have sixty (60) days to elect either to (i) sell all of their Shares to the initiating Shareholder at that price, or (ii) buy all of the initiating Shareholder's Shares at that price;</w:t>
      </w:r>
    </w:p>
    <w:p>
      <w:pPr>
        <w:pStyle w:val="ListParagraph"/>
        <w:numPr>
          <w:ilvl w:val="1"/>
          <w:numId w:val="3"/>
        </w:numPr>
        <w:spacing w:after="120"/>
      </w:pPr>
      <w:r>
        <w:t xml:space="preserve">Closing shall occur within ninety (90) days of the election.</w:t>
      </w:r>
    </w:p>
    <w:p>
      <w:pPr>
        <w:pStyle w:val="Heading1"/>
      </w:pPr>
      <w:r>
        <w:t xml:space="preserve">ARTICLE 4 — TRANSFER RESTRICTIONS</w:t>
      </w:r>
    </w:p>
    <w:p>
      <w:pPr>
        <w:pStyle w:val="ListParagraph"/>
        <w:numPr>
          <w:ilvl w:val="0"/>
          <w:numId w:val="3"/>
        </w:numPr>
        <w:spacing w:after="120"/>
      </w:pPr>
      <w:r>
        <w:t xml:space="preserve">No Shareholder may transfer, pledge, or otherwise dispose of any Shares without the prior written consent of the other Shareholder, except as expressly permitted by this Agreement.</w:t>
      </w:r>
    </w:p>
    <w:p>
      <w:pPr>
        <w:pStyle w:val="ListParagraph"/>
        <w:numPr>
          <w:ilvl w:val="0"/>
          <w:numId w:val="3"/>
        </w:numPr>
        <w:spacing w:after="120"/>
      </w:pPr>
      <w:r>
        <w:t xml:space="preserve">Any permitted transferee must execute a counterpart of this Agreement as a condition of transfer.</w:t>
      </w:r>
    </w:p>
    <w:p>
      <w:pPr>
        <w:pStyle w:val="ListParagraph"/>
        <w:numPr>
          <w:ilvl w:val="0"/>
          <w:numId w:val="3"/>
        </w:numPr>
        <w:spacing w:after="120"/>
      </w:pPr>
      <w:r>
        <w:t xml:space="preserve">RIGHT OF FIRST REFUSAL: If a Shareholder receives a bona fide third-party offer to purchase any of their Shares, they must first offer those Shares to the other Shareholder on the same terms. The other Shareholder shall have thirty (30) days to accept.</w:t>
      </w:r>
    </w:p>
    <w:p>
      <w:pPr>
        <w:pStyle w:val="ListParagraph"/>
        <w:numPr>
          <w:ilvl w:val="0"/>
          <w:numId w:val="3"/>
        </w:numPr>
        <w:spacing w:after="120"/>
      </w:pPr>
      <w:r>
        <w:t xml:space="preserve">TAG-ALONG RIGHTS: If a Shareholder proposes to sell more than 50% of their Shares to a third party, the other Shareholder shall have the right to participate in the sale on a pro rata basis on the same terms.</w:t>
      </w:r>
    </w:p>
    <w:p>
      <w:pPr>
        <w:pStyle w:val="ListParagraph"/>
        <w:numPr>
          <w:ilvl w:val="0"/>
          <w:numId w:val="3"/>
        </w:numPr>
        <w:spacing w:after="120"/>
      </w:pPr>
      <w:r>
        <w:t xml:space="preserve">DRAG-ALONG RIGHTS: If Shareholders holding at least 75% of the Shares agree to sell all of their Shares to a bona fide third-party purchaser, they may require the remaining Shareholders to sell their Shares on the same terms.</w:t>
      </w:r>
    </w:p>
    <w:p>
      <w:pPr>
        <w:pStyle w:val="Heading1"/>
      </w:pPr>
      <w:r>
        <w:t xml:space="preserve">ARTICLE 5 — FOUNDER VESTING</w:t>
      </w:r>
    </w:p>
    <w:p>
      <w:pPr>
        <w:pStyle w:val="ListParagraph"/>
        <w:numPr>
          <w:ilvl w:val="0"/>
          <w:numId w:val="3"/>
        </w:numPr>
        <w:spacing w:after="120"/>
      </w:pPr>
      <w:r>
        <w:t xml:space="preserve">Notwithstanding the issuance of Shares to the Shareholders on the Effective Date, the Shares held by each Shareholder shall be subject to the following vesting schedule (the "Vesting Schedule"):</w:t>
      </w:r>
    </w:p>
    <w:p>
      <w:pPr>
        <w:pStyle w:val="ListParagraph"/>
        <w:numPr>
          <w:ilvl w:val="1"/>
          <w:numId w:val="3"/>
        </w:numPr>
        <w:spacing w:after="120"/>
      </w:pPr>
      <w:r>
        <w:t xml:space="preserve">Zero percent (0%) of the Shares shall be vested prior to the first anniversary of the Effective Date (the "Cliff");</w:t>
      </w:r>
    </w:p>
    <w:p>
      <w:pPr>
        <w:pStyle w:val="ListParagraph"/>
        <w:numPr>
          <w:ilvl w:val="1"/>
          <w:numId w:val="3"/>
        </w:numPr>
        <w:spacing w:after="120"/>
      </w:pPr>
      <w:r>
        <w:t xml:space="preserve">On the first anniversary of the Effective Date, twenty-five percent (25%) of the Shares shall vest;</w:t>
      </w:r>
    </w:p>
    <w:p>
      <w:pPr>
        <w:pStyle w:val="ListParagraph"/>
        <w:numPr>
          <w:ilvl w:val="1"/>
          <w:numId w:val="3"/>
        </w:numPr>
        <w:spacing w:after="120"/>
      </w:pPr>
      <w:r>
        <w:t xml:space="preserve">The remaining seventy-five percent (75%) shall vest in equal monthly installments over the following thirty-six (36) months, such that one hundred percent (100%) of the Shares shall be fully vested on the fourth anniversary of the Effective Date.</w:t>
      </w:r>
    </w:p>
    <w:p>
      <w:pPr>
        <w:pStyle w:val="ListParagraph"/>
        <w:numPr>
          <w:ilvl w:val="0"/>
          <w:numId w:val="3"/>
        </w:numPr>
        <w:spacing w:after="120"/>
      </w:pPr>
      <w:r>
        <w:t xml:space="preserve">If a Shareholder ceases to provide services to the Corporation for any reason prior to full vesting (a "Departure"), the Corporation shall have the right (but not the obligation) to repurchase the unvested Shares:</w:t>
      </w:r>
    </w:p>
    <w:p>
      <w:pPr>
        <w:pStyle w:val="ListParagraph"/>
        <w:numPr>
          <w:ilvl w:val="1"/>
          <w:numId w:val="3"/>
        </w:numPr>
        <w:spacing w:after="120"/>
      </w:pPr>
      <w:r>
        <w:t xml:space="preserve">For Departure due to termination for Cause or voluntary resignation: at the lower of the original issue price or Fair Market Value;</w:t>
      </w:r>
    </w:p>
    <w:p>
      <w:pPr>
        <w:pStyle w:val="ListParagraph"/>
        <w:numPr>
          <w:ilvl w:val="1"/>
          <w:numId w:val="3"/>
        </w:numPr>
        <w:spacing w:after="120"/>
      </w:pPr>
      <w:r>
        <w:t xml:space="preserve">For Departure due to death, disability, or termination without Cause: at Fair Market Value.</w:t>
      </w:r>
    </w:p>
    <w:p>
      <w:pPr>
        <w:pStyle w:val="ListParagraph"/>
        <w:numPr>
          <w:ilvl w:val="0"/>
          <w:numId w:val="3"/>
        </w:numPr>
        <w:spacing w:after="120"/>
      </w:pPr>
      <w:r>
        <w:t xml:space="preserve">"Cause" means: (i) material breach of this Agreement or any employment/services agreement; (ii) fraud, embezzlement, or willful misconduct; (iii) conviction of an indictable offence; or (iv) gross negligence in the performance of duties.</w:t>
      </w:r>
    </w:p>
    <w:p>
      <w:pPr>
        <w:pStyle w:val="ListParagraph"/>
        <w:numPr>
          <w:ilvl w:val="0"/>
          <w:numId w:val="3"/>
        </w:numPr>
        <w:spacing w:after="120"/>
      </w:pPr>
      <w:r>
        <w:t xml:space="preserve">ACCELERATION: In the event of a Change of Control of the Corporation, one hundred percent (100%) of any unvested Shares shall immediately vest ("single-trigger" acceleration).</w:t>
      </w:r>
    </w:p>
    <w:p>
      <w:pPr>
        <w:pStyle w:val="Heading1"/>
      </w:pPr>
      <w:r>
        <w:t xml:space="preserve">ARTICLE 6 — CONFIDENTIALITY AND NON-COMPETITION</w:t>
      </w:r>
    </w:p>
    <w:p>
      <w:pPr>
        <w:pStyle w:val="ListParagraph"/>
        <w:numPr>
          <w:ilvl w:val="0"/>
          <w:numId w:val="3"/>
        </w:numPr>
        <w:spacing w:after="120"/>
      </w:pPr>
      <w:r>
        <w:t xml:space="preserve">Each Shareholder shall keep confidential all non-public information of the Corporation, including drone designs, software, customer lists, supplier information, and financial data, both during and after their involvement with the Corporation.</w:t>
      </w:r>
    </w:p>
    <w:p>
      <w:pPr>
        <w:pStyle w:val="ListParagraph"/>
        <w:numPr>
          <w:ilvl w:val="0"/>
          <w:numId w:val="3"/>
        </w:numPr>
        <w:spacing w:after="120"/>
      </w:pPr>
      <w:r>
        <w:t xml:space="preserve">During the period a Shareholder holds Shares and for twelve (12) months thereafter, the Shareholder shall not, within Canada:</w:t>
      </w:r>
    </w:p>
    <w:p>
      <w:pPr>
        <w:pStyle w:val="ListParagraph"/>
        <w:numPr>
          <w:ilvl w:val="1"/>
          <w:numId w:val="3"/>
        </w:numPr>
        <w:spacing w:after="120"/>
      </w:pPr>
      <w:r>
        <w:t xml:space="preserve">Engage in any business that directly competes with the Business;</w:t>
      </w:r>
    </w:p>
    <w:p>
      <w:pPr>
        <w:pStyle w:val="ListParagraph"/>
        <w:numPr>
          <w:ilvl w:val="1"/>
          <w:numId w:val="3"/>
        </w:numPr>
        <w:spacing w:after="120"/>
      </w:pPr>
      <w:r>
        <w:t xml:space="preserve">Solicit any employee, contractor, customer, or supplier of the Corporation.</w:t>
      </w:r>
    </w:p>
    <w:p>
      <w:pPr>
        <w:pStyle w:val="ListParagraph"/>
        <w:numPr>
          <w:ilvl w:val="0"/>
          <w:numId w:val="3"/>
        </w:numPr>
        <w:spacing w:after="120"/>
      </w:pPr>
      <w:r>
        <w:t xml:space="preserve">Each Shareholder acknowledges that these restrictions are reasonable and necessary to protect the legitimate business interests of the Corporation.</w:t>
      </w:r>
    </w:p>
    <w:p>
      <w:pPr>
        <w:pStyle w:val="Heading1"/>
      </w:pPr>
      <w:r>
        <w:t xml:space="preserve">ARTICLE 7 — INTELLECTUAL PROPERTY</w:t>
      </w:r>
    </w:p>
    <w:p>
      <w:pPr>
        <w:pStyle w:val="ListParagraph"/>
        <w:numPr>
          <w:ilvl w:val="0"/>
          <w:numId w:val="3"/>
        </w:numPr>
        <w:spacing w:after="120"/>
      </w:pPr>
      <w:r>
        <w:t xml:space="preserve">Each Shareholder shall execute and deliver to the Corporation a separate Intellectual Property Assignment Agreement assigning to the Corporation all right, title, and interest in any intellectual property created by such Shareholder relating to the Business.</w:t>
      </w:r>
    </w:p>
    <w:p>
      <w:pPr>
        <w:pStyle w:val="ListParagraph"/>
        <w:numPr>
          <w:ilvl w:val="0"/>
          <w:numId w:val="3"/>
        </w:numPr>
        <w:spacing w:after="120"/>
      </w:pPr>
      <w:r>
        <w:t xml:space="preserve">This obligation applies to all pre-existing IP brought to the Corporation as well as IP developed during their involvement.</w:t>
      </w:r>
    </w:p>
    <w:p>
      <w:pPr>
        <w:pStyle w:val="Heading1"/>
      </w:pPr>
      <w:r>
        <w:t xml:space="preserve">ARTICLE 8 — FINANCING AND DILUTION</w:t>
      </w:r>
    </w:p>
    <w:p>
      <w:pPr>
        <w:pStyle w:val="ListParagraph"/>
        <w:numPr>
          <w:ilvl w:val="0"/>
          <w:numId w:val="3"/>
        </w:numPr>
        <w:spacing w:after="120"/>
      </w:pPr>
      <w:r>
        <w:t xml:space="preserve">PRE-EMPTIVE RIGHTS: If the Corporation proposes to issue new Shares (other than under an employee stock option plan), each Shareholder shall have the right to subscribe for a pro rata portion of such Shares to maintain their ownership percentage.</w:t>
      </w:r>
    </w:p>
    <w:p>
      <w:pPr>
        <w:pStyle w:val="ListParagraph"/>
        <w:numPr>
          <w:ilvl w:val="0"/>
          <w:numId w:val="3"/>
        </w:numPr>
        <w:spacing w:after="120"/>
      </w:pPr>
      <w:r>
        <w:t xml:space="preserve">EMPLOYEE STOCK OPTION POOL: The Shareholders agree to reserve up to fifteen percent (15%) of the fully diluted share capital for issuance under an employee stock option plan, to be approved by unanimous written consent.</w:t>
      </w:r>
    </w:p>
    <w:p>
      <w:pPr>
        <w:pStyle w:val="Heading1"/>
      </w:pPr>
      <w:r>
        <w:t xml:space="preserve">ARTICLE 9 — REGULATORY MATTERS</w:t>
      </w:r>
    </w:p>
    <w:p>
      <w:pPr>
        <w:pStyle w:val="ListParagraph"/>
        <w:numPr>
          <w:ilvl w:val="0"/>
          <w:numId w:val="3"/>
        </w:numPr>
        <w:spacing w:after="120"/>
      </w:pPr>
      <w:r>
        <w:t xml:space="preserve">The Shareholders acknowledge that the Business is subject to regulation by Transport Canada under the Aeronautics Act and Canadian Aviation Regulations (CARs), including drone pilot certification, operational restrictions, and registration requirements.</w:t>
      </w:r>
    </w:p>
    <w:p>
      <w:pPr>
        <w:pStyle w:val="ListParagraph"/>
        <w:numPr>
          <w:ilvl w:val="0"/>
          <w:numId w:val="3"/>
        </w:numPr>
        <w:spacing w:after="120"/>
      </w:pPr>
      <w:r>
        <w:t xml:space="preserve">Each Shareholder shall use commercially reasonable efforts to ensure the Corporation maintains all required certifications, including Special Flight Operations Certificates (SFOCs) where required.</w:t>
      </w:r>
    </w:p>
    <w:p>
      <w:pPr>
        <w:pStyle w:val="ListParagraph"/>
        <w:numPr>
          <w:ilvl w:val="0"/>
          <w:numId w:val="3"/>
        </w:numPr>
        <w:spacing w:after="120"/>
      </w:pPr>
      <w:r>
        <w:t xml:space="preserve">The Shareholders shall ensure that the Corporation maintains Canadian-Controlled Private Corporation (CCPC) status to preserve eligibility for the Lifetime Capital Gains Exemption (LCGE) and Scientific Research and Experimental Development (SR&amp;ED) tax credits.</w:t>
      </w:r>
    </w:p>
    <w:p>
      <w:pPr>
        <w:pStyle w:val="Heading1"/>
      </w:pPr>
      <w:r>
        <w:t xml:space="preserve">ARTICLE 10 — GENERAL PROVISIONS</w:t>
      </w:r>
    </w:p>
    <w:p>
      <w:pPr>
        <w:pStyle w:val="ListParagraph"/>
        <w:numPr>
          <w:ilvl w:val="0"/>
          <w:numId w:val="3"/>
        </w:numPr>
        <w:spacing w:after="120"/>
      </w:pPr>
      <w:r>
        <w:t xml:space="preserve">This Agreement shall be governed by the laws of the Province of [PROVINCE] and the laws of Canada applicable therein.</w:t>
      </w:r>
    </w:p>
    <w:p>
      <w:pPr>
        <w:pStyle w:val="ListParagraph"/>
        <w:numPr>
          <w:ilvl w:val="0"/>
          <w:numId w:val="3"/>
        </w:numPr>
        <w:spacing w:after="120"/>
      </w:pPr>
      <w:r>
        <w:t xml:space="preserve">Any dispute arising under this Agreement shall, subject to Article 3, be referred to binding arbitration under the Arbitration Act of [PROVINCE], with arbitration to take place in [CITY].</w:t>
      </w:r>
    </w:p>
    <w:p>
      <w:pPr>
        <w:pStyle w:val="ListParagraph"/>
        <w:numPr>
          <w:ilvl w:val="0"/>
          <w:numId w:val="3"/>
        </w:numPr>
        <w:spacing w:after="120"/>
      </w:pPr>
      <w:r>
        <w:t xml:space="preserve">This Agreement constitutes the entire agreement between the parties with respect to its subject matter and supersedes all prior agreements.</w:t>
      </w:r>
    </w:p>
    <w:p>
      <w:pPr>
        <w:pStyle w:val="ListParagraph"/>
        <w:numPr>
          <w:ilvl w:val="0"/>
          <w:numId w:val="3"/>
        </w:numPr>
        <w:spacing w:after="120"/>
      </w:pPr>
      <w:r>
        <w:t xml:space="preserve">This Agreement may be amended only by written instrument signed by all parties.</w:t>
      </w:r>
    </w:p>
    <w:p>
      <w:pPr>
        <w:pStyle w:val="ListParagraph"/>
        <w:numPr>
          <w:ilvl w:val="0"/>
          <w:numId w:val="3"/>
        </w:numPr>
        <w:spacing w:after="120"/>
      </w:pPr>
      <w:r>
        <w:t xml:space="preserve">This Agreement may be executed in counterparts, including by electronic signature, each of which shall be deemed an original.</w:t>
      </w:r>
    </w:p>
    <w:p>
      <w:pPr>
        <w:pStyle w:val="ListParagraph"/>
        <w:numPr>
          <w:ilvl w:val="0"/>
          <w:numId w:val="3"/>
        </w:numPr>
        <w:spacing w:after="120"/>
      </w:pPr>
      <w:r>
        <w:t xml:space="preserve">If any provision of this Agreement is held to be invalid or unenforceable, the remaining provisions shall continue in full force and effect.</w:t>
      </w:r>
    </w:p>
    <w:p>
      <w:pPr>
        <w:spacing w:after="240" w:before="360"/>
      </w:pPr>
      <w:r>
        <w:rPr>
          <w:b/>
          <w:bCs/>
        </w:rPr>
        <w:t xml:space="preserve">IN WITNESS WHEREOF the parties have executed this Agreement as of the Effective Date.</w:t>
      </w:r>
    </w:p>
    <w:p>
      <w:pPr>
        <w:spacing w:before="400"/>
      </w:pPr>
      <w:r>
        <w:t xml:space="preserve"/>
      </w:r>
    </w:p>
    <w:p>
      <w:r>
        <w:t xml:space="preserve">_________________________________</w:t>
      </w:r>
    </w:p>
    <w:p>
      <w:r>
        <w:rPr>
          <w:b/>
          <w:bCs/>
        </w:rPr>
        <w:t xml:space="preserve">Yona Watson</w:t>
      </w:r>
    </w:p>
    <w:p>
      <w:r>
        <w:t xml:space="preserve">Shareholder and Director</w:t>
      </w:r>
    </w:p>
    <w:p>
      <w:pPr>
        <w:spacing w:after="200"/>
      </w:pPr>
      <w:r>
        <w:t xml:space="preserve">Date: _______________________</w:t>
      </w:r>
    </w:p>
    <w:p>
      <w:pPr>
        <w:spacing w:before="400"/>
      </w:pPr>
      <w:r>
        <w:t xml:space="preserve"/>
      </w:r>
    </w:p>
    <w:p>
      <w:r>
        <w:t xml:space="preserve">_________________________________</w:t>
      </w:r>
    </w:p>
    <w:p>
      <w:r>
        <w:rPr>
          <w:b/>
          <w:bCs/>
        </w:rPr>
        <w:t xml:space="preserve">Jake Feldman</w:t>
      </w:r>
    </w:p>
    <w:p>
      <w:r>
        <w:t xml:space="preserve">Shareholder and Director</w:t>
      </w:r>
    </w:p>
    <w:p>
      <w:pPr>
        <w:spacing w:after="200"/>
      </w:pPr>
      <w:r>
        <w:t xml:space="preserve">Date: _______________________</w:t>
      </w:r>
    </w:p>
    <w:p>
      <w:pPr>
        <w:spacing w:before="400"/>
      </w:pPr>
      <w:r>
        <w:t xml:space="preserve"/>
      </w:r>
    </w:p>
    <w:p>
      <w:r>
        <w:t xml:space="preserve">_________________________________</w:t>
      </w:r>
    </w:p>
    <w:p>
      <w:r>
        <w:rPr>
          <w:b/>
          <w:bCs/>
        </w:rPr>
        <w:t xml:space="preserve">[COMPANY NAME] INC.</w:t>
      </w:r>
    </w:p>
    <w:p>
      <w:r>
        <w:t xml:space="preserve">By its authorized signatory</w:t>
      </w:r>
    </w:p>
    <w:p>
      <w:pPr>
        <w:spacing w:after="200"/>
      </w:pPr>
      <w:r>
        <w:t xml:space="preserve">Date: 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Unanimous Shareholders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Title">
    <w:name w:val="Title"/>
    <w:basedOn w:val="Normal"/>
    <w:next w:val="Normal"/>
    <w:qFormat/>
    <w:pPr>
      <w:spacing w:after="360" w:before="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2026-05-13T23:23:00.654Z</dcterms:created>
  <dcterms:modified xsi:type="dcterms:W3CDTF">2026-05-13T23:23:00.654Z</dcterms:modified>
</cp:coreProperties>
</file>

<file path=docProps/custom.xml><?xml version="1.0" encoding="utf-8"?>
<Properties xmlns="http://schemas.openxmlformats.org/officeDocument/2006/custom-properties" xmlns:vt="http://schemas.openxmlformats.org/officeDocument/2006/docPropsVTypes"/>
</file>