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Increase in venous [K+] During Hyperbaric Exposure Independent of Changes in pH or O2 Concentration</w:t>
      </w:r>
    </w:p>
    <w:p>
      <w:pPr>
        <w:pStyle w:val="BodyText"/>
      </w:pPr>
      <w:r>
        <w:t xml:space="preserve">Increase in venous [K+] During Hyperbaric Exposure</w:t>
      </w:r>
    </w:p>
    <w:bookmarkStart w:id="20" w:name="abstract"/>
    <w:p>
      <w:pPr>
        <w:pStyle w:val="Heading1"/>
      </w:pPr>
      <w:r>
        <w:t xml:space="preserve">Abstract</w:t>
      </w:r>
    </w:p>
    <w:p>
      <w:pPr>
        <w:pStyle w:val="FirstParagraph"/>
      </w:pPr>
      <w:r>
        <w:t xml:space="preserve">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Plasma potassium levels are heavly regulated to fall within a narrow range of 3.5 to 5.0 mmol per liter and maintenance at these concentrations are of extreme importance to the function of many organs in the body.</w:t>
      </w:r>
      <w:r>
        <w:rPr>
          <w:vertAlign w:val="superscript"/>
        </w:rPr>
        <w:t xml:space="preserve">3</w:t>
      </w:r>
      <w:r>
        <w:t xml:space="preserve"> </w:t>
      </w:r>
      <w:r>
        <w:t xml:space="preserve">This is underscored by the fact that both hypokalemia or hyperkalemia lead to an increased death rate in certain conditions.</w:t>
      </w:r>
      <w:r>
        <w:rPr>
          <w:vertAlign w:val="superscript"/>
        </w:rPr>
        <w:t xml:space="preserve">5,6</w:t>
      </w:r>
      <w:r>
        <w:t xml:space="preserve"> </w:t>
      </w:r>
      <w:r>
        <w:t xml:space="preserve">This places importance on the determination of pathways of regulation and disease that lead to changes in plasma potassium levels. Factors investigated in this study that may lead to changes in plasma potassium levels, but remains understudied, are the effect of</w:t>
      </w:r>
      <w:r>
        <w:t xml:space="preserve"> </w:t>
      </w:r>
      <m:oMath>
        <m:sSub>
          <m:e>
            <m:r>
              <m:t>O</m:t>
            </m:r>
          </m:e>
          <m:sub>
            <m:r>
              <m:t>2</m:t>
            </m:r>
          </m:sub>
        </m:sSub>
      </m:oMath>
      <w:r>
        <w:t xml:space="preserve"> </w:t>
      </w:r>
      <w:r>
        <w:t xml:space="preserve">concentration and increased pressure.</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many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7</w:t>
      </w:r>
      <w:r>
        <w:t xml:space="preserve"> </w:t>
      </w:r>
      <w:r>
        <w:t xml:space="preserve">As of July 2021 the FDA has cleared</w:t>
      </w:r>
      <w:r>
        <w:t xml:space="preserve"> </w:t>
      </w:r>
      <m:oMath>
        <m:r>
          <m:t>H</m:t>
        </m:r>
        <m:r>
          <m:t>B</m:t>
        </m:r>
        <m:sSub>
          <m:e>
            <m:r>
              <m:t>O</m:t>
            </m:r>
          </m:e>
          <m:sub>
            <m:r>
              <m:t>2</m:t>
            </m:r>
          </m:sub>
        </m:sSub>
      </m:oMath>
      <w:r>
        <w:t xml:space="preserve"> </w:t>
      </w:r>
      <w:r>
        <w:t xml:space="preserve">for 13 different conditions.</w:t>
      </w:r>
      <w:r>
        <w:rPr>
          <w:vertAlign w:val="superscript"/>
        </w:rPr>
        <w:t xml:space="preserve">8</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administered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2,9</w:t>
      </w:r>
      <w:r>
        <w:t xml:space="preserve"> </w:t>
      </w:r>
      <w:r>
        <w:t xml:space="preserve">However research has shown that hyperoxia can effect voltage-gated K+ channels in humans</w:t>
      </w:r>
      <w:r>
        <w:rPr>
          <w:vertAlign w:val="superscript"/>
        </w:rPr>
        <w:t xml:space="preserve">10–12</w:t>
      </w:r>
      <w:r>
        <w:t xml:space="preserve"> </w:t>
      </w:r>
      <w:r>
        <w:t xml:space="preserve">One group found that long-term exposure to hyperoxia can result in a decrease in activity of voltage-gated K+ channels in lung tissue.</w:t>
      </w:r>
      <w:r>
        <w:rPr>
          <w:vertAlign w:val="superscript"/>
        </w:rPr>
        <w:t xml:space="preserve">10,11</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12</w:t>
      </w:r>
      <w:r>
        <w:t xml:space="preserve"> </w:t>
      </w:r>
      <w:r>
        <w:t xml:space="preserve">Internal potassium homeostasis and the distribution of intracellular and extracellular potassium in the body is primarly the reuslt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some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13–16</w:t>
      </w:r>
      <w:r>
        <w:t xml:space="preserve"> </w:t>
      </w:r>
      <w:r>
        <w:t xml:space="preserve">Therefore changes in activity or expression of these channels offers a potential linkage between effects hyperoxia on plasma poatassium.</w:t>
      </w:r>
    </w:p>
    <w:p>
      <w:pPr>
        <w:pStyle w:val="BodyText"/>
      </w:pPr>
      <w:r>
        <w:t xml:space="preserve">      The main goal of this study was to determine the similarities and differences in effects of conentrated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2"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contacted via phone. Participants in the study were separated into two groups. The first group received hyperbaric treatment in altitude sickness bags (n=14) while the second group received concentrated oxygen at room pressure (n=12).</w:t>
      </w:r>
    </w:p>
    <w:p>
      <w:pPr>
        <w:pStyle w:val="BodyText"/>
      </w:pPr>
      <w:r>
        <w:t xml:space="preserve">      Although treatment varied between groups, treatment schedule remained consistent and was the following. Subjects arrived Monday and height and weight were determined. Blood collected via venipuncture before treatment was used for a baseline metabolic panel and analyzed on arterial blood gas (ABG) machine. Following blood draws subjects underwent 1.5 hours of their respective treatments.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After a weekend of no treatment following the final treatment a blood draw occurred and subsequent analysis was preformed.</w:t>
      </w:r>
    </w:p>
    <w:p>
      <w:pPr>
        <w:pStyle w:val="BodyText"/>
      </w:pPr>
      <w:r>
        <w:t xml:space="preserve">      A total of 36 metabolic indicators were reported by the ABG machine. Indicators were compared pairwise between the four draws. Statistical analysis and data visualization was performed using R (The R Foundation) and paired student t-tests.</w:t>
      </w:r>
    </w:p>
    <w:bookmarkEnd w:id="22"/>
    <w:bookmarkStart w:id="23"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signiﬁcant increase in pH from baseline levels of</w:t>
      </w:r>
      <w:r>
        <w:t xml:space="preserve"> </w:t>
      </w:r>
      <m:oMath>
        <m:r>
          <m:t>7.374</m:t>
        </m:r>
        <m:r>
          <m:rPr>
            <m:sty m:val="p"/>
          </m:rPr>
          <m:t>±</m:t>
        </m:r>
        <m:r>
          <m:t>0.029</m:t>
        </m:r>
      </m:oMath>
      <w:r>
        <w:t xml:space="preserve"> </w:t>
      </w:r>
      <w:r>
        <w:t xml:space="preserve">to post exsposure levels of</w:t>
      </w:r>
      <w:r>
        <w:t xml:space="preserve"> </w:t>
      </w:r>
      <m:oMath>
        <m:r>
          <m:t>7.393</m:t>
        </m:r>
        <m:r>
          <m:rPr>
            <m:sty m:val="p"/>
          </m:rPr>
          <m:t>±</m:t>
        </m:r>
        <m:r>
          <m:t>0.014</m:t>
        </m:r>
      </m:oMath>
      <w:r>
        <w:t xml:space="preserve">(p=0.023) while the hyperbaric group saw no similar signifigant increase. Potassium levels were also increased in both the concentrated</w:t>
      </w:r>
      <w:r>
        <w:t xml:space="preserve"> </w:t>
      </w:r>
      <m:oMath>
        <m:sSub>
          <m:e>
            <m:r>
              <m:t>O</m:t>
            </m:r>
          </m:e>
          <m:sub>
            <m:r>
              <m:t>2</m:t>
            </m:r>
          </m:sub>
        </m:sSub>
      </m:oMath>
      <w:r>
        <w:t xml:space="preserve"> </w:t>
      </w:r>
      <w:r>
        <w:t xml:space="preserve">group and the hyperbaric oxygen group immediately post exposure. In the concentrated group the potassium levels were increased from</w:t>
      </w:r>
      <w:r>
        <w:t xml:space="preserve"> </w:t>
      </w:r>
      <m:oMath>
        <m:r>
          <m:t>4.09</m:t>
        </m:r>
        <m:r>
          <m:rPr>
            <m:sty m:val="p"/>
          </m:rPr>
          <m:t>±</m:t>
        </m:r>
        <m:r>
          <m:t>0.12</m:t>
        </m:r>
      </m:oMath>
      <w:r>
        <w:t xml:space="preserve"> </w:t>
      </w:r>
      <w:r>
        <w:t xml:space="preserve">pre-exposure to</w:t>
      </w:r>
      <w:r>
        <w:t xml:space="preserve"> </w:t>
      </w:r>
      <m:oMath>
        <m:r>
          <m:t>4.28</m:t>
        </m:r>
        <m:r>
          <m:rPr>
            <m:sty m:val="p"/>
          </m:rPr>
          <m:t>±</m:t>
        </m:r>
        <m:r>
          <m:t>0.28</m:t>
        </m:r>
      </m:oMath>
      <w:r>
        <w:t xml:space="preserve"> </w:t>
      </w:r>
      <w:r>
        <w:t xml:space="preserve">post-exposure.(p= 0.046) Whereas in the hyperbaric group a greater incraese was observed with pre-exposure levels at</w:t>
      </w:r>
      <w:r>
        <w:t xml:space="preserve"> </w:t>
      </w:r>
      <m:oMath>
        <m:r>
          <m:t>4.19</m:t>
        </m:r>
        <m:r>
          <m:rPr>
            <m:sty m:val="p"/>
          </m:rPr>
          <m:t>±</m:t>
        </m:r>
        <m:r>
          <m:t>0.26</m:t>
        </m:r>
      </m:oMath>
      <w:r>
        <w:t xml:space="preserve"> </w:t>
      </w:r>
      <w:r>
        <w:t xml:space="preserve">and post-exposure levels at</w:t>
      </w:r>
      <w:r>
        <w:t xml:space="preserve"> </w:t>
      </w:r>
      <m:oMath>
        <m:r>
          <m:t>4.55</m:t>
        </m:r>
        <m:r>
          <m:rPr>
            <m:sty m:val="p"/>
          </m:rPr>
          <m:t>±</m:t>
        </m:r>
        <m:sSup>
          <m:e>
            <m:r>
              <m:t>0.27</m:t>
            </m:r>
          </m:e>
          <m:sup>
            <m:r>
              <m:rPr>
                <m:sty m:val="p"/>
              </m:rPr>
              <m:t>*</m:t>
            </m:r>
          </m:sup>
        </m:sSup>
      </m:oMath>
      <w:r>
        <w:t xml:space="preserve">.(p=0.007046). Calcium levels were also incrased from basline levels of</w:t>
      </w:r>
      <w:r>
        <w:t xml:space="preserve"> </w:t>
      </w:r>
      <m:oMath>
        <m:r>
          <m:t>1.19</m:t>
        </m:r>
        <m:r>
          <m:rPr>
            <m:sty m:val="p"/>
          </m:rPr>
          <m:t>±</m:t>
        </m:r>
        <m:r>
          <m:t>0.04</m:t>
        </m:r>
      </m:oMath>
      <w:r>
        <w:t xml:space="preserve"> </w:t>
      </w:r>
      <w:r>
        <w:t xml:space="preserve">for both immediately post-exposure at</w:t>
      </w:r>
      <w:r>
        <w:t xml:space="preserve"> </w:t>
      </w:r>
      <m:oMath>
        <m:r>
          <m:t>1.21</m:t>
        </m:r>
        <m:r>
          <m:rPr>
            <m:sty m:val="p"/>
          </m:rPr>
          <m:t>±</m:t>
        </m:r>
        <m:r>
          <m:t>0.03</m:t>
        </m:r>
      </m:oMath>
      <w:r>
        <w:t xml:space="preserve">(p=0.043) and 24 hours post-exposure at</w:t>
      </w:r>
      <w:r>
        <w:t xml:space="preserve"> </w:t>
      </w:r>
      <m:oMath>
        <m:r>
          <m:t>1.22</m:t>
        </m:r>
        <m:r>
          <m:rPr>
            <m:sty m:val="p"/>
          </m:rPr>
          <m:t>±</m:t>
        </m:r>
        <m:r>
          <m:t>2</m:t>
        </m:r>
        <m:sSup>
          <m:e>
            <m:r>
              <m:t>0.02</m:t>
            </m:r>
          </m:e>
          <m:sup>
            <m:r>
              <m:rPr>
                <m:sty m:val="p"/>
              </m:rPr>
              <m:t>*</m:t>
            </m:r>
          </m:sup>
        </m:sSup>
      </m:oMath>
      <w:r>
        <w:t xml:space="preserve">(p=0.047) however no similar change was observed in the hyperbaric group.</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380"/>
        <w:gridCol w:w="1525"/>
        <w:gridCol w:w="1743"/>
        <w:gridCol w:w="1525"/>
        <w:gridCol w:w="1743"/>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sSup>
                <m:e>
                  <m:r>
                    <m:t>0.28</m:t>
                  </m:r>
                </m:e>
                <m:sup>
                  <m:r>
                    <m:rPr>
                      <m:sty m:val="p"/>
                    </m:rPr>
                    <m:t>*</m:t>
                  </m:r>
                </m:sup>
              </m:sSup>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C</m:t>
              </m:r>
              <m:r>
                <m:t>a</m:t>
              </m:r>
              <m:r>
                <m:rPr>
                  <m:sty m:val="p"/>
                </m:rPr>
                <m:t>+</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1.19</m:t>
              </m:r>
              <m:r>
                <m:rPr>
                  <m:sty m:val="p"/>
                </m:rPr>
                <m:t>±</m:t>
              </m:r>
              <m:r>
                <m:t>0.04</m:t>
              </m:r>
            </m:oMath>
          </w:p>
        </w:tc>
        <w:tc>
          <w:tcPr/>
          <w:p>
            <w:pPr>
              <w:pStyle w:val="Compact"/>
              <w:jc w:val="left"/>
            </w:pPr>
            <m:oMath>
              <m:r>
                <m:t>1.21</m:t>
              </m:r>
              <m:r>
                <m:rPr>
                  <m:sty m:val="p"/>
                </m:rPr>
                <m:t>±</m:t>
              </m:r>
              <m:sSup>
                <m:e>
                  <m:r>
                    <m:t>0.03</m:t>
                  </m:r>
                </m:e>
                <m:sup>
                  <m:r>
                    <m:rPr>
                      <m:sty m:val="p"/>
                    </m:rPr>
                    <m:t>*</m:t>
                  </m:r>
                </m:sup>
              </m:sSup>
            </m:oMath>
          </w:p>
        </w:tc>
        <w:tc>
          <w:tcPr/>
          <w:p>
            <w:pPr>
              <w:pStyle w:val="Compact"/>
              <w:jc w:val="left"/>
            </w:pPr>
            <m:oMath>
              <m:r>
                <m:t>1.22</m:t>
              </m:r>
              <m:r>
                <m:rPr>
                  <m:sty m:val="p"/>
                </m:rPr>
                <m:t>±</m:t>
              </m:r>
              <m:r>
                <m:t>2</m:t>
              </m:r>
              <m:sSup>
                <m:e>
                  <m:r>
                    <m:t>0.02</m:t>
                  </m:r>
                </m:e>
                <m:sup>
                  <m:r>
                    <m:rPr>
                      <m:sty m:val="p"/>
                    </m:rPr>
                    <m:t>*</m:t>
                  </m:r>
                </m:sup>
              </m:sSup>
            </m:oMath>
          </w:p>
        </w:tc>
        <w:tc>
          <w:tcPr/>
          <w:p>
            <w:pPr>
              <w:pStyle w:val="Compact"/>
              <w:jc w:val="left"/>
            </w:pPr>
            <m:oMath>
              <m:r>
                <m:t>1.21</m:t>
              </m:r>
              <m:r>
                <m:rPr>
                  <m:sty m:val="p"/>
                </m:rPr>
                <m:t>±</m:t>
              </m:r>
              <m:r>
                <m:t>0.04</m:t>
              </m:r>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08"/>
        <w:gridCol w:w="1584"/>
        <w:gridCol w:w="1652"/>
        <w:gridCol w:w="1721"/>
        <w:gridCol w:w="1652"/>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C</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1.24</m:t>
              </m:r>
              <m:r>
                <m:rPr>
                  <m:sty m:val="p"/>
                </m:rPr>
                <m:t>±</m:t>
              </m:r>
              <m:r>
                <m:t>0.03</m:t>
              </m:r>
            </m:oMath>
          </w:p>
        </w:tc>
        <w:tc>
          <w:tcPr/>
          <w:p>
            <w:pPr>
              <w:pStyle w:val="Compact"/>
              <w:jc w:val="left"/>
            </w:pPr>
            <m:oMath>
              <m:r>
                <m:t>1.25</m:t>
              </m:r>
              <m:r>
                <m:rPr>
                  <m:sty m:val="p"/>
                </m:rPr>
                <m:t>±</m:t>
              </m:r>
              <m:r>
                <m:t>0.03</m:t>
              </m:r>
            </m:oMath>
          </w:p>
        </w:tc>
        <w:tc>
          <w:tcPr/>
          <w:p>
            <w:pPr>
              <w:pStyle w:val="Compact"/>
              <w:jc w:val="left"/>
            </w:pPr>
            <m:oMath>
              <m:r>
                <m:t>1.22</m:t>
              </m:r>
              <m:r>
                <m:rPr>
                  <m:sty m:val="p"/>
                </m:rPr>
                <m:t>±</m:t>
              </m:r>
              <m:r>
                <m:t>2</m:t>
              </m:r>
              <m:r>
                <m:t>0.04</m:t>
              </m:r>
            </m:oMath>
          </w:p>
        </w:tc>
        <w:tc>
          <w:tcPr/>
          <w:p>
            <w:pPr>
              <w:pStyle w:val="Compact"/>
              <w:jc w:val="left"/>
            </w:pPr>
            <m:oMath>
              <m:r>
                <m:t>1.22</m:t>
              </m:r>
              <m:r>
                <m:rPr>
                  <m:sty m:val="p"/>
                </m:rPr>
                <m:t>±</m:t>
              </m:r>
              <m:r>
                <m:t>0.05</m:t>
              </m:r>
            </m:oMath>
          </w:p>
        </w:tc>
      </w:tr>
    </w:tbl>
    <w:bookmarkEnd w:id="23"/>
    <w:bookmarkStart w:id="24" w:name="discussion"/>
    <w:p>
      <w:pPr>
        <w:pStyle w:val="Heading1"/>
      </w:pPr>
      <w:r>
        <w:t xml:space="preserve">Discussion</w:t>
      </w:r>
    </w:p>
    <w:p>
      <w:pPr>
        <w:pStyle w:val="FirstParagraph"/>
      </w:pPr>
      <w:r>
        <w:t xml:space="preserve">     Based on the fact that the classical metabolites implicated in plasma potassium levels experienced no significant fluctuations this hints at a possible novel relationship between plasma potassium and hyperbaric treatment. However, limitations of this study mean that an exact explication for the observed plasma potassium levels in the hyperbaric group was not be determined. In spite of this fact several possible explanations based on findings in the literature and conditions present in this study arose and were as follows: an increase in hyperbaric chamber</w:t>
      </w:r>
      <w:r>
        <w:t xml:space="preserve"> </w:t>
      </w:r>
      <m:oMath>
        <m:r>
          <m:t>C</m:t>
        </m:r>
        <m:sSub>
          <m:e>
            <m:r>
              <m:t>O</m:t>
            </m:r>
          </m:e>
          <m:sub>
            <m:r>
              <m:t>2</m:t>
            </m:r>
          </m:sub>
        </m:sSub>
      </m:oMath>
      <w:r>
        <w:t xml:space="preserve"> </w:t>
      </w:r>
      <w:r>
        <w:t xml:space="preserve">resulting in mild respratory acidosis, increase in</w:t>
      </w:r>
      <w:r>
        <w:t xml:space="preserve"> </w:t>
      </w:r>
      <m:oMath>
        <m:sSub>
          <m:e>
            <m:r>
              <m:t>N</m:t>
            </m:r>
          </m:e>
          <m:sub>
            <m:r>
              <m:t>2</m:t>
            </m:r>
          </m:sub>
        </m:sSub>
      </m:oMath>
      <w:r>
        <w:t xml:space="preserve"> </w:t>
      </w:r>
      <w:r>
        <w:t xml:space="preserve">and creation of reactive nitrogen species (RNS) in tissue, potassium mediated fluctuations in vasoconstriction/dilation in resonse to changes in pressure and changes in potassium channel expression via</w:t>
      </w:r>
      <w:r>
        <w:t xml:space="preserve"> </w:t>
      </w:r>
      <m:oMath>
        <m:r>
          <m:t>H</m:t>
        </m:r>
        <m:r>
          <m:t>I</m:t>
        </m:r>
        <m:r>
          <m:t>F</m:t>
        </m:r>
        <m:r>
          <m:rPr>
            <m:sty m:val="p"/>
          </m:rPr>
          <m:t>−</m:t>
        </m:r>
        <m:r>
          <m:t>1</m:t>
        </m:r>
        <m:r>
          <m:t>α</m:t>
        </m:r>
      </m:oMath>
      <w:r>
        <w:t xml:space="preserve">.</w:t>
      </w:r>
      <w:r>
        <w:br/>
      </w:r>
      <w:r>
        <w:t xml:space="preserve">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levels of</w:t>
      </w:r>
      <w:r>
        <w:t xml:space="preserve"> </w:t>
      </w:r>
      <m:oMath>
        <m:r>
          <m:t>C</m:t>
        </m:r>
        <m:sSub>
          <m:e>
            <m:r>
              <m:t>O</m:t>
            </m:r>
          </m:e>
          <m:sub>
            <m:r>
              <m:t>2</m:t>
            </m:r>
          </m:sub>
        </m:sSub>
      </m:oMath>
      <w:r>
        <w:t xml:space="preserve"> </w:t>
      </w:r>
      <w:r>
        <w:t xml:space="preserve">by =FIXME:INSERT CO2 LEVELS IN CHAMBER==.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w:t>
      </w:r>
    </w:p>
    <w:p>
      <w:pPr>
        <w:pStyle w:val="BodyText"/>
      </w:pPr>
      <w:r>
        <w:t xml:space="preserve">     Further limitations of this study include lack of dietary restrictions on subjects, single Pre vs Post draw time point and variations between treatment cohorts.</w:t>
      </w:r>
    </w:p>
    <w:bookmarkEnd w:id="24"/>
    <w:bookmarkStart w:id="57" w:name="references"/>
    <w:p>
      <w:pPr>
        <w:pStyle w:val="Heading1"/>
      </w:pPr>
      <w:r>
        <w:t xml:space="preserve">References</w:t>
      </w:r>
    </w:p>
    <w:bookmarkStart w:id="56" w:name="refs"/>
    <w:bookmarkStart w:id="26" w:name="ref-aronson_effects_2011"/>
    <w:p>
      <w:pPr>
        <w:pStyle w:val="Bibliography"/>
      </w:pPr>
      <w:r>
        <w:t xml:space="preserve">(1)</w:t>
      </w:r>
      <w:r>
        <w:t xml:space="preserve"> </w:t>
      </w:r>
      <w:r>
        <w:t xml:space="preserve">	</w:t>
      </w:r>
      <w:r>
        <w:t xml:space="preserve">Aronson, P. S.; Giebisch, G.</w:t>
      </w:r>
      <w:r>
        <w:t xml:space="preserve"> </w:t>
      </w:r>
      <w:hyperlink r:id="rId25">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26"/>
    <w:bookmarkStart w:id="28"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27">
        <w:r>
          <w:rPr>
            <w:rStyle w:val="Hyperlink"/>
          </w:rPr>
          <w:t xml:space="preserve">10.1016/0002-9343(81)90182-0</w:t>
        </w:r>
      </w:hyperlink>
      <w:r>
        <w:t xml:space="preserve">.</w:t>
      </w:r>
    </w:p>
    <w:bookmarkEnd w:id="28"/>
    <w:bookmarkStart w:id="30"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29">
        <w:r>
          <w:rPr>
            <w:rStyle w:val="Hyperlink"/>
          </w:rPr>
          <w:t xml:space="preserve">10.1056/NEJMra1313341</w:t>
        </w:r>
      </w:hyperlink>
      <w:r>
        <w:t xml:space="preserve">.</w:t>
      </w:r>
    </w:p>
    <w:bookmarkEnd w:id="30"/>
    <w:bookmarkStart w:id="32" w:name="ref-youn_recent_2009"/>
    <w:p>
      <w:pPr>
        <w:pStyle w:val="Bibliography"/>
      </w:pPr>
      <w:r>
        <w:t xml:space="preserve">(4)</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31">
        <w:r>
          <w:rPr>
            <w:rStyle w:val="Hyperlink"/>
          </w:rPr>
          <w:t xml:space="preserve">10.1146/annurev.physiol.010908.163241</w:t>
        </w:r>
      </w:hyperlink>
      <w:r>
        <w:t xml:space="preserve">.</w:t>
      </w:r>
    </w:p>
    <w:bookmarkEnd w:id="32"/>
    <w:bookmarkStart w:id="34" w:name="ref-torlen_serum_2012"/>
    <w:p>
      <w:pPr>
        <w:pStyle w:val="Bibliography"/>
      </w:pPr>
      <w:r>
        <w:t xml:space="preserve">(5)</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33">
        <w:r>
          <w:rPr>
            <w:rStyle w:val="Hyperlink"/>
          </w:rPr>
          <w:t xml:space="preserve">10.2215/CJN.00960112</w:t>
        </w:r>
      </w:hyperlink>
      <w:r>
        <w:t xml:space="preserve">.</w:t>
      </w:r>
    </w:p>
    <w:bookmarkEnd w:id="34"/>
    <w:bookmarkStart w:id="36" w:name="ref-goyal_serum_2012"/>
    <w:p>
      <w:pPr>
        <w:pStyle w:val="Bibliography"/>
      </w:pPr>
      <w:r>
        <w:t xml:space="preserve">(6)</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35">
        <w:r>
          <w:rPr>
            <w:rStyle w:val="Hyperlink"/>
          </w:rPr>
          <w:t xml:space="preserve">10.1001/jama.2011.1967</w:t>
        </w:r>
      </w:hyperlink>
      <w:r>
        <w:t xml:space="preserve">.</w:t>
      </w:r>
    </w:p>
    <w:bookmarkEnd w:id="36"/>
    <w:bookmarkStart w:id="37" w:name="ref-moon_hyperbaric_2019"/>
    <w:p>
      <w:pPr>
        <w:pStyle w:val="Bibliography"/>
      </w:pPr>
      <w:r>
        <w:t xml:space="preserve">(7)</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37"/>
    <w:bookmarkStart w:id="39" w:name="ref-noauthor_hyperbaric_2021"/>
    <w:p>
      <w:pPr>
        <w:pStyle w:val="Bibliography"/>
      </w:pPr>
      <w:r>
        <w:t xml:space="preserve">(8)</w:t>
      </w:r>
      <w:r>
        <w:t xml:space="preserve"> </w:t>
      </w:r>
      <w:r>
        <w:t xml:space="preserve">	</w:t>
      </w:r>
      <w:hyperlink r:id="rId38">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Therapy</w:t>
        </w:r>
        <w:r>
          <w:rPr>
            <w:rStyle w:val="Hyperlink"/>
          </w:rPr>
          <w:t xml:space="preserve">:</w:t>
        </w:r>
        <w:r>
          <w:rPr>
            <w:rStyle w:val="Hyperlink"/>
          </w:rPr>
          <w:t xml:space="preserve"> </w:t>
        </w:r>
        <w:r>
          <w:rPr>
            <w:rStyle w:val="Hyperlink"/>
          </w:rPr>
          <w:t xml:space="preserve">Get</w:t>
        </w:r>
        <w:r>
          <w:rPr>
            <w:rStyle w:val="Hyperlink"/>
          </w:rPr>
          <w:t xml:space="preserve"> </w:t>
        </w:r>
        <w:r>
          <w:rPr>
            <w:rStyle w:val="Hyperlink"/>
          </w:rPr>
          <w:t xml:space="preserve">the</w:t>
        </w:r>
        <w:r>
          <w:rPr>
            <w:rStyle w:val="Hyperlink"/>
          </w:rPr>
          <w:t xml:space="preserve"> </w:t>
        </w:r>
        <w:r>
          <w:rPr>
            <w:rStyle w:val="Hyperlink"/>
          </w:rPr>
          <w:t xml:space="preserve">Facts</w:t>
        </w:r>
      </w:hyperlink>
      <w:r>
        <w:t xml:space="preserve">.</w:t>
      </w:r>
      <w:r>
        <w:t xml:space="preserve"> </w:t>
      </w:r>
      <w:r>
        <w:rPr>
          <w:iCs/>
          <w:i/>
        </w:rPr>
        <w:t xml:space="preserve">Consumer Updates</w:t>
      </w:r>
      <w:r>
        <w:t xml:space="preserve">, 2021.</w:t>
      </w:r>
    </w:p>
    <w:bookmarkEnd w:id="39"/>
    <w:bookmarkStart w:id="41" w:name="ref-fraley_isohydric_1976"/>
    <w:p>
      <w:pPr>
        <w:pStyle w:val="Bibliography"/>
      </w:pPr>
      <w:r>
        <w:t xml:space="preserve">(9)</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40">
        <w:r>
          <w:rPr>
            <w:rStyle w:val="Hyperlink"/>
          </w:rPr>
          <w:t xml:space="preserve">10.1038/ki.1976.39</w:t>
        </w:r>
      </w:hyperlink>
      <w:r>
        <w:t xml:space="preserve">.</w:t>
      </w:r>
    </w:p>
    <w:bookmarkEnd w:id="41"/>
    <w:bookmarkStart w:id="43" w:name="ref-zyrianova_k2p21_2020"/>
    <w:p>
      <w:pPr>
        <w:pStyle w:val="Bibliography"/>
      </w:pPr>
      <w:r>
        <w:t xml:space="preserve">(10)</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42">
        <w:r>
          <w:rPr>
            <w:rStyle w:val="Hyperlink"/>
          </w:rPr>
          <w:t xml:space="preserve">10.1038/s41598-020-78886-y</w:t>
        </w:r>
      </w:hyperlink>
      <w:r>
        <w:t xml:space="preserve">.</w:t>
      </w:r>
    </w:p>
    <w:bookmarkEnd w:id="43"/>
    <w:bookmarkStart w:id="45" w:name="ref-schwingshackl_regulation_2012"/>
    <w:p>
      <w:pPr>
        <w:pStyle w:val="Bibliography"/>
      </w:pPr>
      <w:r>
        <w:t xml:space="preserve">(11)</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44">
        <w:r>
          <w:rPr>
            <w:rStyle w:val="Hyperlink"/>
          </w:rPr>
          <w:t xml:space="preserve">10.1152/ajplung.00078.2011</w:t>
        </w:r>
      </w:hyperlink>
      <w:r>
        <w:t xml:space="preserve">.</w:t>
      </w:r>
    </w:p>
    <w:bookmarkEnd w:id="45"/>
    <w:bookmarkStart w:id="47" w:name="ref-chapalamadugu_high_2015"/>
    <w:p>
      <w:pPr>
        <w:pStyle w:val="Bibliography"/>
      </w:pPr>
      <w:r>
        <w:t xml:space="preserve">(12)</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46">
        <w:r>
          <w:rPr>
            <w:rStyle w:val="Hyperlink"/>
          </w:rPr>
          <w:t xml:space="preserve">10.1016/j.taap.2014.10.019</w:t>
        </w:r>
      </w:hyperlink>
      <w:r>
        <w:t xml:space="preserve">.</w:t>
      </w:r>
    </w:p>
    <w:bookmarkEnd w:id="47"/>
    <w:bookmarkStart w:id="49" w:name="ref-barlow_effect_1994"/>
    <w:p>
      <w:pPr>
        <w:pStyle w:val="Bibliography"/>
      </w:pPr>
      <w:r>
        <w:t xml:space="preserve">(13)</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8">
        <w:r>
          <w:rPr>
            <w:rStyle w:val="Hyperlink"/>
          </w:rPr>
          <w:t xml:space="preserve">10.1113/expphysiol.1994.sp003759</w:t>
        </w:r>
      </w:hyperlink>
      <w:r>
        <w:t xml:space="preserve">.</w:t>
      </w:r>
    </w:p>
    <w:bookmarkEnd w:id="49"/>
    <w:bookmarkStart w:id="51"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0">
        <w:r>
          <w:rPr>
            <w:rStyle w:val="Hyperlink"/>
          </w:rPr>
          <w:t xml:space="preserve">10.1152/ajplung.00091.2007</w:t>
        </w:r>
      </w:hyperlink>
      <w:r>
        <w:t xml:space="preserve">.</w:t>
      </w:r>
    </w:p>
    <w:bookmarkEnd w:id="51"/>
    <w:bookmarkStart w:id="53"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52">
        <w:r>
          <w:rPr>
            <w:rStyle w:val="Hyperlink"/>
          </w:rPr>
          <w:t xml:space="preserve">10.17305/bjbms.2012.2463</w:t>
        </w:r>
      </w:hyperlink>
      <w:r>
        <w:t xml:space="preserve">.</w:t>
      </w:r>
    </w:p>
    <w:bookmarkEnd w:id="53"/>
    <w:bookmarkStart w:id="55"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54">
        <w:r>
          <w:rPr>
            <w:rStyle w:val="Hyperlink"/>
          </w:rPr>
          <w:t xml:space="preserve">10.1152/physiol.00045.2008</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1/jama.2011.1967" TargetMode="External" /><Relationship Type="http://schemas.openxmlformats.org/officeDocument/2006/relationships/hyperlink" Id="rId27" Target="https://doi.org/10.1016/0002-9343(81)90182-0" TargetMode="External" /><Relationship Type="http://schemas.openxmlformats.org/officeDocument/2006/relationships/hyperlink" Id="rId46" Target="https://doi.org/10.1016/j.taap.2014.10.019" TargetMode="External" /><Relationship Type="http://schemas.openxmlformats.org/officeDocument/2006/relationships/hyperlink" Id="rId40" Target="https://doi.org/10.1038/ki.1976.39" TargetMode="External" /><Relationship Type="http://schemas.openxmlformats.org/officeDocument/2006/relationships/hyperlink" Id="rId42" Target="https://doi.org/10.1038/s41598-020-78886-y" TargetMode="External" /><Relationship Type="http://schemas.openxmlformats.org/officeDocument/2006/relationships/hyperlink" Id="rId29"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31" Target="https://doi.org/10.1146/annurev.physiol.010908.163241" TargetMode="External" /><Relationship Type="http://schemas.openxmlformats.org/officeDocument/2006/relationships/hyperlink" Id="rId44" Target="https://doi.org/10.1152/ajplung.00078.2011" TargetMode="External" /><Relationship Type="http://schemas.openxmlformats.org/officeDocument/2006/relationships/hyperlink" Id="rId50" Target="https://doi.org/10.1152/ajplung.00091.2007" TargetMode="External" /><Relationship Type="http://schemas.openxmlformats.org/officeDocument/2006/relationships/hyperlink" Id="rId54" Target="https://doi.org/10.1152/physiol.00045.2008" TargetMode="External" /><Relationship Type="http://schemas.openxmlformats.org/officeDocument/2006/relationships/hyperlink" Id="rId52" Target="https://doi.org/10.17305/bjbms.2012.2463" TargetMode="External" /><Relationship Type="http://schemas.openxmlformats.org/officeDocument/2006/relationships/hyperlink" Id="rId33" Target="https://doi.org/10.2215/CJN.00960112" TargetMode="External" /><Relationship Type="http://schemas.openxmlformats.org/officeDocument/2006/relationships/hyperlink" Id="rId25" Target="https://jasn.asnjournals.org/content/jnephrol/22/11/1981.full.pdf" TargetMode="External" /><Relationship Type="http://schemas.openxmlformats.org/officeDocument/2006/relationships/hyperlink" Id="rId38" Target="https://www.fda.gov/consumers/consumer-updates/hyperbaric-oxygen-therapy-get-facts"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1/jama.2011.1967" TargetMode="External" /><Relationship Type="http://schemas.openxmlformats.org/officeDocument/2006/relationships/hyperlink" Id="rId27" Target="https://doi.org/10.1016/0002-9343(81)90182-0" TargetMode="External" /><Relationship Type="http://schemas.openxmlformats.org/officeDocument/2006/relationships/hyperlink" Id="rId46" Target="https://doi.org/10.1016/j.taap.2014.10.019" TargetMode="External" /><Relationship Type="http://schemas.openxmlformats.org/officeDocument/2006/relationships/hyperlink" Id="rId40" Target="https://doi.org/10.1038/ki.1976.39" TargetMode="External" /><Relationship Type="http://schemas.openxmlformats.org/officeDocument/2006/relationships/hyperlink" Id="rId42" Target="https://doi.org/10.1038/s41598-020-78886-y" TargetMode="External" /><Relationship Type="http://schemas.openxmlformats.org/officeDocument/2006/relationships/hyperlink" Id="rId29"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31" Target="https://doi.org/10.1146/annurev.physiol.010908.163241" TargetMode="External" /><Relationship Type="http://schemas.openxmlformats.org/officeDocument/2006/relationships/hyperlink" Id="rId44" Target="https://doi.org/10.1152/ajplung.00078.2011" TargetMode="External" /><Relationship Type="http://schemas.openxmlformats.org/officeDocument/2006/relationships/hyperlink" Id="rId50" Target="https://doi.org/10.1152/ajplung.00091.2007" TargetMode="External" /><Relationship Type="http://schemas.openxmlformats.org/officeDocument/2006/relationships/hyperlink" Id="rId54" Target="https://doi.org/10.1152/physiol.00045.2008" TargetMode="External" /><Relationship Type="http://schemas.openxmlformats.org/officeDocument/2006/relationships/hyperlink" Id="rId52" Target="https://doi.org/10.17305/bjbms.2012.2463" TargetMode="External" /><Relationship Type="http://schemas.openxmlformats.org/officeDocument/2006/relationships/hyperlink" Id="rId33" Target="https://doi.org/10.2215/CJN.00960112" TargetMode="External" /><Relationship Type="http://schemas.openxmlformats.org/officeDocument/2006/relationships/hyperlink" Id="rId25" Target="https://jasn.asnjournals.org/content/jnephrol/22/11/1981.full.pdf" TargetMode="External" /><Relationship Type="http://schemas.openxmlformats.org/officeDocument/2006/relationships/hyperlink" Id="rId38" Target="https://www.fda.gov/consumers/consumer-updates/hyperbaric-oxygen-therapy-ge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2022-04-22T16:15:49Z</dcterms:created>
  <dcterms:modified xsi:type="dcterms:W3CDTF">2022-04-22T16:15:49Z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output">
    <vt:lpwstr>pdf_document</vt:lpwstr>
  </property>
</Properties>
</file>