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4.jpg" ContentType="image/jpeg"/>
  <Override PartName="/word/media/rId25.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Increase in venous [K+] During Hyperbaric Exposure Independent of Changes in pH or O2 Concentration</w:t>
      </w:r>
    </w:p>
    <w:p>
      <w:pPr>
        <w:pStyle w:val="BodyText"/>
      </w:pPr>
      <w:r>
        <w:t xml:space="preserve">Increase in venous [K+] During Hyperbaric Exposure</w:t>
      </w:r>
    </w:p>
    <w:bookmarkStart w:id="20" w:name="abstract"/>
    <w:p>
      <w:pPr>
        <w:pStyle w:val="Heading1"/>
      </w:pPr>
      <w:r>
        <w:t xml:space="preserve">Abstract</w:t>
      </w:r>
    </w:p>
    <w:p>
      <w:pPr>
        <w:pStyle w:val="FirstParagraph"/>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Modulation of inspired</w:t>
      </w:r>
      <w:r>
        <w:t xml:space="preserve"> </w:t>
      </w:r>
      <m:oMath>
        <m:sSub>
          <m:e>
            <m:r>
              <m:t>O</m:t>
            </m:r>
          </m:e>
          <m:sub>
            <m:r>
              <m:t>2</m:t>
            </m:r>
          </m:sub>
        </m:sSub>
      </m:oMath>
      <w:r>
        <w:t xml:space="preserve"> </w:t>
      </w:r>
      <w:r>
        <w:t xml:space="preserve">concentration has been used as an effectives treatment for many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1</w:t>
      </w:r>
      <w:r>
        <w:t xml:space="preserve"> </w:t>
      </w:r>
      <w:r>
        <w:t xml:space="preserve">As of July 2021 the FDA has cleared</w:t>
      </w:r>
      <w:r>
        <w:t xml:space="preserve"> </w:t>
      </w:r>
      <m:oMath>
        <m:r>
          <m:t>H</m:t>
        </m:r>
        <m:r>
          <m:t>B</m:t>
        </m:r>
        <m:sSub>
          <m:e>
            <m:r>
              <m:t>O</m:t>
            </m:r>
          </m:e>
          <m:sub>
            <m:r>
              <m:t>2</m:t>
            </m:r>
          </m:sub>
        </m:sSub>
      </m:oMath>
      <w:r>
        <w:t xml:space="preserve"> </w:t>
      </w:r>
      <w:r>
        <w:t xml:space="preserve">for 13 different conditions.</w:t>
      </w:r>
      <w:r>
        <w:rPr>
          <w:vertAlign w:val="superscript"/>
        </w:rPr>
        <w:t xml:space="preserve">2</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w:t>
      </w:r>
    </w:p>
    <w:p>
      <w:pPr>
        <w:pStyle w:val="BodyText"/>
      </w:pPr>
      <w:r>
        <w:t xml:space="preserve">      The effects of long-term hyperoxia (LTH) on blood metabolites is still not entirely understood. A common finding that exists in this area presents the idea that exposure to LTH reduces the activity of voltage-gated K+ channels in lung tissue.</w:t>
      </w:r>
      <w:r>
        <w:rPr>
          <w:vertAlign w:val="superscript"/>
        </w:rPr>
        <w:t xml:space="preserve">3,4</w:t>
      </w:r>
      <w:r>
        <w:t xml:space="preserve"> </w:t>
      </w:r>
      <w:r>
        <w:t xml:space="preserve">Specifically, LTH exposure downregulates TREK-1 K+ channels in alveolar tissue, which can cause an increased risk of acute lung injury. LTH exposure also plays a role in the regulation of inflammatory cytokine secretion in alveolar AT2 cells. Such lung injury can potentially cause hypoxic effects and the release of K+ into the blood as seen in such cases. It has been proposed that the mechanism behind this increase in plasma K+ is due to the LTH exposure causing changes in action potentials (APs) on the surface of cell membranes.</w:t>
      </w:r>
      <w:r>
        <w:rPr>
          <w:vertAlign w:val="superscript"/>
        </w:rPr>
        <w:t xml:space="preserve">5</w:t>
      </w:r>
      <w:r>
        <w:t xml:space="preserve"> </w:t>
      </w:r>
      <w:r>
        <w:t xml:space="preserve">Rapid depolarization caused by LTH exposure results in a highly positive potential present in the cell.</w:t>
      </w:r>
      <w:r>
        <w:rPr>
          <w:vertAlign w:val="superscript"/>
        </w:rPr>
        <w:t xml:space="preserve">3</w:t>
      </w:r>
      <w:r>
        <w:t xml:space="preserve"> </w:t>
      </w:r>
      <w:r>
        <w:t xml:space="preserve">The downregulation of K+ channels such as TREK-1 prolongs APs on the membrane surface due to K+ ions not being able to flow into the cell to repolarize the membrane. Consequently, the repolarization reserve of the action potential appears to be extended by LTH exposure, resulting in a longer repolarization time and a slower return to resting membrane potential.</w:t>
      </w:r>
      <w:r>
        <w:rPr>
          <w:vertAlign w:val="superscript"/>
        </w:rPr>
        <w:t xml:space="preserve">5</w:t>
      </w:r>
      <w:r>
        <w:t xml:space="preserve"> </w:t>
      </w:r>
      <w:r>
        <w:t xml:space="preserve">It is widely known that depolarization of cell membranes increases the permeability of membranes to positive ions such as K+, leading to an increase in plasma K+ concentration.</w:t>
      </w:r>
    </w:p>
    <w:p>
      <w:pPr>
        <w:pStyle w:val="BodyText"/>
      </w:pPr>
      <w:r>
        <w:t xml:space="preserve">Effects of hyperbaria on blood metabolites</w:t>
      </w:r>
    </w:p>
    <w:p>
      <w:pPr>
        <w:pStyle w:val="BodyText"/>
      </w:pPr>
      <w:r>
        <w:t xml:space="preserve">      One metabolite of interest in this study was potassium. Plasma potassium levels are dependent on a multitude of factors and result from the interplay of intracellular and extracellular changes and intake and execration rates.</w:t>
      </w:r>
      <w:r>
        <w:rPr>
          <w:vertAlign w:val="superscript"/>
        </w:rPr>
        <w:t xml:space="preserve">6,7</w:t>
      </w:r>
      <w:r>
        <w:t xml:space="preserve"> </w:t>
      </w:r>
      <w:r>
        <w:t xml:space="preserve">Regulation of these levels within normal ranges is of extreme importance to the function of various cells in the body.</w:t>
      </w:r>
      <w:r>
        <w:rPr>
          <w:vertAlign w:val="superscript"/>
        </w:rPr>
        <w:t xml:space="preserve">8</w:t>
      </w:r>
      <w:r>
        <w:t xml:space="preserve"> </w:t>
      </w:r>
      <w:r>
        <w:t xml:space="preserve">Effects of increased inspired</w:t>
      </w:r>
      <w:r>
        <w:t xml:space="preserve"> </w:t>
      </w:r>
      <m:oMath>
        <m:sSub>
          <m:e>
            <m:r>
              <m:t>O</m:t>
            </m:r>
          </m:e>
          <m:sub>
            <m:r>
              <m:t>2</m:t>
            </m:r>
          </m:sub>
        </m:sSub>
      </m:oMath>
      <w:r>
        <w:t xml:space="preserve"> </w:t>
      </w:r>
      <w:r>
        <w:t xml:space="preserve">on plasma potassium remain ambiguous.</w:t>
      </w:r>
      <w:r>
        <w:rPr>
          <w:vertAlign w:val="superscript"/>
        </w:rPr>
        <w:t xml:space="preserve">7</w:t>
      </w:r>
      <w:r>
        <w:t xml:space="preserve"> </w:t>
      </w:r>
      <w:r>
        <w:t xml:space="preserve">A few studies have demonstrated an increase in plasma potassium while others have found no similar increase.</w:t>
      </w:r>
      <w:r>
        <w:rPr>
          <w:vertAlign w:val="superscript"/>
        </w:rPr>
        <w:t xml:space="preserve">7,9</w:t>
      </w:r>
      <w:r>
        <w:t xml:space="preserve"> </w:t>
      </w:r>
      <w:r>
        <w:t xml:space="preserve">However the fact hypoxia has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indicates some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10–13</w:t>
      </w:r>
      <w:r>
        <w:t xml:space="preserve"> </w:t>
      </w:r>
      <w:r>
        <w:t xml:space="preserve">In contrast the effects of hyperbaria on plasma potassium levels are much less understood.</w:t>
      </w:r>
    </w:p>
    <w:bookmarkEnd w:id="21"/>
    <w:bookmarkStart w:id="22" w:name="methods"/>
    <w:p>
      <w:pPr>
        <w:pStyle w:val="Heading1"/>
      </w:pPr>
      <w:r>
        <w:t xml:space="preserve">Methods</w:t>
      </w:r>
    </w:p>
    <w:p>
      <w:pPr>
        <w:pStyle w:val="FirstParagraph"/>
      </w:pPr>
      <w:r>
        <w:t xml:space="preserve">      Healthy adult subjects were recruited via REDCap using university of Wisconsin’s email list. A questionnaire was administered to determine characteristics of individuals such as pre-existing conditions and age. Individuals who responded to the survey were selected at random contacted via phone. Participants in the study were separated into two groups. The first group received hyperbaric treatment in altitude sickness bags (n=14) while the second group received concentrated oxygen at room pressure (n=12).</w:t>
      </w:r>
    </w:p>
    <w:p>
      <w:pPr>
        <w:pStyle w:val="BodyText"/>
      </w:pPr>
      <w:r>
        <w:t xml:space="preserve">       Although treatment varied between groups, treatment schedule remained consistent and was the following. Subjects arrived Monday and height and weight were determined. Blood collected via venipuncture before treatment was used for a baseline metabolic panel and analyzed on arterial blood gas (ABG) machine. Following blood draws subjects underwent 1.5 hours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After a weekend of no treatment following the final treatment a blood draw occurred and subsequent analysis was preformed.</w:t>
      </w:r>
    </w:p>
    <w:p>
      <w:pPr>
        <w:pStyle w:val="BodyText"/>
      </w:pPr>
      <w:r>
        <w:t xml:space="preserve">      A total of 36 metabolic indicators were reported by the ABG machine. Indicators were compared pairwise between the four draws. Statistical analysis and data visualization was performed using R (The R Foundation) and paired Wilcoxon tests.</w:t>
      </w:r>
    </w:p>
    <w:bookmarkEnd w:id="22"/>
    <w:bookmarkStart w:id="23" w:name="results"/>
    <w:p>
      <w:pPr>
        <w:pStyle w:val="Heading1"/>
      </w:pPr>
      <w:r>
        <w:t xml:space="preserve">Results</w:t>
      </w:r>
    </w:p>
    <w:bookmarkEnd w:id="23"/>
    <w:bookmarkStart w:id="24"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increase in hyperbaric chamber</w:t>
      </w:r>
      <w:r>
        <w:t xml:space="preserve"> </w:t>
      </w:r>
      <m:oMath>
        <m:r>
          <m:t>C</m:t>
        </m:r>
        <m:sSub>
          <m:e>
            <m:r>
              <m:t>O</m:t>
            </m:r>
          </m:e>
          <m:sub>
            <m:r>
              <m:t>2</m:t>
            </m:r>
          </m:sub>
        </m:sSub>
      </m:oMath>
      <w:r>
        <w:t xml:space="preserve"> </w:t>
      </w:r>
      <w:r>
        <w:t xml:space="preserve">resulting in mild respratory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resonse to changes in pressure and changes in potassium channel expression via</w:t>
      </w:r>
      <w:r>
        <w:t xml:space="preserve"> </w:t>
      </w:r>
      <m:oMath>
        <m:r>
          <m:t>H</m:t>
        </m:r>
        <m:r>
          <m:t>I</m:t>
        </m:r>
        <m:r>
          <m:t>F</m:t>
        </m:r>
        <m:r>
          <m:rPr>
            <m:sty m:val="p"/>
          </m:rPr>
          <m:t>−</m:t>
        </m:r>
        <m:r>
          <m:t>1</m:t>
        </m:r>
        <m:r>
          <m:t>α</m:t>
        </m:r>
      </m:oMath>
      <w:r>
        <w:t xml:space="preserve">.</w:t>
      </w:r>
    </w:p>
    <w:p>
      <w:pPr>
        <w:pStyle w:val="BodyText"/>
      </w:pPr>
      <w:r>
        <w:t xml:space="preserve">Limitations</w:t>
      </w:r>
      <w:r>
        <w:t xml:space="preserve"> </w:t>
      </w:r>
      <w:r>
        <w:t xml:space="preserve">- dietary restrictions for potassium not used</w:t>
      </w:r>
      <w:r>
        <w:t xml:space="preserve"> </w:t>
      </w:r>
      <w:r>
        <w:t xml:space="preserve">- single draw for each patient</w:t>
      </w:r>
      <w:r>
        <w:t xml:space="preserve"> </w:t>
      </w:r>
      <w:r>
        <w:t xml:space="preserve">- difference in subjects between groups</w:t>
      </w:r>
    </w:p>
    <w:bookmarkEnd w:id="24"/>
    <w:bookmarkStart w:id="63" w:name="references"/>
    <w:p>
      <w:pPr>
        <w:pStyle w:val="Heading1"/>
      </w:pPr>
      <w:r>
        <w:t xml:space="preserve">References</w:t>
      </w:r>
    </w:p>
    <w:p>
      <w:pPr>
        <w:pStyle w:val="CaptionedFigure"/>
      </w:pPr>
      <w:r>
        <w:drawing>
          <wp:inline>
            <wp:extent cx="5334000" cy="5811837"/>
            <wp:effectExtent b="0" l="0" r="0" t="0"/>
            <wp:docPr descr="Comparison of plasma potassium concentration before and after treatment in the hyperbaric group" title="Plasma Potassium levels in The Hyperbaric Group" id="26" name="Picture"/>
            <a:graphic>
              <a:graphicData uri="http://schemas.openxmlformats.org/drawingml/2006/picture">
                <pic:pic>
                  <pic:nvPicPr>
                    <pic:cNvPr descr="C:\Users\jakel\github\Increase-in-venous-K-\Figures\hyper_K+.jpg" id="27" name="Picture"/>
                    <pic:cNvPicPr>
                      <a:picLocks noChangeArrowheads="1" noChangeAspect="1"/>
                    </pic:cNvPicPr>
                  </pic:nvPicPr>
                  <pic:blipFill>
                    <a:blip r:embed="rId25"/>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t xml:space="preserve">Comparison of plasma potassium concentration before and after treatment in the hyperbaric group</w:t>
      </w:r>
    </w:p>
    <w:p>
      <w:pPr>
        <w:pStyle w:val="CaptionedFigure"/>
      </w:pPr>
      <w:r>
        <w:drawing>
          <wp:inline>
            <wp:extent cx="5334000" cy="5767387"/>
            <wp:effectExtent b="0" l="0" r="0" t="0"/>
            <wp:docPr descr="Comparison of plasma potassium concentration before and after treatment in the concentrated oxygen group" title="Plasma Potassium levels in The Concentrated Oxygen Group" id="29" name="Picture"/>
            <a:graphic>
              <a:graphicData uri="http://schemas.openxmlformats.org/drawingml/2006/picture">
                <pic:pic>
                  <pic:nvPicPr>
                    <pic:cNvPr descr="C:\Users\jakel\github\Increase-in-venous-K-\Figures\conc_K+.jpg" id="30" name="Picture"/>
                    <pic:cNvPicPr>
                      <a:picLocks noChangeArrowheads="1" noChangeAspect="1"/>
                    </pic:cNvPicPr>
                  </pic:nvPicPr>
                  <pic:blipFill>
                    <a:blip r:embed="rId28"/>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t xml:space="preserve">Comparison of plasma potassium concentration before and after treatment in the concentrated oxygen group</w:t>
      </w:r>
    </w:p>
    <w:p>
      <w:pPr>
        <w:pStyle w:val="CaptionedFigure"/>
      </w:pPr>
      <w:r>
        <w:drawing>
          <wp:inline>
            <wp:extent cx="5334000" cy="4933950"/>
            <wp:effectExtent b="0" l="0" r="0" t="0"/>
            <wp:docPr descr="Comparison of plasma sodium, chloride and bicarbonate concentrations and pH levels before and after treatment in the hyperbaric group" title="" id="32" name="Picture"/>
            <a:graphic>
              <a:graphicData uri="http://schemas.openxmlformats.org/drawingml/2006/picture">
                <pic:pic>
                  <pic:nvPicPr>
                    <pic:cNvPr descr="C:\Users\jakel\github\Increase-in-venous-K-\Figures\hyper_ions.jpg" id="33" name="Picture"/>
                    <pic:cNvPicPr>
                      <a:picLocks noChangeArrowheads="1" noChangeAspect="1"/>
                    </pic:cNvPicPr>
                  </pic:nvPicPr>
                  <pic:blipFill>
                    <a:blip r:embed="rId31"/>
                    <a:stretch>
                      <a:fillRect/>
                    </a:stretch>
                  </pic:blipFill>
                  <pic:spPr bwMode="auto">
                    <a:xfrm>
                      <a:off x="0" y="0"/>
                      <a:ext cx="5334000" cy="4933950"/>
                    </a:xfrm>
                    <a:prstGeom prst="rect">
                      <a:avLst/>
                    </a:prstGeom>
                    <a:noFill/>
                    <a:ln w="9525">
                      <a:noFill/>
                      <a:headEnd/>
                      <a:tailEnd/>
                    </a:ln>
                  </pic:spPr>
                </pic:pic>
              </a:graphicData>
            </a:graphic>
          </wp:inline>
        </w:drawing>
      </w:r>
    </w:p>
    <w:p>
      <w:pPr>
        <w:pStyle w:val="ImageCaption"/>
      </w:pPr>
      <w:r>
        <w:t xml:space="preserve">Comparison of plasma sodium, chloride and bicarbonate concentrations and pH levels before and after treatment in the hyperbaric group</w:t>
      </w:r>
    </w:p>
    <w:p>
      <w:pPr>
        <w:pStyle w:val="CaptionedFigure"/>
      </w:pPr>
      <w:r>
        <w:drawing>
          <wp:inline>
            <wp:extent cx="5334000" cy="4956175"/>
            <wp:effectExtent b="0" l="0" r="0" t="0"/>
            <wp:docPr descr="Comparison of plasma sodium, chloride and bicarbonate concentrations and pH levels before and after treatment in the concentrated oxygen group" title="" id="35" name="Picture"/>
            <a:graphic>
              <a:graphicData uri="http://schemas.openxmlformats.org/drawingml/2006/picture">
                <pic:pic>
                  <pic:nvPicPr>
                    <pic:cNvPr descr="C:\Users\jakel\github\Increase-in-venous-K-\Figures\conc_ions.jpg" id="36" name="Picture"/>
                    <pic:cNvPicPr>
                      <a:picLocks noChangeArrowheads="1" noChangeAspect="1"/>
                    </pic:cNvPicPr>
                  </pic:nvPicPr>
                  <pic:blipFill>
                    <a:blip r:embed="rId34"/>
                    <a:stretch>
                      <a:fillRect/>
                    </a:stretch>
                  </pic:blipFill>
                  <pic:spPr bwMode="auto">
                    <a:xfrm>
                      <a:off x="0" y="0"/>
                      <a:ext cx="5334000" cy="4956175"/>
                    </a:xfrm>
                    <a:prstGeom prst="rect">
                      <a:avLst/>
                    </a:prstGeom>
                    <a:noFill/>
                    <a:ln w="9525">
                      <a:noFill/>
                      <a:headEnd/>
                      <a:tailEnd/>
                    </a:ln>
                  </pic:spPr>
                </pic:pic>
              </a:graphicData>
            </a:graphic>
          </wp:inline>
        </w:drawing>
      </w:r>
    </w:p>
    <w:p>
      <w:pPr>
        <w:pStyle w:val="ImageCaption"/>
      </w:pPr>
      <w:r>
        <w:t xml:space="preserve">Comparison of plasma sodium, chloride and bicarbonate concentrations and pH levels before and after treatment in the concentrated oxygen group</w:t>
      </w:r>
    </w:p>
    <w:bookmarkStart w:id="62" w:name="refs"/>
    <w:bookmarkStart w:id="37" w:name="ref-moon_hyperbaric_2019"/>
    <w:p>
      <w:pPr>
        <w:pStyle w:val="Bibliography"/>
      </w:pPr>
      <w:r>
        <w:t xml:space="preserve">(1)</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37"/>
    <w:bookmarkStart w:id="39" w:name="ref-noauthor_hyperbaric_2021"/>
    <w:p>
      <w:pPr>
        <w:pStyle w:val="Bibliography"/>
      </w:pPr>
      <w:r>
        <w:t xml:space="preserve">(2)</w:t>
      </w:r>
      <w:r>
        <w:t xml:space="preserve"> </w:t>
      </w:r>
      <w:r>
        <w:t xml:space="preserve">	</w:t>
      </w:r>
      <w:hyperlink r:id="rId38">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Therapy</w:t>
        </w:r>
        <w:r>
          <w:rPr>
            <w:rStyle w:val="Hyperlink"/>
          </w:rPr>
          <w:t xml:space="preserve">:</w:t>
        </w:r>
        <w:r>
          <w:rPr>
            <w:rStyle w:val="Hyperlink"/>
          </w:rPr>
          <w:t xml:space="preserve"> </w:t>
        </w:r>
        <w:r>
          <w:rPr>
            <w:rStyle w:val="Hyperlink"/>
          </w:rPr>
          <w:t xml:space="preserve">Get</w:t>
        </w:r>
        <w:r>
          <w:rPr>
            <w:rStyle w:val="Hyperlink"/>
          </w:rPr>
          <w:t xml:space="preserve"> </w:t>
        </w:r>
        <w:r>
          <w:rPr>
            <w:rStyle w:val="Hyperlink"/>
          </w:rPr>
          <w:t xml:space="preserve">the</w:t>
        </w:r>
        <w:r>
          <w:rPr>
            <w:rStyle w:val="Hyperlink"/>
          </w:rPr>
          <w:t xml:space="preserve"> </w:t>
        </w:r>
        <w:r>
          <w:rPr>
            <w:rStyle w:val="Hyperlink"/>
          </w:rPr>
          <w:t xml:space="preserve">Facts</w:t>
        </w:r>
      </w:hyperlink>
      <w:r>
        <w:t xml:space="preserve">.</w:t>
      </w:r>
      <w:r>
        <w:t xml:space="preserve"> </w:t>
      </w:r>
      <w:r>
        <w:rPr>
          <w:iCs/>
          <w:i/>
        </w:rPr>
        <w:t xml:space="preserve">Consumer Updates</w:t>
      </w:r>
      <w:r>
        <w:t xml:space="preserve">, 2021.</w:t>
      </w:r>
    </w:p>
    <w:bookmarkEnd w:id="39"/>
    <w:bookmarkStart w:id="41" w:name="ref-zyrianova_k2p21_2020"/>
    <w:p>
      <w:pPr>
        <w:pStyle w:val="Bibliography"/>
      </w:pPr>
      <w:r>
        <w:t xml:space="preserve">(3)</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40">
        <w:r>
          <w:rPr>
            <w:rStyle w:val="Hyperlink"/>
          </w:rPr>
          <w:t xml:space="preserve">10.1038/s41598-020-78886-y</w:t>
        </w:r>
      </w:hyperlink>
      <w:r>
        <w:t xml:space="preserve">.</w:t>
      </w:r>
    </w:p>
    <w:bookmarkEnd w:id="41"/>
    <w:bookmarkStart w:id="43" w:name="ref-schwingshackl_regulation_2012"/>
    <w:p>
      <w:pPr>
        <w:pStyle w:val="Bibliography"/>
      </w:pPr>
      <w:r>
        <w:t xml:space="preserve">(4)</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42">
        <w:r>
          <w:rPr>
            <w:rStyle w:val="Hyperlink"/>
          </w:rPr>
          <w:t xml:space="preserve">10.1152/ajplung.00078.2011</w:t>
        </w:r>
      </w:hyperlink>
      <w:r>
        <w:t xml:space="preserve">.</w:t>
      </w:r>
    </w:p>
    <w:bookmarkEnd w:id="43"/>
    <w:bookmarkStart w:id="45" w:name="ref-chapalamadugu_high_2015"/>
    <w:p>
      <w:pPr>
        <w:pStyle w:val="Bibliography"/>
      </w:pPr>
      <w:r>
        <w:t xml:space="preserve">(5)</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44">
        <w:r>
          <w:rPr>
            <w:rStyle w:val="Hyperlink"/>
          </w:rPr>
          <w:t xml:space="preserve">10.1016/j.taap.2014.10.019</w:t>
        </w:r>
      </w:hyperlink>
      <w:r>
        <w:t xml:space="preserve">.</w:t>
      </w:r>
    </w:p>
    <w:bookmarkEnd w:id="45"/>
    <w:bookmarkStart w:id="47" w:name="ref-aronson_effects_2011"/>
    <w:p>
      <w:pPr>
        <w:pStyle w:val="Bibliography"/>
      </w:pPr>
      <w:r>
        <w:t xml:space="preserve">(6)</w:t>
      </w:r>
      <w:r>
        <w:t xml:space="preserve"> </w:t>
      </w:r>
      <w:r>
        <w:t xml:space="preserve">	</w:t>
      </w:r>
      <w:r>
        <w:t xml:space="preserve">Aronson, P. S.; Giebisch, G.</w:t>
      </w:r>
      <w:r>
        <w:t xml:space="preserve"> </w:t>
      </w:r>
      <w:hyperlink r:id="rId46">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47"/>
    <w:bookmarkStart w:id="49" w:name="ref-adrogue_changes_1981"/>
    <w:p>
      <w:pPr>
        <w:pStyle w:val="Bibliography"/>
      </w:pPr>
      <w:r>
        <w:t xml:space="preserve">(7)</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48">
        <w:r>
          <w:rPr>
            <w:rStyle w:val="Hyperlink"/>
          </w:rPr>
          <w:t xml:space="preserve">10.1016/0002-9343(81)90182-0</w:t>
        </w:r>
      </w:hyperlink>
      <w:r>
        <w:t xml:space="preserve">.</w:t>
      </w:r>
    </w:p>
    <w:bookmarkEnd w:id="49"/>
    <w:bookmarkStart w:id="51" w:name="ref-youn_recent_2009"/>
    <w:p>
      <w:pPr>
        <w:pStyle w:val="Bibliography"/>
      </w:pPr>
      <w:r>
        <w:t xml:space="preserve">(8)</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50">
        <w:r>
          <w:rPr>
            <w:rStyle w:val="Hyperlink"/>
          </w:rPr>
          <w:t xml:space="preserve">10.1146/annurev.physiol.010908.163241</w:t>
        </w:r>
      </w:hyperlink>
      <w:r>
        <w:t xml:space="preserve">.</w:t>
      </w:r>
    </w:p>
    <w:bookmarkEnd w:id="51"/>
    <w:bookmarkStart w:id="53" w:name="ref-fraley_isohydric_1976"/>
    <w:p>
      <w:pPr>
        <w:pStyle w:val="Bibliography"/>
      </w:pPr>
      <w:r>
        <w:t xml:space="preserve">(9)</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52">
        <w:r>
          <w:rPr>
            <w:rStyle w:val="Hyperlink"/>
          </w:rPr>
          <w:t xml:space="preserve">10.1038/ki.1976.39</w:t>
        </w:r>
      </w:hyperlink>
      <w:r>
        <w:t xml:space="preserve">.</w:t>
      </w:r>
    </w:p>
    <w:bookmarkEnd w:id="53"/>
    <w:bookmarkStart w:id="55" w:name="ref-barlow_effect_1994"/>
    <w:p>
      <w:pPr>
        <w:pStyle w:val="Bibliography"/>
      </w:pPr>
      <w:r>
        <w:t xml:space="preserve">(10)</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54">
        <w:r>
          <w:rPr>
            <w:rStyle w:val="Hyperlink"/>
          </w:rPr>
          <w:t xml:space="preserve">10.1113/expphysiol.1994.sp003759</w:t>
        </w:r>
      </w:hyperlink>
      <w:r>
        <w:t xml:space="preserve">.</w:t>
      </w:r>
    </w:p>
    <w:bookmarkEnd w:id="55"/>
    <w:bookmarkStart w:id="57" w:name="ref-whitman_endothelin-1_2008"/>
    <w:p>
      <w:pPr>
        <w:pStyle w:val="Bibliography"/>
      </w:pPr>
      <w:r>
        <w:t xml:space="preserve">(11)</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6">
        <w:r>
          <w:rPr>
            <w:rStyle w:val="Hyperlink"/>
          </w:rPr>
          <w:t xml:space="preserve">10.1152/ajplung.00091.2007</w:t>
        </w:r>
      </w:hyperlink>
      <w:r>
        <w:t xml:space="preserve">.</w:t>
      </w:r>
    </w:p>
    <w:bookmarkEnd w:id="57"/>
    <w:bookmarkStart w:id="59" w:name="ref-dong_hypoxia_2012"/>
    <w:p>
      <w:pPr>
        <w:pStyle w:val="Bibliography"/>
      </w:pPr>
      <w:r>
        <w:t xml:space="preserve">(12)</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58">
        <w:r>
          <w:rPr>
            <w:rStyle w:val="Hyperlink"/>
          </w:rPr>
          <w:t xml:space="preserve">10.17305/bjbms.2012.2463</w:t>
        </w:r>
      </w:hyperlink>
      <w:r>
        <w:t xml:space="preserve">.</w:t>
      </w:r>
    </w:p>
    <w:bookmarkEnd w:id="59"/>
    <w:bookmarkStart w:id="61" w:name="ref-semenza_regulation_2009"/>
    <w:p>
      <w:pPr>
        <w:pStyle w:val="Bibliography"/>
      </w:pPr>
      <w:r>
        <w:t xml:space="preserve">(13)</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0">
        <w:r>
          <w:rPr>
            <w:rStyle w:val="Hyperlink"/>
          </w:rPr>
          <w:t xml:space="preserve">10.1152/physiol.00045.2008</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25" Target="media/rId25.jpg" /><Relationship Type="http://schemas.openxmlformats.org/officeDocument/2006/relationships/image" Id="rId31" Target="media/rId31.jpg" /><Relationship Type="http://schemas.openxmlformats.org/officeDocument/2006/relationships/hyperlink" Id="rId48" Target="https://doi.org/10.1016/0002-9343(81)90182-0" TargetMode="External" /><Relationship Type="http://schemas.openxmlformats.org/officeDocument/2006/relationships/hyperlink" Id="rId44" Target="https://doi.org/10.1016/j.taap.2014.10.019" TargetMode="External" /><Relationship Type="http://schemas.openxmlformats.org/officeDocument/2006/relationships/hyperlink" Id="rId52" Target="https://doi.org/10.1038/ki.1976.39" TargetMode="External" /><Relationship Type="http://schemas.openxmlformats.org/officeDocument/2006/relationships/hyperlink" Id="rId40" Target="https://doi.org/10.1038/s41598-020-78886-y" TargetMode="External" /><Relationship Type="http://schemas.openxmlformats.org/officeDocument/2006/relationships/hyperlink" Id="rId54" Target="https://doi.org/10.1113/expphysiol.1994.sp003759" TargetMode="External" /><Relationship Type="http://schemas.openxmlformats.org/officeDocument/2006/relationships/hyperlink" Id="rId50" Target="https://doi.org/10.1146/annurev.physiol.010908.163241" TargetMode="External" /><Relationship Type="http://schemas.openxmlformats.org/officeDocument/2006/relationships/hyperlink" Id="rId42" Target="https://doi.org/10.1152/ajplung.00078.2011" TargetMode="External" /><Relationship Type="http://schemas.openxmlformats.org/officeDocument/2006/relationships/hyperlink" Id="rId56" Target="https://doi.org/10.1152/ajplung.00091.2007" TargetMode="External" /><Relationship Type="http://schemas.openxmlformats.org/officeDocument/2006/relationships/hyperlink" Id="rId60" Target="https://doi.org/10.1152/physiol.00045.2008" TargetMode="External" /><Relationship Type="http://schemas.openxmlformats.org/officeDocument/2006/relationships/hyperlink" Id="rId58" Target="https://doi.org/10.17305/bjbms.2012.2463" TargetMode="External" /><Relationship Type="http://schemas.openxmlformats.org/officeDocument/2006/relationships/hyperlink" Id="rId46" Target="https://jasn.asnjournals.org/content/jnephrol/22/11/1981.full.pdf" TargetMode="External" /><Relationship Type="http://schemas.openxmlformats.org/officeDocument/2006/relationships/hyperlink" Id="rId38" Target="https://www.fda.gov/consumers/consumer-updates/hyperbaric-oxygen-therapy-get-facts"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0002-9343(81)90182-0" TargetMode="External" /><Relationship Type="http://schemas.openxmlformats.org/officeDocument/2006/relationships/hyperlink" Id="rId44" Target="https://doi.org/10.1016/j.taap.2014.10.019" TargetMode="External" /><Relationship Type="http://schemas.openxmlformats.org/officeDocument/2006/relationships/hyperlink" Id="rId52" Target="https://doi.org/10.1038/ki.1976.39" TargetMode="External" /><Relationship Type="http://schemas.openxmlformats.org/officeDocument/2006/relationships/hyperlink" Id="rId40" Target="https://doi.org/10.1038/s41598-020-78886-y" TargetMode="External" /><Relationship Type="http://schemas.openxmlformats.org/officeDocument/2006/relationships/hyperlink" Id="rId54" Target="https://doi.org/10.1113/expphysiol.1994.sp003759" TargetMode="External" /><Relationship Type="http://schemas.openxmlformats.org/officeDocument/2006/relationships/hyperlink" Id="rId50" Target="https://doi.org/10.1146/annurev.physiol.010908.163241" TargetMode="External" /><Relationship Type="http://schemas.openxmlformats.org/officeDocument/2006/relationships/hyperlink" Id="rId42" Target="https://doi.org/10.1152/ajplung.00078.2011" TargetMode="External" /><Relationship Type="http://schemas.openxmlformats.org/officeDocument/2006/relationships/hyperlink" Id="rId56" Target="https://doi.org/10.1152/ajplung.00091.2007" TargetMode="External" /><Relationship Type="http://schemas.openxmlformats.org/officeDocument/2006/relationships/hyperlink" Id="rId60" Target="https://doi.org/10.1152/physiol.00045.2008" TargetMode="External" /><Relationship Type="http://schemas.openxmlformats.org/officeDocument/2006/relationships/hyperlink" Id="rId58" Target="https://doi.org/10.17305/bjbms.2012.2463" TargetMode="External" /><Relationship Type="http://schemas.openxmlformats.org/officeDocument/2006/relationships/hyperlink" Id="rId46" Target="https://jasn.asnjournals.org/content/jnephrol/22/11/1981.full.pdf" TargetMode="External" /><Relationship Type="http://schemas.openxmlformats.org/officeDocument/2006/relationships/hyperlink" Id="rId38" Target="https://www.fda.gov/consumers/consumer-updates/hyperbaric-oxygen-therapy-ge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2022-04-05T22:16:18Z</dcterms:created>
  <dcterms:modified xsi:type="dcterms:W3CDTF">2022-04-05T22:16:18Z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output">
    <vt:lpwstr>pdf_document</vt:lpwstr>
  </property>
</Properties>
</file>