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2"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 oxygen at room pressure (n=11).</w:t>
      </w:r>
    </w:p>
    <w:p>
      <w:pPr>
        <w:pStyle w:val="BodyText"/>
      </w:pPr>
      <w:r>
        <w:t xml:space="preserve">      Although treatment varied between groups, treatment schedule remained consistent and was the following. Subjects arrived Monday and height and weight were determined. Blood was collected via venipuncture before treatment was used for a baseline metabolic panel and analyzed on arterial blood gas (ABG) machine. Following blood draws subjects underwent 1.5 hours if in the hyperbaric arm and 1 hour if in the concentrated</w:t>
      </w:r>
      <w:r>
        <w:t xml:space="preserve"> </w:t>
      </w:r>
      <m:oMath>
        <m:sSub>
          <m:e>
            <m:r>
              <m:t>O</m:t>
            </m:r>
          </m:e>
          <m:sub>
            <m:r>
              <m:t>2</m:t>
            </m:r>
          </m:sub>
        </m:sSub>
      </m:oMath>
      <w:r>
        <w:t xml:space="preserve"> </w:t>
      </w:r>
      <w:r>
        <w:t xml:space="preserve">arm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2"/>
    <w:bookmarkStart w:id="29"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The hyperbaric groups base line potassium levels were at</w:t>
      </w:r>
      <w:r>
        <w:t xml:space="preserve"> </w:t>
      </w:r>
      <m:oMath>
        <m:r>
          <m:t>4.19</m:t>
        </m:r>
        <m:r>
          <m:rPr>
            <m:sty m:val="p"/>
          </m:rPr>
          <m:t>±</m:t>
        </m:r>
        <m:r>
          <m:t>0.26</m:t>
        </m:r>
      </m:oMath>
      <w:r>
        <w:t xml:space="preserve"> </w:t>
      </w:r>
      <w:r>
        <w:t xml:space="preserve">and post-exposure levels were</w:t>
      </w:r>
      <w:r>
        <w:t xml:space="preserve"> </w:t>
      </w:r>
      <m:oMath>
        <m:r>
          <m:t>4.55</m:t>
        </m:r>
        <m:r>
          <m:rPr>
            <m:sty m:val="p"/>
          </m:rPr>
          <m:t>±</m:t>
        </m:r>
        <m:sSup>
          <m:e>
            <m:r>
              <m:t>0.27</m:t>
            </m:r>
          </m:e>
          <m:sup>
            <m:r>
              <m:rPr>
                <m:sty m:val="p"/>
              </m:rPr>
              <m:t>*</m:t>
            </m:r>
          </m:sup>
        </m:sSup>
      </m:oMath>
      <w:r>
        <w:t xml:space="preserve">.(p=0.0068). Figure one displays paired changes in plasma potassium for hyperbaric exposure. Although a few subjects show no change or slight decrease in plasma potassium a strong trend toward increase is observed. However, in figure two there is so similar trend towards increase observed with only a view subjects experiencing a marked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CaptionedFigure"/>
      </w:pPr>
      <w:r>
        <w:drawing>
          <wp:inline>
            <wp:extent cx="5334000" cy="5811837"/>
            <wp:effectExtent b="0" l="0" r="0" t="0"/>
            <wp:docPr descr="Figure 1. Signifigant acute increase in plasma potassium concentration before and after treatment in the hyperbaric group" title="" id="24" name="Picture"/>
            <a:graphic>
              <a:graphicData uri="http://schemas.openxmlformats.org/drawingml/2006/picture">
                <pic:pic>
                  <pic:nvPicPr>
                    <pic:cNvPr descr="..\Figures\hyper_K+.jpg" id="25" name="Picture"/>
                    <pic:cNvPicPr>
                      <a:picLocks noChangeArrowheads="1" noChangeAspect="1"/>
                    </pic:cNvPicPr>
                  </pic:nvPicPr>
                  <pic:blipFill>
                    <a:blip r:embed="rId23"/>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Signifigant acute increase in plasma potassium concentration before and after treatment in the hyperbaric group</w:t>
      </w:r>
    </w:p>
    <w:p>
      <w:pPr>
        <w:pStyle w:val="CaptionedFigure"/>
      </w:pPr>
      <w:r>
        <w:drawing>
          <wp:inline>
            <wp:extent cx="5334000" cy="5767387"/>
            <wp:effectExtent b="0" l="0" r="0" t="0"/>
            <wp:docPr descr="Figure 2. Comparison of plasma potassium concentration before and after treatment in the concentrated oxygen group" title="" id="27" name="Picture"/>
            <a:graphic>
              <a:graphicData uri="http://schemas.openxmlformats.org/drawingml/2006/picture">
                <pic:pic>
                  <pic:nvPicPr>
                    <pic:cNvPr descr="..\Figures\conc_K+.jpg" id="28" name="Picture"/>
                    <pic:cNvPicPr>
                      <a:picLocks noChangeArrowheads="1" noChangeAspect="1"/>
                    </pic:cNvPicPr>
                  </pic:nvPicPr>
                  <pic:blipFill>
                    <a:blip r:embed="rId26"/>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Comparison of plasma potassium concentration before and after treatment in the concentrated oxygen group</w:t>
      </w:r>
    </w:p>
    <w:bookmarkEnd w:id="29"/>
    <w:bookmarkStart w:id="30"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this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an increase in hyperbaric chamber</w:t>
      </w:r>
      <w:r>
        <w:t xml:space="preserve"> </w:t>
      </w:r>
      <m:oMath>
        <m:r>
          <m:t>C</m:t>
        </m:r>
        <m:sSub>
          <m:e>
            <m:r>
              <m:t>O</m:t>
            </m:r>
          </m:e>
          <m:sub>
            <m:r>
              <m:t>2</m:t>
            </m:r>
          </m:sub>
        </m:sSub>
      </m:oMath>
      <w:r>
        <w:t xml:space="preserve"> </w:t>
      </w:r>
      <w:r>
        <w:t xml:space="preserve">resulting in mild respiratory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response to changes in pressure and changes in potassium channel expression via</w:t>
      </w:r>
      <w:r>
        <w:t xml:space="preserve"> </w:t>
      </w:r>
      <m:oMath>
        <m:r>
          <m:t>H</m:t>
        </m:r>
        <m:r>
          <m:t>I</m:t>
        </m:r>
        <m:r>
          <m:t>F</m:t>
        </m:r>
        <m:r>
          <m:rPr>
            <m:sty m:val="p"/>
          </m:rPr>
          <m:t>−</m:t>
        </m:r>
        <m:r>
          <m:t>1</m:t>
        </m:r>
        <m:r>
          <m:t>α</m:t>
        </m:r>
      </m:oMath>
      <w:r>
        <w:t xml:space="preserve">.</w:t>
      </w:r>
      <w:r>
        <w:br/>
      </w:r>
      <w:r>
        <w:t xml:space="preserve">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w:t>
      </w:r>
    </w:p>
    <w:p>
      <w:pPr>
        <w:pStyle w:val="BodyText"/>
      </w:pPr>
      <w:r>
        <w:t xml:space="preserve">     Further limitations of this study include lack of dietary restrictions on subjects, single Pre vs Post draw time point and variations between treatment cohorts.</w:t>
      </w:r>
    </w:p>
    <w:bookmarkEnd w:id="30"/>
    <w:bookmarkStart w:id="69" w:name="references"/>
    <w:p>
      <w:pPr>
        <w:pStyle w:val="Heading1"/>
      </w:pPr>
      <w:r>
        <w:t xml:space="preserve">References</w:t>
      </w:r>
    </w:p>
    <w:bookmarkStart w:id="68" w:name="refs"/>
    <w:bookmarkStart w:id="32" w:name="ref-aronson_effects_2011"/>
    <w:p>
      <w:pPr>
        <w:pStyle w:val="Bibliography"/>
      </w:pPr>
      <w:r>
        <w:t xml:space="preserve">(1)</w:t>
      </w:r>
      <w:r>
        <w:t xml:space="preserve"> </w:t>
      </w:r>
      <w:r>
        <w:t xml:space="preserve">	</w:t>
      </w:r>
      <w:r>
        <w:t xml:space="preserve">Aronson, P. S.; Giebisch, G.</w:t>
      </w:r>
      <w:r>
        <w:t xml:space="preserve"> </w:t>
      </w:r>
      <w:hyperlink r:id="rId31">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2"/>
    <w:bookmarkStart w:id="34"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3">
        <w:r>
          <w:rPr>
            <w:rStyle w:val="Hyperlink"/>
          </w:rPr>
          <w:t xml:space="preserve">10.1016/0002-9343(81)90182-0</w:t>
        </w:r>
      </w:hyperlink>
      <w:r>
        <w:t xml:space="preserve">.</w:t>
      </w:r>
    </w:p>
    <w:bookmarkEnd w:id="34"/>
    <w:bookmarkStart w:id="36"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35">
        <w:r>
          <w:rPr>
            <w:rStyle w:val="Hyperlink"/>
          </w:rPr>
          <w:t xml:space="preserve">10.1056/NEJMra1313341</w:t>
        </w:r>
      </w:hyperlink>
      <w:r>
        <w:t xml:space="preserve">.</w:t>
      </w:r>
    </w:p>
    <w:bookmarkEnd w:id="36"/>
    <w:bookmarkStart w:id="38"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37">
        <w:r>
          <w:rPr>
            <w:rStyle w:val="Hyperlink"/>
          </w:rPr>
          <w:t xml:space="preserve">10.1016/j.amjms.2017.08.025</w:t>
        </w:r>
      </w:hyperlink>
      <w:r>
        <w:t xml:space="preserve">.</w:t>
      </w:r>
    </w:p>
    <w:bookmarkEnd w:id="38"/>
    <w:bookmarkStart w:id="40"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9">
        <w:r>
          <w:rPr>
            <w:rStyle w:val="Hyperlink"/>
          </w:rPr>
          <w:t xml:space="preserve">10.1146/annurev.physiol.010908.163241</w:t>
        </w:r>
      </w:hyperlink>
      <w:r>
        <w:t xml:space="preserve">.</w:t>
      </w:r>
    </w:p>
    <w:bookmarkEnd w:id="40"/>
    <w:bookmarkStart w:id="42"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41">
        <w:r>
          <w:rPr>
            <w:rStyle w:val="Hyperlink"/>
          </w:rPr>
          <w:t xml:space="preserve">10.2215/CJN.00960112</w:t>
        </w:r>
      </w:hyperlink>
      <w:r>
        <w:t xml:space="preserve">.</w:t>
      </w:r>
    </w:p>
    <w:bookmarkEnd w:id="42"/>
    <w:bookmarkStart w:id="44"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43">
        <w:r>
          <w:rPr>
            <w:rStyle w:val="Hyperlink"/>
          </w:rPr>
          <w:t xml:space="preserve">10.1001/jama.2011.1967</w:t>
        </w:r>
      </w:hyperlink>
      <w:r>
        <w:t xml:space="preserve">.</w:t>
      </w:r>
    </w:p>
    <w:bookmarkEnd w:id="44"/>
    <w:bookmarkStart w:id="46"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5">
        <w:r>
          <w:rPr>
            <w:rStyle w:val="Hyperlink"/>
          </w:rPr>
          <w:t xml:space="preserve">10.1113/expphysiol.1994.sp003759</w:t>
        </w:r>
      </w:hyperlink>
      <w:r>
        <w:t xml:space="preserve">.</w:t>
      </w:r>
    </w:p>
    <w:bookmarkEnd w:id="46"/>
    <w:bookmarkStart w:id="47"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47"/>
    <w:bookmarkStart w:id="49"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48">
        <w:r>
          <w:rPr>
            <w:rStyle w:val="Hyperlink"/>
          </w:rPr>
          <w:t xml:space="preserve">10.1038/ki.1976.39</w:t>
        </w:r>
      </w:hyperlink>
      <w:r>
        <w:t xml:space="preserve">.</w:t>
      </w:r>
    </w:p>
    <w:bookmarkEnd w:id="49"/>
    <w:bookmarkStart w:id="51"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50">
        <w:r>
          <w:rPr>
            <w:rStyle w:val="Hyperlink"/>
          </w:rPr>
          <w:t xml:space="preserve">10.1038/s41598-020-78886-y</w:t>
        </w:r>
      </w:hyperlink>
      <w:r>
        <w:t xml:space="preserve">.</w:t>
      </w:r>
    </w:p>
    <w:bookmarkEnd w:id="51"/>
    <w:bookmarkStart w:id="53"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52">
        <w:r>
          <w:rPr>
            <w:rStyle w:val="Hyperlink"/>
          </w:rPr>
          <w:t xml:space="preserve">10.1152/ajplung.00078.2011</w:t>
        </w:r>
      </w:hyperlink>
      <w:r>
        <w:t xml:space="preserve">.</w:t>
      </w:r>
    </w:p>
    <w:bookmarkEnd w:id="53"/>
    <w:bookmarkStart w:id="55"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54">
        <w:r>
          <w:rPr>
            <w:rStyle w:val="Hyperlink"/>
          </w:rPr>
          <w:t xml:space="preserve">10.1016/j.taap.2014.10.019</w:t>
        </w:r>
      </w:hyperlink>
      <w:r>
        <w:t xml:space="preserve">.</w:t>
      </w:r>
    </w:p>
    <w:bookmarkEnd w:id="55"/>
    <w:bookmarkStart w:id="57"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6">
        <w:r>
          <w:rPr>
            <w:rStyle w:val="Hyperlink"/>
          </w:rPr>
          <w:t xml:space="preserve">10.1152/ajplung.00091.2007</w:t>
        </w:r>
      </w:hyperlink>
      <w:r>
        <w:t xml:space="preserve">.</w:t>
      </w:r>
    </w:p>
    <w:bookmarkEnd w:id="57"/>
    <w:bookmarkStart w:id="59"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58">
        <w:r>
          <w:rPr>
            <w:rStyle w:val="Hyperlink"/>
          </w:rPr>
          <w:t xml:space="preserve">10.17305/bjbms.2012.2463</w:t>
        </w:r>
      </w:hyperlink>
      <w:r>
        <w:t xml:space="preserve">.</w:t>
      </w:r>
    </w:p>
    <w:bookmarkEnd w:id="59"/>
    <w:bookmarkStart w:id="61"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0">
        <w:r>
          <w:rPr>
            <w:rStyle w:val="Hyperlink"/>
          </w:rPr>
          <w:t xml:space="preserve">10.1152/physiol.00045.2008</w:t>
        </w:r>
      </w:hyperlink>
      <w:r>
        <w:t xml:space="preserve">.</w:t>
      </w:r>
    </w:p>
    <w:bookmarkEnd w:id="61"/>
    <w:bookmarkStart w:id="63" w:name="ref-perng_effect_2004"/>
    <w:p>
      <w:pPr>
        <w:pStyle w:val="Bibliography"/>
      </w:pPr>
      <w:r>
        <w:t xml:space="preserve">(17)</w:t>
      </w:r>
      <w:r>
        <w:t xml:space="preserve"> </w:t>
      </w:r>
      <w:r>
        <w:t xml:space="preserve">	</w:t>
      </w:r>
      <w:r>
        <w:t xml:space="preserve">Perng, W.-C.; Wu, C.-P.; Chu, S.-J.; Kang, B.-H.; Huang, K.-L.</w:t>
      </w:r>
      <w:r>
        <w:t xml:space="preserve"> </w:t>
      </w:r>
      <w:hyperlink r:id="rId62">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63"/>
    <w:bookmarkStart w:id="65"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64">
        <w:r>
          <w:rPr>
            <w:rStyle w:val="Hyperlink"/>
          </w:rPr>
          <w:t xml:space="preserve">10.1183/09031936.96.09030472</w:t>
        </w:r>
      </w:hyperlink>
      <w:r>
        <w:t xml:space="preserve">.</w:t>
      </w:r>
    </w:p>
    <w:bookmarkEnd w:id="65"/>
    <w:bookmarkStart w:id="67"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6">
        <w:r>
          <w:rPr>
            <w:rStyle w:val="Hyperlink"/>
          </w:rPr>
          <w:t xml:space="preserve">10.1016/j.amjms.2017.07.012</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3" Target="media/rId23.jpg" /><Relationship Type="http://schemas.openxmlformats.org/officeDocument/2006/relationships/hyperlink" Id="rId43" Target="https://doi.org/10.1001/jama.2011.1967" TargetMode="External" /><Relationship Type="http://schemas.openxmlformats.org/officeDocument/2006/relationships/hyperlink" Id="rId33" Target="https://doi.org/10.1016/0002-9343(81)90182-0" TargetMode="External" /><Relationship Type="http://schemas.openxmlformats.org/officeDocument/2006/relationships/hyperlink" Id="rId66" Target="https://doi.org/10.1016/j.amjms.2017.07.012" TargetMode="External" /><Relationship Type="http://schemas.openxmlformats.org/officeDocument/2006/relationships/hyperlink" Id="rId37" Target="https://doi.org/10.1016/j.amjms.2017.08.025" TargetMode="External" /><Relationship Type="http://schemas.openxmlformats.org/officeDocument/2006/relationships/hyperlink" Id="rId54" Target="https://doi.org/10.1016/j.taap.2014.10.019" TargetMode="External" /><Relationship Type="http://schemas.openxmlformats.org/officeDocument/2006/relationships/hyperlink" Id="rId48" Target="https://doi.org/10.1038/ki.1976.39" TargetMode="External" /><Relationship Type="http://schemas.openxmlformats.org/officeDocument/2006/relationships/hyperlink" Id="rId50" Target="https://doi.org/10.1038/s41598-020-78886-y" TargetMode="External" /><Relationship Type="http://schemas.openxmlformats.org/officeDocument/2006/relationships/hyperlink" Id="rId35" Target="https://doi.org/10.1056/NEJMra1313341" TargetMode="External" /><Relationship Type="http://schemas.openxmlformats.org/officeDocument/2006/relationships/hyperlink" Id="rId45" Target="https://doi.org/10.1113/expphysiol.1994.sp003759" TargetMode="External" /><Relationship Type="http://schemas.openxmlformats.org/officeDocument/2006/relationships/hyperlink" Id="rId39" Target="https://doi.org/10.1146/annurev.physiol.010908.163241" TargetMode="External" /><Relationship Type="http://schemas.openxmlformats.org/officeDocument/2006/relationships/hyperlink" Id="rId52" Target="https://doi.org/10.1152/ajplung.00078.2011" TargetMode="External" /><Relationship Type="http://schemas.openxmlformats.org/officeDocument/2006/relationships/hyperlink" Id="rId56" Target="https://doi.org/10.1152/ajplung.00091.2007" TargetMode="External" /><Relationship Type="http://schemas.openxmlformats.org/officeDocument/2006/relationships/hyperlink" Id="rId60" Target="https://doi.org/10.1152/physiol.00045.2008" TargetMode="External" /><Relationship Type="http://schemas.openxmlformats.org/officeDocument/2006/relationships/hyperlink" Id="rId64" Target="https://doi.org/10.1183/09031936.96.09030472" TargetMode="External" /><Relationship Type="http://schemas.openxmlformats.org/officeDocument/2006/relationships/hyperlink" Id="rId58" Target="https://doi.org/10.17305/bjbms.2012.2463" TargetMode="External" /><Relationship Type="http://schemas.openxmlformats.org/officeDocument/2006/relationships/hyperlink" Id="rId41" Target="https://doi.org/10.2215/CJN.00960112" TargetMode="External" /><Relationship Type="http://schemas.openxmlformats.org/officeDocument/2006/relationships/hyperlink" Id="rId31" Target="https://jasn.asnjournals.org/content/jnephrol/22/11/1981.full.pdf" TargetMode="External" /><Relationship Type="http://schemas.openxmlformats.org/officeDocument/2006/relationships/hyperlink" Id="rId62"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2011.1967" TargetMode="External" /><Relationship Type="http://schemas.openxmlformats.org/officeDocument/2006/relationships/hyperlink" Id="rId33" Target="https://doi.org/10.1016/0002-9343(81)90182-0" TargetMode="External" /><Relationship Type="http://schemas.openxmlformats.org/officeDocument/2006/relationships/hyperlink" Id="rId66" Target="https://doi.org/10.1016/j.amjms.2017.07.012" TargetMode="External" /><Relationship Type="http://schemas.openxmlformats.org/officeDocument/2006/relationships/hyperlink" Id="rId37" Target="https://doi.org/10.1016/j.amjms.2017.08.025" TargetMode="External" /><Relationship Type="http://schemas.openxmlformats.org/officeDocument/2006/relationships/hyperlink" Id="rId54" Target="https://doi.org/10.1016/j.taap.2014.10.019" TargetMode="External" /><Relationship Type="http://schemas.openxmlformats.org/officeDocument/2006/relationships/hyperlink" Id="rId48" Target="https://doi.org/10.1038/ki.1976.39" TargetMode="External" /><Relationship Type="http://schemas.openxmlformats.org/officeDocument/2006/relationships/hyperlink" Id="rId50" Target="https://doi.org/10.1038/s41598-020-78886-y" TargetMode="External" /><Relationship Type="http://schemas.openxmlformats.org/officeDocument/2006/relationships/hyperlink" Id="rId35" Target="https://doi.org/10.1056/NEJMra1313341" TargetMode="External" /><Relationship Type="http://schemas.openxmlformats.org/officeDocument/2006/relationships/hyperlink" Id="rId45" Target="https://doi.org/10.1113/expphysiol.1994.sp003759" TargetMode="External" /><Relationship Type="http://schemas.openxmlformats.org/officeDocument/2006/relationships/hyperlink" Id="rId39" Target="https://doi.org/10.1146/annurev.physiol.010908.163241" TargetMode="External" /><Relationship Type="http://schemas.openxmlformats.org/officeDocument/2006/relationships/hyperlink" Id="rId52" Target="https://doi.org/10.1152/ajplung.00078.2011" TargetMode="External" /><Relationship Type="http://schemas.openxmlformats.org/officeDocument/2006/relationships/hyperlink" Id="rId56" Target="https://doi.org/10.1152/ajplung.00091.2007" TargetMode="External" /><Relationship Type="http://schemas.openxmlformats.org/officeDocument/2006/relationships/hyperlink" Id="rId60" Target="https://doi.org/10.1152/physiol.00045.2008" TargetMode="External" /><Relationship Type="http://schemas.openxmlformats.org/officeDocument/2006/relationships/hyperlink" Id="rId64" Target="https://doi.org/10.1183/09031936.96.09030472" TargetMode="External" /><Relationship Type="http://schemas.openxmlformats.org/officeDocument/2006/relationships/hyperlink" Id="rId58" Target="https://doi.org/10.17305/bjbms.2012.2463" TargetMode="External" /><Relationship Type="http://schemas.openxmlformats.org/officeDocument/2006/relationships/hyperlink" Id="rId41" Target="https://doi.org/10.2215/CJN.00960112" TargetMode="External" /><Relationship Type="http://schemas.openxmlformats.org/officeDocument/2006/relationships/hyperlink" Id="rId31" Target="https://jasn.asnjournals.org/content/jnephrol/22/11/1981.full.pdf" TargetMode="External" /><Relationship Type="http://schemas.openxmlformats.org/officeDocument/2006/relationships/hyperlink" Id="rId62"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2022-06-10T18:41:41Z</dcterms:created>
  <dcterms:modified xsi:type="dcterms:W3CDTF">2022-06-10T18:41:41Z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