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9.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Increase</w:t>
      </w:r>
      <w:r>
        <w:t xml:space="preserve"> </w:t>
      </w:r>
      <w:r>
        <w:t xml:space="preserve">in</w:t>
      </w:r>
      <w:r>
        <w:t xml:space="preserve"> </w:t>
      </w:r>
      <w:r>
        <w:t xml:space="preserve">venous</w:t>
      </w:r>
      <w:r>
        <w:t xml:space="preserve"> </w:t>
      </w:r>
      <w:r>
        <w:t xml:space="preserve">[K+]</w:t>
      </w:r>
      <w:r>
        <w:t xml:space="preserve"> </w:t>
      </w:r>
      <w:r>
        <w:t xml:space="preserve">During</w:t>
      </w:r>
      <w:r>
        <w:t xml:space="preserve"> </w:t>
      </w:r>
      <w:r>
        <w:t xml:space="preserve">Hyperbaric</w:t>
      </w:r>
      <w:r>
        <w:t xml:space="preserve"> </w:t>
      </w:r>
      <w:r>
        <w:t xml:space="preserve">Exposure</w:t>
      </w:r>
      <w:r>
        <w:t xml:space="preserve"> </w:t>
      </w:r>
      <w:r>
        <w:t xml:space="preserve">Independent</w:t>
      </w:r>
      <w:r>
        <w:t xml:space="preserve"> </w:t>
      </w:r>
      <w:r>
        <w:t xml:space="preserve">of</w:t>
      </w:r>
      <w:r>
        <w:t xml:space="preserve"> </w:t>
      </w:r>
      <w:r>
        <w:t xml:space="preserve">Changes</w:t>
      </w:r>
      <w:r>
        <w:t xml:space="preserve"> </w:t>
      </w:r>
      <w:r>
        <w:t xml:space="preserve">in</w:t>
      </w:r>
      <w:r>
        <w:t xml:space="preserve"> </w:t>
      </w:r>
      <w:r>
        <w:t xml:space="preserve">pH</w:t>
      </w:r>
      <w:r>
        <w:t xml:space="preserve"> </w:t>
      </w:r>
      <w:r>
        <w:t xml:space="preserve">or</w:t>
      </w:r>
      <w:r>
        <w:t xml:space="preserve"> </w:t>
      </w:r>
      <w:r>
        <w:t xml:space="preserve">O2</w:t>
      </w:r>
      <w:r>
        <w:t xml:space="preserve"> </w:t>
      </w:r>
      <w:r>
        <w:t xml:space="preserve">Concentration</w:t>
      </w:r>
    </w:p>
    <w:p>
      <w:pPr>
        <w:pStyle w:val="Author"/>
      </w:pPr>
      <w:r>
        <w:t xml:space="preserve">Jacob</w:t>
      </w:r>
      <w:r>
        <w:t xml:space="preserve"> </w:t>
      </w:r>
      <w:r>
        <w:t xml:space="preserve">Lamers,</w:t>
      </w:r>
    </w:p>
    <w:p>
      <w:pPr>
        <w:pStyle w:val="Author"/>
      </w:pPr>
      <w:r>
        <w:t xml:space="preserve">Matthew</w:t>
      </w:r>
      <w:r>
        <w:t xml:space="preserve"> </w:t>
      </w:r>
      <w:r>
        <w:t xml:space="preserve">Marcou, </w:t>
      </w:r>
    </w:p>
    <w:p>
      <w:pPr>
        <w:pStyle w:val="Author"/>
      </w:pPr>
      <w:r>
        <w:t xml:space="preserve">Kent</w:t>
      </w:r>
      <w:r>
        <w:t xml:space="preserve"> </w:t>
      </w:r>
      <w:r>
        <w:t xml:space="preserve">MacLaughlin, </w:t>
      </w:r>
    </w:p>
    <w:p>
      <w:pPr>
        <w:pStyle w:val="Author"/>
      </w:pPr>
      <w:r>
        <w:t xml:space="preserve">Rudolf</w:t>
      </w:r>
      <w:r>
        <w:t xml:space="preserve"> </w:t>
      </w:r>
      <w:r>
        <w:t xml:space="preserve">Braun, </w:t>
      </w:r>
    </w:p>
    <w:p>
      <w:pPr>
        <w:pStyle w:val="Author"/>
      </w:pPr>
      <w:r>
        <w:t xml:space="preserve">Marlowe</w:t>
      </w:r>
      <w:r>
        <w:t xml:space="preserve"> </w:t>
      </w:r>
      <w:r>
        <w:t xml:space="preserve">Eldridge</w:t>
      </w:r>
    </w:p>
    <w:bookmarkStart w:id="20" w:name="abstract"/>
    <w:p>
      <w:pPr>
        <w:pStyle w:val="Heading1"/>
      </w:pPr>
      <w:r>
        <w:t xml:space="preserve">Abstract</w:t>
      </w:r>
    </w:p>
    <w:p>
      <w:pPr>
        <w:pStyle w:val="FirstParagraph"/>
      </w:pPr>
      <w:r>
        <w:rPr>
          <w:bCs/>
          <w:b/>
        </w:rPr>
        <w:t xml:space="preserve">Increase in venous [K+] During Hyperbaric Exposure Independent of Changes in pH or O2 Concentration</w:t>
      </w:r>
    </w:p>
    <w:p>
      <w:pPr>
        <w:pStyle w:val="BodyText"/>
      </w:pPr>
      <w:r>
        <w:rPr>
          <w:bCs/>
          <w:b/>
        </w:rPr>
        <w:t xml:space="preserve">Increase in venous [K+] During Hyperbaric Exposure</w:t>
      </w:r>
    </w:p>
    <w:p>
      <w:pPr>
        <w:pStyle w:val="BodyText"/>
      </w:pPr>
      <w:r>
        <w:t xml:space="preserve">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Plasma potassium levels are dependent on a multitude of factors and result from the interplay of intracellular and extracellular changes and intake and execration rates.</w:t>
      </w:r>
      <w:r>
        <w:rPr>
          <w:vertAlign w:val="superscript"/>
        </w:rPr>
        <w:t xml:space="preserve">1–3</w:t>
      </w:r>
      <w:r>
        <w:t xml:space="preserve"> </w:t>
      </w:r>
      <w:r>
        <w:t xml:space="preserve">While potassium is viewed as an intracellular cation significant levels are observed extracellularly.</w:t>
      </w:r>
      <w:r>
        <w:rPr>
          <w:vertAlign w:val="superscript"/>
        </w:rPr>
        <w:t xml:space="preserve">4</w:t>
      </w:r>
      <w:r>
        <w:t xml:space="preserve"> </w:t>
      </w:r>
      <w:r>
        <w:t xml:space="preserve">Extracellular plasma potassium levels are heavily regulated to fall within a narrow range of 3.5 to 5.0 mmol per liter and maintenance at these concentrations are of extreme importance to the role of organs throughout the body.</w:t>
      </w:r>
      <w:r>
        <w:rPr>
          <w:vertAlign w:val="superscript"/>
        </w:rPr>
        <w:t xml:space="preserve">3</w:t>
      </w:r>
      <w:r>
        <w:t xml:space="preserve"> </w:t>
      </w:r>
      <w:r>
        <w:t xml:space="preserve">This importance is underscored by the fact plasma potassium levels in both hypokalemia or hyperkalemia lead to an increased death rates in certain conditions.</w:t>
      </w:r>
      <w:r>
        <w:rPr>
          <w:vertAlign w:val="superscript"/>
        </w:rPr>
        <w:t xml:space="preserve">6,7</w:t>
      </w:r>
      <w:r>
        <w:t xml:space="preserve"> </w:t>
      </w:r>
      <w:r>
        <w:t xml:space="preserve">Based on these findings, the determination of pathways of regulation leading to changes in plasma potassium levels are of importance.</w:t>
      </w:r>
    </w:p>
    <w:p>
      <w:pPr>
        <w:pStyle w:val="BodyText"/>
      </w:pPr>
      <w:r>
        <w:t xml:space="preserve">      Classic explanations for variations in plasma potassium levels emphasize the importance of acid-base distribution through their effects on ion transporters.</w:t>
      </w:r>
      <w:r>
        <w:rPr>
          <w:vertAlign w:val="superscript"/>
        </w:rPr>
        <w:t xml:space="preserve">1</w:t>
      </w:r>
      <w:r>
        <w:t xml:space="preserve"> </w:t>
      </w:r>
      <w:r>
        <w:t xml:space="preserve">Ion exchanges involving</w:t>
      </w:r>
      <w:r>
        <w:t xml:space="preserve"> </w:t>
      </w:r>
      <m:oMath>
        <m:r>
          <m:t>H</m:t>
        </m:r>
        <m:r>
          <m:rPr>
            <m:sty m:val="p"/>
          </m:rPr>
          <m:t>+</m:t>
        </m:r>
      </m:oMath>
      <w:r>
        <w:t xml:space="preserve">,</w:t>
      </w:r>
      <w:r>
        <w:t xml:space="preserve"> </w:t>
      </w:r>
      <m:oMath>
        <m:r>
          <m:t>N</m:t>
        </m:r>
        <m:r>
          <m:t>a</m:t>
        </m:r>
        <m:r>
          <m:rPr>
            <m:sty m:val="p"/>
          </m:rPr>
          <m:t>+</m:t>
        </m:r>
      </m:oMath>
      <w:r>
        <w:t xml:space="preserve">,</w:t>
      </w:r>
      <w:r>
        <w:t xml:space="preserve"> </w:t>
      </w:r>
      <m:oMath>
        <m:r>
          <m:t>H</m:t>
        </m:r>
        <m:r>
          <m:t>C</m:t>
        </m:r>
        <m:sSubSup>
          <m:e>
            <m:r>
              <m:t>O</m:t>
            </m:r>
          </m:e>
          <m:sub>
            <m:r>
              <m:t>3</m:t>
            </m:r>
          </m:sub>
          <m:sup>
            <m:r>
              <m:rPr>
                <m:sty m:val="p"/>
              </m:rPr>
              <m:t>−</m:t>
            </m:r>
          </m:sup>
        </m:sSubSup>
      </m:oMath>
      <w:r>
        <w:t xml:space="preserve"> </w:t>
      </w:r>
      <w:r>
        <w:t xml:space="preserve">and</w:t>
      </w:r>
      <w:r>
        <w:t xml:space="preserve"> </w:t>
      </w:r>
      <m:oMath>
        <m:r>
          <m:t>C</m:t>
        </m:r>
        <m:r>
          <m:t>l</m:t>
        </m:r>
        <m:r>
          <m:rPr>
            <m:sty m:val="p"/>
          </m:rPr>
          <m:t>−</m:t>
        </m:r>
      </m:oMath>
      <w:r>
        <w:t xml:space="preserve"> </w:t>
      </w:r>
      <w:r>
        <w:t xml:space="preserve">are important for maintaining the intracellular and extracellular levels of potassium.</w:t>
      </w:r>
      <w:r>
        <w:rPr>
          <w:vertAlign w:val="superscript"/>
        </w:rPr>
        <w:t xml:space="preserve">1</w:t>
      </w:r>
      <w:r>
        <w:t xml:space="preserve"> </w:t>
      </w:r>
      <w:r>
        <w:t xml:space="preserve">Renal function is also of integral to the regulation of potassium.</w:t>
      </w:r>
      <w:r>
        <w:rPr>
          <w:vertAlign w:val="superscript"/>
        </w:rPr>
        <w:t xml:space="preserve">1</w:t>
      </w:r>
      <w:r>
        <w:t xml:space="preserve"> </w:t>
      </w:r>
      <w:r>
        <w:t xml:space="preserve">Previously mentioned ions and their transporters and the hormone aldosterone play a central role in modulating renal excretion and re-uptake rates of potassium.</w:t>
      </w:r>
      <w:r>
        <w:rPr>
          <w:vertAlign w:val="superscript"/>
        </w:rPr>
        <w:t xml:space="preserve">1</w:t>
      </w:r>
      <w:r>
        <w:t xml:space="preserve"> </w:t>
      </w:r>
      <w:r>
        <w:t xml:space="preserve">Although acid-base distribution, ion-exchange and renal excretion/re-absorption offer the main explanation of plasma potassium levels other factors influence their physiological concentrations.</w:t>
      </w:r>
      <w:r>
        <w:rPr>
          <w:vertAlign w:val="superscript"/>
        </w:rPr>
        <w:t xml:space="preserve">2,8</w:t>
      </w:r>
      <w:r>
        <w:t xml:space="preserve"> </w:t>
      </w:r>
      <w:r>
        <w:t xml:space="preserve">In this study</w:t>
      </w:r>
      <w:r>
        <w:t xml:space="preserve"> </w:t>
      </w:r>
      <m:oMath>
        <m:sSub>
          <m:e>
            <m:r>
              <m:t>O</m:t>
            </m:r>
          </m:e>
          <m:sub>
            <m:r>
              <m:t>2</m:t>
            </m:r>
          </m:sub>
        </m:sSub>
      </m:oMath>
      <w:r>
        <w:t xml:space="preserve"> </w:t>
      </w:r>
      <w:r>
        <w:t xml:space="preserve">concentration and increased pressure were the factors under investigation which may lead to changes in plasma potassium levels.</w:t>
      </w:r>
    </w:p>
    <w:p>
      <w:pPr>
        <w:pStyle w:val="BodyText"/>
      </w:pPr>
      <w:r>
        <w:t xml:space="preserve">      Modulation of inspired</w:t>
      </w:r>
      <w:r>
        <w:t xml:space="preserve"> </w:t>
      </w:r>
      <m:oMath>
        <m:sSub>
          <m:e>
            <m:r>
              <m:t>O</m:t>
            </m:r>
          </m:e>
          <m:sub>
            <m:r>
              <m:t>2</m:t>
            </m:r>
          </m:sub>
        </m:sSub>
      </m:oMath>
      <w:r>
        <w:t xml:space="preserve"> </w:t>
      </w:r>
      <w:r>
        <w:t xml:space="preserve">concentration has been used as an effectives treatment for a multitude of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9</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 Concentrated oxygen and hyperbaric treatment were the two treatments under investigation in this study.</w:t>
      </w:r>
    </w:p>
    <w:p>
      <w:pPr>
        <w:pStyle w:val="BodyText"/>
      </w:pPr>
      <w:r>
        <w:t xml:space="preserve">      Effects of hyperoxia on plasma potassium levels remain ambiguous.</w:t>
      </w:r>
      <w:r>
        <w:rPr>
          <w:vertAlign w:val="superscript"/>
        </w:rPr>
        <w:t xml:space="preserve">2</w:t>
      </w:r>
      <w:r>
        <w:t xml:space="preserve"> </w:t>
      </w:r>
      <w:r>
        <w:t xml:space="preserve">A few studies have demonstrated an increase in plasma potassium as the result of hyperoxic exposure while others have found no similar increase.</w:t>
      </w:r>
      <w:r>
        <w:rPr>
          <w:vertAlign w:val="superscript"/>
        </w:rPr>
        <w:t xml:space="preserve">2,10</w:t>
      </w:r>
      <w:r>
        <w:t xml:space="preserve"> </w:t>
      </w:r>
      <w:r>
        <w:t xml:space="preserve">However research has shown that hyperoxia can effect voltage-gated K+ channels in humans</w:t>
      </w:r>
      <w:r>
        <w:rPr>
          <w:vertAlign w:val="superscript"/>
        </w:rPr>
        <w:t xml:space="preserve">11–13</w:t>
      </w:r>
      <w:r>
        <w:t xml:space="preserve"> </w:t>
      </w:r>
      <w:r>
        <w:t xml:space="preserve">One group found that long-term exposure to hyperoxia can result in a decrease in activity of voltage-gated K+ channels in lung tissue.</w:t>
      </w:r>
      <w:r>
        <w:rPr>
          <w:vertAlign w:val="superscript"/>
        </w:rPr>
        <w:t xml:space="preserve">11,12</w:t>
      </w:r>
      <w:r>
        <w:t xml:space="preserve"> </w:t>
      </w:r>
      <w:r>
        <w:t xml:space="preserve">Where as another study looking at voltage-gated K+ channels of the heart and saw a signifigant reduction of oxygen-sensitive Kv1.5 potassium channel protein expression.</w:t>
      </w:r>
      <w:r>
        <w:rPr>
          <w:vertAlign w:val="superscript"/>
        </w:rPr>
        <w:t xml:space="preserve">13</w:t>
      </w:r>
      <w:r>
        <w:t xml:space="preserve"> </w:t>
      </w:r>
      <w:r>
        <w:t xml:space="preserve">Internal potassium homeostasis and the distribution of intracellular and extracellular potassium in the body is primarily the result of ion-exchanges pumps and passive efflux.</w:t>
      </w:r>
      <w:r>
        <w:rPr>
          <w:vertAlign w:val="superscript"/>
        </w:rPr>
        <w:t xml:space="preserve">1,3</w:t>
      </w:r>
      <w:r>
        <w:t xml:space="preserve"> </w:t>
      </w:r>
      <w:r>
        <w:t xml:space="preserve">Hypoxia has also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indicating a potential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8,14–16</w:t>
      </w:r>
      <w:r>
        <w:t xml:space="preserve"> </w:t>
      </w:r>
      <w:r>
        <w:t xml:space="preserve">Therefore changes in activity or expression of these channels offers a potential linkage between effects hyperoxia on plasma potassium.</w:t>
      </w:r>
    </w:p>
    <w:p>
      <w:pPr>
        <w:pStyle w:val="BodyText"/>
      </w:pPr>
      <w:r>
        <w:t xml:space="preserve">       Historically,</w:t>
      </w:r>
      <w:r>
        <w:t xml:space="preserve"> </w:t>
      </w:r>
      <m:oMath>
        <m:r>
          <m:t>H</m:t>
        </m:r>
        <m:r>
          <m:t>B</m:t>
        </m:r>
        <m:sSub>
          <m:e>
            <m:r>
              <m:t>O</m:t>
            </m:r>
          </m:e>
          <m:sub>
            <m:r>
              <m:t>2</m:t>
            </m:r>
          </m:sub>
        </m:sSub>
      </m:oMath>
      <w:r>
        <w:t xml:space="preserve"> </w:t>
      </w:r>
      <w:r>
        <w:t xml:space="preserve">studies in mice and rats have shown that</w:t>
      </w:r>
      <w:r>
        <w:t xml:space="preserve"> </w:t>
      </w:r>
      <m:oMath>
        <m:r>
          <m:t>H</m:t>
        </m:r>
        <m:r>
          <m:t>B</m:t>
        </m:r>
        <m:sSub>
          <m:e>
            <m:r>
              <m:t>O</m:t>
            </m:r>
          </m:e>
          <m:sub>
            <m:r>
              <m:t>2</m:t>
            </m:r>
          </m:sub>
        </m:sSub>
      </m:oMath>
      <w:r>
        <w:t xml:space="preserve"> </w:t>
      </w:r>
      <w:r>
        <w:t xml:space="preserve">exposure reduces lung injury and can help alleviate the effects of hypoxia and hypoxemia.</w:t>
      </w:r>
      <w:r>
        <w:rPr>
          <w:vertAlign w:val="superscript"/>
        </w:rPr>
        <w:t xml:space="preserve">17</w:t>
      </w:r>
      <w:r>
        <w:t xml:space="preserve"> </w:t>
      </w:r>
      <w:r>
        <w:t xml:space="preserve">While the mechanism for this is not entirely understood, it has been proposed that an upregulation in the activity of Na+/K+ ATPase and a subsequent increase in movement of Na+ and K+ ions inside the cells of lung tissue assists in relieving lung injury.</w:t>
      </w:r>
      <w:r>
        <w:rPr>
          <w:vertAlign w:val="superscript"/>
        </w:rPr>
        <w:t xml:space="preserve">18</w:t>
      </w:r>
      <w:r>
        <w:t xml:space="preserve"> </w:t>
      </w:r>
      <w:r>
        <w:t xml:space="preserve">In multiple cases, hyperbaric treatment has been shown to be effective in clearing edema in the lungs.</w:t>
      </w:r>
      <w:r>
        <w:rPr>
          <w:vertAlign w:val="superscript"/>
        </w:rPr>
        <w:t xml:space="preserve">17,18</w:t>
      </w:r>
      <w:r>
        <w:t xml:space="preserve"> </w:t>
      </w:r>
      <w:r>
        <w:t xml:space="preserve">Pulmonary edema is a common occurrence when using a SCUBA device for deep-sea diving, and hyperbaric oxygen has been an approved treatment for diving-related conditions for several years. Due to the risks that can be associated with breathing 100%</w:t>
      </w:r>
      <w:r>
        <w:t xml:space="preserve"> </w:t>
      </w:r>
      <m:oMath>
        <m:sSub>
          <m:e>
            <m:r>
              <m:t>O</m:t>
            </m:r>
          </m:e>
          <m:sub>
            <m:r>
              <m:t>2</m:t>
            </m:r>
          </m:sub>
        </m:sSub>
      </m:oMath>
      <w:r>
        <w:t xml:space="preserve"> </w:t>
      </w:r>
      <w:r>
        <w:t xml:space="preserve">for extended periods of time, it is worthwhile to discover if it is possible to alleviate these conditions with solely hyperbaric treatment, eliminating the harmful effects of 100%</w:t>
      </w:r>
      <w:r>
        <w:t xml:space="preserve"> </w:t>
      </w:r>
      <m:oMath>
        <m:sSub>
          <m:e>
            <m:r>
              <m:t>O</m:t>
            </m:r>
          </m:e>
          <m:sub>
            <m:r>
              <m:t>2</m:t>
            </m:r>
          </m:sub>
        </m:sSub>
      </m:oMath>
      <w:r>
        <w:t xml:space="preserve"> </w:t>
      </w:r>
      <w:r>
        <w:t xml:space="preserve">exposure. Literature detailing hyperbaric effects on plasma ion concentrations mostly focus on</w:t>
      </w:r>
      <w:r>
        <w:t xml:space="preserve"> </w:t>
      </w:r>
      <m:oMath>
        <m:r>
          <m:t>H</m:t>
        </m:r>
        <m:r>
          <m:t>B</m:t>
        </m:r>
        <m:sSub>
          <m:e>
            <m:r>
              <m:t>O</m:t>
            </m:r>
          </m:e>
          <m:sub>
            <m:r>
              <m:t>2</m:t>
            </m:r>
          </m:sub>
        </m:sSub>
      </m:oMath>
      <w:r>
        <w:t xml:space="preserve">. As previously mentioned exposure to hyperoxia also causes changes in plasma ion concentrations. This means studies of</w:t>
      </w:r>
      <w:r>
        <w:t xml:space="preserve"> </w:t>
      </w:r>
      <m:oMath>
        <m:r>
          <m:t>H</m:t>
        </m:r>
        <m:r>
          <m:t>B</m:t>
        </m:r>
        <m:sSub>
          <m:e>
            <m:r>
              <m:t>O</m:t>
            </m:r>
          </m:e>
          <m:sub>
            <m:r>
              <m:t>2</m:t>
            </m:r>
          </m:sub>
        </m:sSub>
      </m:oMath>
      <w:r>
        <w:t xml:space="preserve"> </w:t>
      </w:r>
      <w:r>
        <w:t xml:space="preserve">and its effects on these concentrations can not seperate the effects of increased pressure and increased</w:t>
      </w:r>
      <w:r>
        <w:t xml:space="preserve"> </w:t>
      </w:r>
      <m:oMath>
        <m:sSub>
          <m:e>
            <m:r>
              <m:t>O</m:t>
            </m:r>
          </m:e>
          <m:sub>
            <m:r>
              <m:t>2</m:t>
            </m:r>
          </m:sub>
        </m:sSub>
      </m:oMath>
      <w:r>
        <w:t xml:space="preserve">. The main goal of this study was to determine the similarities and differences in effects of concentrated</w:t>
      </w:r>
      <w:r>
        <w:t xml:space="preserve"> </w:t>
      </w:r>
      <m:oMath>
        <m:sSub>
          <m:e>
            <m:r>
              <m:t>O</m:t>
            </m:r>
          </m:e>
          <m:sub>
            <m:r>
              <m:t>2</m:t>
            </m:r>
          </m:sub>
        </m:sSub>
      </m:oMath>
      <w:r>
        <w:t xml:space="preserve"> </w:t>
      </w:r>
      <w:r>
        <w:t xml:space="preserve">and hyperbaria on the blood metabolites, specifically plasma potassium levels.</w:t>
      </w:r>
    </w:p>
    <w:bookmarkEnd w:id="21"/>
    <w:bookmarkStart w:id="25" w:name="methods"/>
    <w:p>
      <w:pPr>
        <w:pStyle w:val="Heading1"/>
      </w:pPr>
      <w:r>
        <w:t xml:space="preserve">Methods</w:t>
      </w:r>
    </w:p>
    <w:p>
      <w:pPr>
        <w:pStyle w:val="FirstParagraph"/>
      </w:pPr>
      <w:r>
        <w:t xml:space="preserve">      Healthy adult subjects were recruited via REDCap using a University of Wisconsin’s email list. A questionnaire was administered to determine characteristics of individuals such as pre-existing conditions and age. Individuals who responded to the survey were selected at random and contacted via phone. Participants in the study were separated into two groups. The first group received hyperbaric treatment in altitude sickness bags (n=13) while the second group received concentrated</w:t>
      </w:r>
      <w:r>
        <w:t xml:space="preserve"> </w:t>
      </w:r>
      <m:oMath>
        <m:sSub>
          <m:e>
            <m:r>
              <m:t>O</m:t>
            </m:r>
          </m:e>
          <m:sub>
            <m:r>
              <m:t>2</m:t>
            </m:r>
          </m:sub>
        </m:sSub>
      </m:oMath>
      <w:r>
        <w:t xml:space="preserve"> </w:t>
      </w:r>
      <w:r>
        <w:t xml:space="preserve">at room pressure (n=11).</w:t>
      </w:r>
    </w:p>
    <w:p>
      <w:pPr>
        <w:pStyle w:val="BodyText"/>
      </w:pPr>
      <w:r>
        <w:t xml:space="preserve">      Although treatment varied between groups, treatment schedule remained consistent as shown in figure 1. Subjects arrived Monday and height and weight were determined. Blood was collected via venipuncture before treatment was used for a baseline metabolic panel and was analyzed on arterial blood gas (ABG) machine. Following blood draws subjects underwent 1.5 hours if in the hyperbaric arm or 1 hour if in the concentrated</w:t>
      </w:r>
      <w:r>
        <w:t xml:space="preserve"> </w:t>
      </w:r>
      <m:oMath>
        <m:sSub>
          <m:e>
            <m:r>
              <m:t>O</m:t>
            </m:r>
          </m:e>
          <m:sub>
            <m:r>
              <m:t>2</m:t>
            </m:r>
          </m:sub>
        </m:sSub>
      </m:oMath>
      <w:r>
        <w:t xml:space="preserve"> </w:t>
      </w:r>
      <w:r>
        <w:t xml:space="preserve">arm.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and after a weekend of no treatment following the final treatment another blood draw occurred and subsequent analysis was preformed.</w:t>
      </w:r>
    </w:p>
    <w:p>
      <w:pPr>
        <w:pStyle w:val="CaptionedFigure"/>
      </w:pPr>
      <w:r>
        <w:drawing>
          <wp:inline>
            <wp:extent cx="5334000" cy="3218793"/>
            <wp:effectExtent b="0" l="0" r="0" t="0"/>
            <wp:docPr descr="Figure 1. Outline detailing treatment schedule for both hyperbaric and hyperoxia treatment groups." title="" id="23" name="Picture"/>
            <a:graphic>
              <a:graphicData uri="http://schemas.openxmlformats.org/drawingml/2006/picture">
                <pic:pic>
                  <pic:nvPicPr>
                    <pic:cNvPr descr="..\Figures\K+%20Methods%20Figure.jpeg" id="24" name="Picture"/>
                    <pic:cNvPicPr>
                      <a:picLocks noChangeArrowheads="1" noChangeAspect="1"/>
                    </pic:cNvPicPr>
                  </pic:nvPicPr>
                  <pic:blipFill>
                    <a:blip r:embed="rId22"/>
                    <a:stretch>
                      <a:fillRect/>
                    </a:stretch>
                  </pic:blipFill>
                  <pic:spPr bwMode="auto">
                    <a:xfrm>
                      <a:off x="0" y="0"/>
                      <a:ext cx="5334000" cy="3218793"/>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Outline detailing treatment schedule for both hyperbaric and hyperoxia treatment groups.</w:t>
      </w:r>
    </w:p>
    <w:p>
      <w:pPr>
        <w:pStyle w:val="BodyText"/>
      </w:pPr>
      <w:r>
        <w:t xml:space="preserve">      A total of 36 metabolic indicators were reported by the ABG machine. Indicators were compared pairwise between the four draws. Statistical analysis and data visualization was performed using R (The R Foundation) where paired student t-tests were used for normally distributed lab results and while wilcox tests were used for the</w:t>
      </w:r>
      <w:r>
        <w:t xml:space="preserve"> </w:t>
      </w:r>
      <m:oMath>
        <m:r>
          <m:t>K</m:t>
        </m:r>
        <m:r>
          <m:rPr>
            <m:sty m:val="p"/>
          </m:rPr>
          <m:t>+</m:t>
        </m:r>
      </m:oMath>
      <w:r>
        <w:t xml:space="preserve"> </w:t>
      </w:r>
      <w:r>
        <w:t xml:space="preserve">and</w:t>
      </w:r>
      <w:r>
        <w:t xml:space="preserve"> </w:t>
      </w:r>
      <m:oMath>
        <m:r>
          <m:t>H</m:t>
        </m:r>
        <m:r>
          <m:t>C</m:t>
        </m:r>
        <m:sSubSup>
          <m:e>
            <m:r>
              <m:t>O</m:t>
            </m:r>
          </m:e>
          <m:sub>
            <m:r>
              <m:t>3</m:t>
            </m:r>
          </m:sub>
          <m:sup>
            <m:r>
              <m:rPr>
                <m:sty m:val="p"/>
              </m:rPr>
              <m:t>−</m:t>
            </m:r>
          </m:sup>
        </m:sSubSup>
      </m:oMath>
      <w:r>
        <w:t xml:space="preserve"> </w:t>
      </w:r>
      <w:r>
        <w:t xml:space="preserve">because of their skewed distributions.</w:t>
      </w:r>
      <w:r>
        <w:rPr>
          <w:vertAlign w:val="superscript"/>
        </w:rPr>
        <w:t xml:space="preserve">19</w:t>
      </w:r>
    </w:p>
    <w:bookmarkEnd w:id="25"/>
    <w:bookmarkStart w:id="32" w:name="results"/>
    <w:p>
      <w:pPr>
        <w:pStyle w:val="Heading1"/>
      </w:pPr>
      <w:r>
        <w:t xml:space="preserve">Results</w:t>
      </w:r>
    </w:p>
    <w:p>
      <w:pPr>
        <w:pStyle w:val="FirstParagraph"/>
      </w:pPr>
      <w:r>
        <w:t xml:space="preserve">      Tables one and two display values for classical ions of interest in potassium homeostasis for concentrated</w:t>
      </w:r>
      <w:r>
        <w:t xml:space="preserve"> </w:t>
      </w:r>
      <m:oMath>
        <m:sSub>
          <m:e>
            <m:r>
              <m:t>O</m:t>
            </m:r>
          </m:e>
          <m:sub>
            <m:r>
              <m:t>2</m:t>
            </m:r>
          </m:sub>
        </m:sSub>
      </m:oMath>
      <w:r>
        <w:t xml:space="preserve"> </w:t>
      </w:r>
      <w:r>
        <w:t xml:space="preserve">and hyperbaric air respectively. The concentrated</w:t>
      </w:r>
      <w:r>
        <w:t xml:space="preserve"> </w:t>
      </w:r>
      <m:oMath>
        <m:sSub>
          <m:e>
            <m:r>
              <m:t>O</m:t>
            </m:r>
          </m:e>
          <m:sub>
            <m:r>
              <m:t>2</m:t>
            </m:r>
          </m:sub>
        </m:sSub>
      </m:oMath>
      <w:r>
        <w:t xml:space="preserve"> </w:t>
      </w:r>
      <w:r>
        <w:t xml:space="preserve">group saw a significant increase in pH from baseline levels of</w:t>
      </w:r>
      <w:r>
        <w:t xml:space="preserve"> </w:t>
      </w:r>
      <m:oMath>
        <m:r>
          <m:t>7.374</m:t>
        </m:r>
        <m:r>
          <m:rPr>
            <m:sty m:val="p"/>
          </m:rPr>
          <m:t>±</m:t>
        </m:r>
        <m:r>
          <m:t>0.029</m:t>
        </m:r>
      </m:oMath>
      <w:r>
        <w:t xml:space="preserve"> </w:t>
      </w:r>
      <w:r>
        <w:t xml:space="preserve">to post-exposure levels of</w:t>
      </w:r>
      <w:r>
        <w:t xml:space="preserve"> </w:t>
      </w:r>
      <m:oMath>
        <m:r>
          <m:t>7.393</m:t>
        </m:r>
        <m:r>
          <m:rPr>
            <m:sty m:val="p"/>
          </m:rPr>
          <m:t>±</m:t>
        </m:r>
        <m:r>
          <m:t>0.014</m:t>
        </m:r>
      </m:oMath>
      <w:r>
        <w:t xml:space="preserve">(p=0.023) while the hyperbaric group saw no similar significant increase. Plasma potassium levels were significantly increased in the hyperbaric oxygen group immediately post exposure when compared to thier baseline values as shown in figure one. The hyperbaric groups intial potassium levels were at</w:t>
      </w:r>
      <w:r>
        <w:t xml:space="preserve"> </w:t>
      </w:r>
      <m:oMath>
        <m:r>
          <m:t>4.19</m:t>
        </m:r>
        <m:r>
          <m:rPr>
            <m:sty m:val="p"/>
          </m:rPr>
          <m:t>±</m:t>
        </m:r>
        <m:r>
          <m:t>0.26</m:t>
        </m:r>
      </m:oMath>
      <w:r>
        <w:t xml:space="preserve"> </w:t>
      </w:r>
      <w:r>
        <w:t xml:space="preserve">and the post-exposure levels were</w:t>
      </w:r>
      <w:r>
        <w:t xml:space="preserve"> </w:t>
      </w:r>
      <m:oMath>
        <m:r>
          <m:t>4.55</m:t>
        </m:r>
        <m:r>
          <m:rPr>
            <m:sty m:val="p"/>
          </m:rPr>
          <m:t>±</m:t>
        </m:r>
        <m:sSup>
          <m:e>
            <m:r>
              <m:t>0.27</m:t>
            </m:r>
          </m:e>
          <m:sup>
            <m:r>
              <m:rPr>
                <m:sty m:val="p"/>
              </m:rPr>
              <m:t>*</m:t>
            </m:r>
          </m:sup>
        </m:sSup>
      </m:oMath>
      <w:r>
        <w:t xml:space="preserve">.(p=0.0068). Although a few subjects show no change or slight decrease in plasma potassium a strong trend toward increase is observed in this group. However, in figure two there is so similar trend towards increase observed with only a few subjects experiencing a increase in plasma potassium levels.</w:t>
      </w:r>
    </w:p>
    <w:p>
      <w:pPr>
        <w:pStyle w:val="TableCaption"/>
      </w:pPr>
      <w:r>
        <w:t xml:space="preserve">Metabolite concentrations for concentrated oxygen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concentrated oxygen group from pre, post, day 10 and final blood draws. Signifigance denoted by (* &lt; 0.05), (** &lt; 0.001)"/>
      </w:tblPr>
      <w:tblGrid>
        <w:gridCol w:w="1440"/>
        <w:gridCol w:w="1512"/>
        <w:gridCol w:w="1728"/>
        <w:gridCol w:w="1512"/>
        <w:gridCol w:w="1728"/>
      </w:tblGrid>
      <w:tr>
        <w:trPr>
          <w:tblHeader w:val="true"/>
        </w:trPr>
        <w:tc>
          <w:tcPr/>
          <w:p>
            <w:pPr>
              <w:pStyle w:val="Compact"/>
              <w:jc w:val="left"/>
            </w:pPr>
            <w:r>
              <w:t xml:space="preserve">Metabolite</w:t>
            </w:r>
          </w:p>
        </w:tc>
        <w:tc>
          <w:tcPr/>
          <w:p>
            <w:pPr>
              <w:pStyle w:val="Compact"/>
              <w:jc w:val="left"/>
            </w:pPr>
            <w:r>
              <w:t xml:space="preserve">Pre (n=13)</w:t>
            </w:r>
          </w:p>
        </w:tc>
        <w:tc>
          <w:tcPr/>
          <w:p>
            <w:pPr>
              <w:pStyle w:val="Compact"/>
              <w:jc w:val="left"/>
            </w:pPr>
            <w:r>
              <w:t xml:space="preserve">Post (n=13)</w:t>
            </w:r>
          </w:p>
        </w:tc>
        <w:tc>
          <w:tcPr/>
          <w:p>
            <w:pPr>
              <w:pStyle w:val="Compact"/>
              <w:jc w:val="left"/>
            </w:pPr>
            <w:r>
              <w:t xml:space="preserve">Day 10 (n=10)</w:t>
            </w:r>
          </w:p>
        </w:tc>
        <w:tc>
          <w:tcPr/>
          <w:p>
            <w:pPr>
              <w:pStyle w:val="Compact"/>
              <w:jc w:val="left"/>
            </w:pPr>
            <w:r>
              <w:t xml:space="preserve">Final (n=9)</w:t>
            </w:r>
          </w:p>
        </w:tc>
      </w:tr>
      <w:tr>
        <w:tc>
          <w:tcPr/>
          <w:p>
            <w:pPr>
              <w:pStyle w:val="Compact"/>
              <w:jc w:val="left"/>
            </w:pPr>
            <m:oMath>
              <m:r>
                <m:t>p</m:t>
              </m:r>
              <m:r>
                <m:t>H</m:t>
              </m:r>
            </m:oMath>
          </w:p>
        </w:tc>
        <w:tc>
          <w:tcPr/>
          <w:p>
            <w:pPr>
              <w:pStyle w:val="Compact"/>
              <w:jc w:val="left"/>
            </w:pPr>
            <m:oMath>
              <m:r>
                <m:t>7.374</m:t>
              </m:r>
              <m:r>
                <m:rPr>
                  <m:sty m:val="p"/>
                </m:rPr>
                <m:t>±</m:t>
              </m:r>
              <m:r>
                <m:t>0.029</m:t>
              </m:r>
            </m:oMath>
          </w:p>
        </w:tc>
        <w:tc>
          <w:tcPr/>
          <w:p>
            <w:pPr>
              <w:pStyle w:val="Compact"/>
              <w:jc w:val="left"/>
            </w:pPr>
            <m:oMath>
              <m:r>
                <m:t>7.393</m:t>
              </m:r>
              <m:r>
                <m:rPr>
                  <m:sty m:val="p"/>
                </m:rPr>
                <m:t>±</m:t>
              </m:r>
              <m:sSup>
                <m:e>
                  <m:r>
                    <m:t>0.014</m:t>
                  </m:r>
                </m:e>
                <m:sup>
                  <m:r>
                    <m:rPr>
                      <m:sty m:val="p"/>
                    </m:rPr>
                    <m:t>*</m:t>
                  </m:r>
                </m:sup>
              </m:sSup>
            </m:oMath>
          </w:p>
        </w:tc>
        <w:tc>
          <w:tcPr/>
          <w:p>
            <w:pPr>
              <w:pStyle w:val="Compact"/>
              <w:jc w:val="left"/>
            </w:pPr>
            <m:oMath>
              <m:r>
                <m:t>7.368</m:t>
              </m:r>
              <m:r>
                <m:rPr>
                  <m:sty m:val="p"/>
                </m:rPr>
                <m:t>±</m:t>
              </m:r>
              <m:r>
                <m:t>0.033</m:t>
              </m:r>
            </m:oMath>
          </w:p>
        </w:tc>
        <w:tc>
          <w:tcPr/>
          <w:p>
            <w:pPr>
              <w:pStyle w:val="Compact"/>
              <w:jc w:val="left"/>
            </w:pPr>
            <m:oMath>
              <m:r>
                <m:t>7.384</m:t>
              </m:r>
              <m:r>
                <m:rPr>
                  <m:sty m:val="p"/>
                </m:rPr>
                <m:t>±</m:t>
              </m:r>
              <m:r>
                <m:t>0.027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48.5</m:t>
              </m:r>
              <m:r>
                <m:rPr>
                  <m:sty m:val="p"/>
                </m:rPr>
                <m:t>±</m:t>
              </m:r>
              <m:r>
                <m:t>5.6</m:t>
              </m:r>
            </m:oMath>
          </w:p>
        </w:tc>
        <w:tc>
          <w:tcPr/>
          <w:p>
            <w:pPr>
              <w:pStyle w:val="Compact"/>
              <w:jc w:val="left"/>
            </w:pPr>
            <m:oMath>
              <m:r>
                <m:t>47.1</m:t>
              </m:r>
              <m:r>
                <m:rPr>
                  <m:sty m:val="p"/>
                </m:rPr>
                <m:t>±</m:t>
              </m:r>
              <m:r>
                <m:t>4.3</m:t>
              </m:r>
            </m:oMath>
          </w:p>
        </w:tc>
        <w:tc>
          <w:tcPr/>
          <w:p>
            <w:pPr>
              <w:pStyle w:val="Compact"/>
              <w:jc w:val="left"/>
            </w:pPr>
            <m:oMath>
              <m:r>
                <m:t>44.7</m:t>
              </m:r>
              <m:r>
                <m:rPr>
                  <m:sty m:val="p"/>
                </m:rPr>
                <m:t>±</m:t>
              </m:r>
              <m:r>
                <m:t>6.3</m:t>
              </m:r>
            </m:oMath>
          </w:p>
        </w:tc>
        <w:tc>
          <w:tcPr/>
          <w:p>
            <w:pPr>
              <w:pStyle w:val="Compact"/>
              <w:jc w:val="left"/>
            </w:pPr>
            <m:oMath>
              <m:r>
                <m:t>38.8</m:t>
              </m:r>
              <m:r>
                <m:rPr>
                  <m:sty m:val="p"/>
                </m:rPr>
                <m:t>±</m:t>
              </m:r>
              <m:sSup>
                <m:e>
                  <m:r>
                    <m:t>8.7</m:t>
                  </m:r>
                </m:e>
                <m:sup>
                  <m:r>
                    <m:rPr>
                      <m:sty m:val="p"/>
                    </m:rPr>
                    <m:t>*</m:t>
                  </m:r>
                  <m:r>
                    <m:rPr>
                      <m:sty m:val="p"/>
                    </m:rPr>
                    <m:t>*</m:t>
                  </m:r>
                </m:sup>
              </m:sSup>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26.3</m:t>
              </m:r>
              <m:r>
                <m:rPr>
                  <m:sty m:val="p"/>
                </m:rPr>
                <m:t>±</m:t>
              </m:r>
              <m:r>
                <m:t>8.2</m:t>
              </m:r>
            </m:oMath>
          </w:p>
        </w:tc>
        <w:tc>
          <w:tcPr/>
          <w:p>
            <w:pPr>
              <w:pStyle w:val="Compact"/>
              <w:jc w:val="left"/>
            </w:pPr>
            <m:oMath>
              <m:r>
                <m:t>21.8</m:t>
              </m:r>
              <m:r>
                <m:rPr>
                  <m:sty m:val="p"/>
                </m:rPr>
                <m:t>±</m:t>
              </m:r>
              <m:r>
                <m:t>5.2</m:t>
              </m:r>
            </m:oMath>
          </w:p>
        </w:tc>
        <w:tc>
          <w:tcPr/>
          <w:p>
            <w:pPr>
              <w:pStyle w:val="Compact"/>
              <w:jc w:val="left"/>
            </w:pPr>
            <m:oMath>
              <m:r>
                <m:t>30.5</m:t>
              </m:r>
              <m:r>
                <m:rPr>
                  <m:sty m:val="p"/>
                </m:rPr>
                <m:t>±</m:t>
              </m:r>
              <m:r>
                <m:t>19.6</m:t>
              </m:r>
            </m:oMath>
          </w:p>
        </w:tc>
        <w:tc>
          <w:tcPr/>
          <w:p>
            <w:pPr>
              <w:pStyle w:val="Compact"/>
              <w:jc w:val="left"/>
            </w:pPr>
            <m:oMath>
              <m:r>
                <m:t>26.9</m:t>
              </m:r>
              <m:r>
                <m:rPr>
                  <m:sty m:val="p"/>
                </m:rPr>
                <m:t>±</m:t>
              </m:r>
              <m:r>
                <m:t>10.2</m:t>
              </m:r>
            </m:oMath>
          </w:p>
        </w:tc>
      </w:tr>
      <w:tr>
        <w:tc>
          <w:tcPr/>
          <w:p>
            <w:pPr>
              <w:pStyle w:val="Compact"/>
              <w:jc w:val="left"/>
            </w:pPr>
            <m:oMath>
              <m:r>
                <m:t>N</m:t>
              </m:r>
              <m:r>
                <m:t>a</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139.6</m:t>
              </m:r>
              <m:r>
                <m:rPr>
                  <m:sty m:val="p"/>
                </m:rPr>
                <m:t>±</m:t>
              </m:r>
              <m:r>
                <m:t>0.9</m:t>
              </m:r>
            </m:oMath>
          </w:p>
        </w:tc>
        <w:tc>
          <w:tcPr/>
          <w:p>
            <w:pPr>
              <w:pStyle w:val="Compact"/>
              <w:jc w:val="left"/>
            </w:pPr>
            <m:oMath>
              <m:r>
                <m:t>139.2</m:t>
              </m:r>
              <m:r>
                <m:rPr>
                  <m:sty m:val="p"/>
                </m:rPr>
                <m:t>±</m:t>
              </m:r>
              <m:r>
                <m:t>1.2</m:t>
              </m:r>
            </m:oMath>
          </w:p>
        </w:tc>
        <w:tc>
          <w:tcPr/>
          <w:p>
            <w:pPr>
              <w:pStyle w:val="Compact"/>
              <w:jc w:val="left"/>
            </w:pPr>
            <m:oMath>
              <m:r>
                <m:t>139.4</m:t>
              </m:r>
              <m:r>
                <m:rPr>
                  <m:sty m:val="p"/>
                </m:rPr>
                <m:t>±</m:t>
              </m:r>
              <m:r>
                <m:t>1.7</m:t>
              </m:r>
            </m:oMath>
          </w:p>
        </w:tc>
        <w:tc>
          <w:tcPr/>
          <w:p>
            <w:pPr>
              <w:pStyle w:val="Compact"/>
              <w:jc w:val="left"/>
            </w:pPr>
            <m:oMath>
              <m:r>
                <m:t>138.6</m:t>
              </m:r>
              <m:r>
                <m:rPr>
                  <m:sty m:val="p"/>
                </m:rPr>
                <m:t>±</m:t>
              </m:r>
              <m:r>
                <m:t>3.9</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4.09</m:t>
              </m:r>
              <m:r>
                <m:rPr>
                  <m:sty m:val="p"/>
                </m:rPr>
                <m:t>±</m:t>
              </m:r>
              <m:r>
                <m:t>0.12</m:t>
              </m:r>
            </m:oMath>
          </w:p>
        </w:tc>
        <w:tc>
          <w:tcPr/>
          <w:p>
            <w:pPr>
              <w:pStyle w:val="Compact"/>
              <w:jc w:val="left"/>
            </w:pPr>
            <m:oMath>
              <m:r>
                <m:t>4.28</m:t>
              </m:r>
              <m:r>
                <m:rPr>
                  <m:sty m:val="p"/>
                </m:rPr>
                <m:t>±</m:t>
              </m:r>
              <m:r>
                <m:t>0.28</m:t>
              </m:r>
            </m:oMath>
          </w:p>
        </w:tc>
        <w:tc>
          <w:tcPr/>
          <w:p>
            <w:pPr>
              <w:pStyle w:val="Compact"/>
              <w:jc w:val="left"/>
            </w:pPr>
            <m:oMath>
              <m:r>
                <m:t>4.28</m:t>
              </m:r>
              <m:r>
                <m:rPr>
                  <m:sty m:val="p"/>
                </m:rPr>
                <m:t>±</m:t>
              </m:r>
              <m:r>
                <m:t>0.44</m:t>
              </m:r>
            </m:oMath>
          </w:p>
        </w:tc>
        <w:tc>
          <w:tcPr/>
          <w:p>
            <w:pPr>
              <w:pStyle w:val="Compact"/>
              <w:jc w:val="left"/>
            </w:pPr>
            <m:oMath>
              <m:r>
                <m:t>4.29</m:t>
              </m:r>
              <m:r>
                <m:rPr>
                  <m:sty m:val="p"/>
                </m:rPr>
                <m:t>±</m:t>
              </m:r>
              <m:r>
                <m:t>0.27</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106.9</m:t>
              </m:r>
              <m:r>
                <m:rPr>
                  <m:sty m:val="p"/>
                </m:rPr>
                <m:t>±</m:t>
              </m:r>
              <m:r>
                <m:t>1.5</m:t>
              </m:r>
            </m:oMath>
          </w:p>
        </w:tc>
        <w:tc>
          <w:tcPr/>
          <w:p>
            <w:pPr>
              <w:pStyle w:val="Compact"/>
              <w:jc w:val="left"/>
            </w:pPr>
            <m:oMath>
              <m:r>
                <m:t>107.4</m:t>
              </m:r>
              <m:r>
                <m:rPr>
                  <m:sty m:val="p"/>
                </m:rPr>
                <m:t>±</m:t>
              </m:r>
              <m:r>
                <m:t>1.3</m:t>
              </m:r>
            </m:oMath>
          </w:p>
        </w:tc>
        <w:tc>
          <w:tcPr/>
          <w:p>
            <w:pPr>
              <w:pStyle w:val="Compact"/>
              <w:jc w:val="left"/>
            </w:pPr>
            <m:oMath>
              <m:r>
                <m:t>105.1</m:t>
              </m:r>
              <m:r>
                <m:rPr>
                  <m:sty m:val="p"/>
                </m:rPr>
                <m:t>±</m:t>
              </m:r>
              <m:sSup>
                <m:e>
                  <m:r>
                    <m:t>1.7</m:t>
                  </m:r>
                </m:e>
                <m:sup>
                  <m:r>
                    <m:rPr>
                      <m:sty m:val="p"/>
                    </m:rPr>
                    <m:t>*</m:t>
                  </m:r>
                </m:sup>
              </m:sSup>
            </m:oMath>
          </w:p>
        </w:tc>
        <w:tc>
          <w:tcPr/>
          <w:p>
            <w:pPr>
              <w:pStyle w:val="Compact"/>
              <w:jc w:val="left"/>
            </w:pPr>
            <m:oMath>
              <m:r>
                <m:t>106.4</m:t>
              </m:r>
              <m:r>
                <m:rPr>
                  <m:sty m:val="p"/>
                </m:rPr>
                <m:t>±</m:t>
              </m:r>
              <m:r>
                <m:t>3.4</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28.4</m:t>
              </m:r>
              <m:r>
                <m:rPr>
                  <m:sty m:val="p"/>
                </m:rPr>
                <m:t>±</m:t>
              </m:r>
              <m:r>
                <m:t>2.1</m:t>
              </m:r>
            </m:oMath>
          </w:p>
        </w:tc>
        <w:tc>
          <w:tcPr/>
          <w:p>
            <w:pPr>
              <w:pStyle w:val="Compact"/>
              <w:jc w:val="left"/>
            </w:pPr>
            <m:oMath>
              <m:r>
                <m:t>28.9</m:t>
              </m:r>
              <m:r>
                <m:rPr>
                  <m:sty m:val="p"/>
                </m:rPr>
                <m:t>±</m:t>
              </m:r>
              <m:r>
                <m:t>2.2</m:t>
              </m:r>
            </m:oMath>
          </w:p>
        </w:tc>
        <w:tc>
          <w:tcPr/>
          <w:p>
            <w:pPr>
              <w:pStyle w:val="Compact"/>
              <w:jc w:val="left"/>
            </w:pPr>
            <m:oMath>
              <m:r>
                <m:t>25.8</m:t>
              </m:r>
              <m:r>
                <m:rPr>
                  <m:sty m:val="p"/>
                </m:rPr>
                <m:t>±</m:t>
              </m:r>
              <m:sSup>
                <m:e>
                  <m:r>
                    <m:t>1.9</m:t>
                  </m:r>
                </m:e>
                <m:sup>
                  <m:r>
                    <m:rPr>
                      <m:sty m:val="p"/>
                    </m:rPr>
                    <m:t>*</m:t>
                  </m:r>
                </m:sup>
              </m:sSup>
            </m:oMath>
          </w:p>
        </w:tc>
        <w:tc>
          <w:tcPr/>
          <w:p>
            <w:pPr>
              <w:pStyle w:val="Compact"/>
              <w:jc w:val="left"/>
            </w:pPr>
            <m:oMath>
              <m:r>
                <m:t>23.2</m:t>
              </m:r>
              <m:r>
                <m:rPr>
                  <m:sty m:val="p"/>
                </m:rPr>
                <m:t>±</m:t>
              </m:r>
              <m:sSup>
                <m:e>
                  <m:r>
                    <m:t>4.6</m:t>
                  </m:r>
                </m:e>
                <m:sup>
                  <m:r>
                    <m:rPr>
                      <m:sty m:val="p"/>
                    </m:rPr>
                    <m:t>*</m:t>
                  </m:r>
                </m:sup>
              </m:sSup>
            </m:oMath>
          </w:p>
        </w:tc>
      </w:tr>
    </w:tbl>
    <w:p/>
    <w:p>
      <w:pPr>
        <w:pStyle w:val="TableCaption"/>
      </w:pPr>
      <w:r>
        <w:t xml:space="preserve">Metabolite concentrations for hyperbaric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hyperbaric group from pre, post, day 10 and final blood draws. Signifigance denoted by (* &lt; 0.05), (** &lt; 0.001)"/>
      </w:tblPr>
      <w:tblGrid>
        <w:gridCol w:w="1365"/>
        <w:gridCol w:w="1570"/>
        <w:gridCol w:w="1638"/>
        <w:gridCol w:w="1706"/>
        <w:gridCol w:w="1638"/>
      </w:tblGrid>
      <w:tr>
        <w:trPr>
          <w:tblHeader w:val="true"/>
        </w:trPr>
        <w:tc>
          <w:tcPr/>
          <w:p>
            <w:pPr>
              <w:pStyle w:val="Compact"/>
              <w:jc w:val="left"/>
            </w:pPr>
            <w:r>
              <w:t xml:space="preserve">Metabolite</w:t>
            </w:r>
          </w:p>
        </w:tc>
        <w:tc>
          <w:tcPr/>
          <w:p>
            <w:pPr>
              <w:pStyle w:val="Compact"/>
              <w:jc w:val="left"/>
            </w:pPr>
            <w:r>
              <w:t xml:space="preserve">Pre (n=11)</w:t>
            </w:r>
          </w:p>
        </w:tc>
        <w:tc>
          <w:tcPr/>
          <w:p>
            <w:pPr>
              <w:pStyle w:val="Compact"/>
              <w:jc w:val="left"/>
            </w:pPr>
            <w:r>
              <w:t xml:space="preserve">Post (n=11)</w:t>
            </w:r>
          </w:p>
        </w:tc>
        <w:tc>
          <w:tcPr/>
          <w:p>
            <w:pPr>
              <w:pStyle w:val="Compact"/>
              <w:jc w:val="left"/>
            </w:pPr>
            <w:r>
              <w:t xml:space="preserve">Day 10 (n=11)</w:t>
            </w:r>
          </w:p>
        </w:tc>
        <w:tc>
          <w:tcPr/>
          <w:p>
            <w:pPr>
              <w:pStyle w:val="Compact"/>
              <w:jc w:val="left"/>
            </w:pPr>
            <w:r>
              <w:t xml:space="preserve">Final (n=11)</w:t>
            </w:r>
          </w:p>
        </w:tc>
      </w:tr>
      <w:tr>
        <w:tc>
          <w:tcPr/>
          <w:p>
            <w:pPr>
              <w:pStyle w:val="Compact"/>
              <w:jc w:val="left"/>
            </w:pPr>
            <m:oMath>
              <m:r>
                <m:t>p</m:t>
              </m:r>
              <m:r>
                <m:t>H</m:t>
              </m:r>
            </m:oMath>
          </w:p>
        </w:tc>
        <w:tc>
          <w:tcPr/>
          <w:p>
            <w:pPr>
              <w:pStyle w:val="Compact"/>
              <w:jc w:val="left"/>
            </w:pPr>
            <m:oMath>
              <m:r>
                <m:t>7.384</m:t>
              </m:r>
              <m:r>
                <m:rPr>
                  <m:sty m:val="p"/>
                </m:rPr>
                <m:t>±</m:t>
              </m:r>
              <m:r>
                <m:t>0.033</m:t>
              </m:r>
            </m:oMath>
          </w:p>
        </w:tc>
        <w:tc>
          <w:tcPr/>
          <w:p>
            <w:pPr>
              <w:pStyle w:val="Compact"/>
              <w:jc w:val="left"/>
            </w:pPr>
            <m:oMath>
              <m:r>
                <m:t>7.408</m:t>
              </m:r>
              <m:r>
                <m:rPr>
                  <m:sty m:val="p"/>
                </m:rPr>
                <m:t>±</m:t>
              </m:r>
              <m:r>
                <m:t>0.029</m:t>
              </m:r>
            </m:oMath>
          </w:p>
        </w:tc>
        <w:tc>
          <w:tcPr/>
          <w:p>
            <w:pPr>
              <w:pStyle w:val="Compact"/>
              <w:jc w:val="left"/>
            </w:pPr>
            <m:oMath>
              <m:r>
                <m:t>7.387</m:t>
              </m:r>
              <m:r>
                <m:rPr>
                  <m:sty m:val="p"/>
                </m:rPr>
                <m:t>±</m:t>
              </m:r>
              <m:r>
                <m:t>0.049</m:t>
              </m:r>
            </m:oMath>
            <w:r>
              <w:t xml:space="preserve"> </w:t>
            </w:r>
            <w:r>
              <w:t xml:space="preserve">(n=8)</w:t>
            </w:r>
          </w:p>
        </w:tc>
        <w:tc>
          <w:tcPr/>
          <w:p>
            <w:pPr>
              <w:pStyle w:val="Compact"/>
              <w:jc w:val="left"/>
            </w:pPr>
            <m:oMath>
              <m:r>
                <m:t>7.387</m:t>
              </m:r>
              <m:r>
                <m:rPr>
                  <m:sty m:val="p"/>
                </m:rPr>
                <m:t>±</m:t>
              </m:r>
              <m:r>
                <m:t>0.037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35.8</m:t>
              </m:r>
              <m:r>
                <m:rPr>
                  <m:sty m:val="p"/>
                </m:rPr>
                <m:t>±</m:t>
              </m:r>
              <m:r>
                <m:t>6.8</m:t>
              </m:r>
            </m:oMath>
          </w:p>
        </w:tc>
        <w:tc>
          <w:tcPr/>
          <w:p>
            <w:pPr>
              <w:pStyle w:val="Compact"/>
              <w:jc w:val="left"/>
            </w:pPr>
            <m:oMath>
              <m:r>
                <m:t>34.5</m:t>
              </m:r>
              <m:r>
                <m:rPr>
                  <m:sty m:val="p"/>
                </m:rPr>
                <m:t>±</m:t>
              </m:r>
              <m:r>
                <m:t>4.5</m:t>
              </m:r>
            </m:oMath>
          </w:p>
        </w:tc>
        <w:tc>
          <w:tcPr/>
          <w:p>
            <w:pPr>
              <w:pStyle w:val="Compact"/>
              <w:jc w:val="left"/>
            </w:pPr>
            <m:oMath>
              <m:r>
                <m:t>36.6</m:t>
              </m:r>
              <m:r>
                <m:rPr>
                  <m:sty m:val="p"/>
                </m:rPr>
                <m:t>±</m:t>
              </m:r>
              <m:r>
                <m:t>10.2</m:t>
              </m:r>
            </m:oMath>
            <w:r>
              <w:t xml:space="preserve"> </w:t>
            </w:r>
            <w:r>
              <w:t xml:space="preserve">(n=8)</w:t>
            </w:r>
          </w:p>
        </w:tc>
        <w:tc>
          <w:tcPr/>
          <w:p>
            <w:pPr>
              <w:pStyle w:val="Compact"/>
              <w:jc w:val="left"/>
            </w:pPr>
            <m:oMath>
              <m:r>
                <m:t>39.3</m:t>
              </m:r>
              <m:r>
                <m:rPr>
                  <m:sty m:val="p"/>
                </m:rPr>
                <m:t>±</m:t>
              </m:r>
              <m:r>
                <m:t>10.0</m:t>
              </m:r>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42.9</m:t>
              </m:r>
              <m:r>
                <m:rPr>
                  <m:sty m:val="p"/>
                </m:rPr>
                <m:t>±</m:t>
              </m:r>
              <m:r>
                <m:t>22.9</m:t>
              </m:r>
            </m:oMath>
            <w:r>
              <w:t xml:space="preserve"> </w:t>
            </w:r>
            <w:r>
              <w:t xml:space="preserve">(n=8)</w:t>
            </w:r>
          </w:p>
        </w:tc>
        <w:tc>
          <w:tcPr/>
          <w:p>
            <w:pPr>
              <w:pStyle w:val="Compact"/>
              <w:jc w:val="left"/>
            </w:pPr>
            <m:oMath>
              <m:r>
                <m:t>25.7</m:t>
              </m:r>
              <m:r>
                <m:rPr>
                  <m:sty m:val="p"/>
                </m:rPr>
                <m:t>±</m:t>
              </m:r>
              <m:r>
                <m:t>6.6</m:t>
              </m:r>
            </m:oMath>
            <w:r>
              <w:t xml:space="preserve"> </w:t>
            </w:r>
            <w:r>
              <w:t xml:space="preserve">(n=7)</w:t>
            </w:r>
          </w:p>
        </w:tc>
        <w:tc>
          <w:tcPr/>
          <w:p>
            <w:pPr>
              <w:pStyle w:val="Compact"/>
              <w:jc w:val="left"/>
            </w:pPr>
            <m:oMath>
              <m:r>
                <m:t>41.6</m:t>
              </m:r>
              <m:r>
                <m:rPr>
                  <m:sty m:val="p"/>
                </m:rPr>
                <m:t>±</m:t>
              </m:r>
              <m:r>
                <m:t>37.4</m:t>
              </m:r>
            </m:oMath>
            <w:r>
              <w:t xml:space="preserve"> </w:t>
            </w:r>
            <w:r>
              <w:t xml:space="preserve">(n=10)</w:t>
            </w:r>
          </w:p>
        </w:tc>
        <w:tc>
          <w:tcPr/>
          <w:p>
            <w:pPr>
              <w:pStyle w:val="Compact"/>
              <w:jc w:val="left"/>
            </w:pPr>
            <m:oMath>
              <m:r>
                <m:t>43.8</m:t>
              </m:r>
              <m:r>
                <m:rPr>
                  <m:sty m:val="p"/>
                </m:rPr>
                <m:t>±</m:t>
              </m:r>
              <m:r>
                <m:t>31.8</m:t>
              </m:r>
            </m:oMath>
          </w:p>
        </w:tc>
      </w:tr>
      <w:tr>
        <w:tc>
          <w:tcPr/>
          <w:p>
            <w:pPr>
              <w:pStyle w:val="Compact"/>
              <w:jc w:val="left"/>
            </w:pPr>
            <m:oMath>
              <m:r>
                <m:t>N</m:t>
              </m:r>
              <m:r>
                <m:t>a</m:t>
              </m:r>
              <m:d>
                <m:dPr>
                  <m:begChr m:val="("/>
                  <m:endChr m:val=")"/>
                  <m:sepChr m:val=""/>
                  <m:grow/>
                </m:dPr>
                <m:e>
                  <m:r>
                    <m:t>m</m:t>
                  </m:r>
                  <m:r>
                    <m:t>m</m:t>
                  </m:r>
                  <m:r>
                    <m:t>o</m:t>
                  </m:r>
                  <m:r>
                    <m:t>l</m:t>
                  </m:r>
                  <m:r>
                    <m:rPr>
                      <m:sty m:val="p"/>
                    </m:rPr>
                    <m:t>/</m:t>
                  </m:r>
                  <m:r>
                    <m:t>L</m:t>
                  </m:r>
                </m:e>
              </m:d>
            </m:oMath>
          </w:p>
        </w:tc>
        <w:tc>
          <w:tcPr/>
          <w:p>
            <w:pPr>
              <w:pStyle w:val="Compact"/>
              <w:jc w:val="left"/>
            </w:pPr>
            <m:oMath>
              <m:r>
                <m:t>134.0</m:t>
              </m:r>
              <m:r>
                <m:rPr>
                  <m:sty m:val="p"/>
                </m:rPr>
                <m:t>±</m:t>
              </m:r>
              <m:r>
                <m:t>1.2</m:t>
              </m:r>
            </m:oMath>
          </w:p>
        </w:tc>
        <w:tc>
          <w:tcPr/>
          <w:p>
            <w:pPr>
              <w:pStyle w:val="Compact"/>
              <w:jc w:val="left"/>
            </w:pPr>
            <m:oMath>
              <m:r>
                <m:t>139.7</m:t>
              </m:r>
              <m:r>
                <m:rPr>
                  <m:sty m:val="p"/>
                </m:rPr>
                <m:t>±</m:t>
              </m:r>
              <m:r>
                <m:t>1.3</m:t>
              </m:r>
            </m:oMath>
          </w:p>
        </w:tc>
        <w:tc>
          <w:tcPr/>
          <w:p>
            <w:pPr>
              <w:pStyle w:val="Compact"/>
              <w:jc w:val="left"/>
            </w:pPr>
            <m:oMath>
              <m:r>
                <m:t>139.2</m:t>
              </m:r>
              <m:r>
                <m:rPr>
                  <m:sty m:val="p"/>
                </m:rPr>
                <m:t>±</m:t>
              </m:r>
              <m:r>
                <m:t>1.2</m:t>
              </m:r>
            </m:oMath>
          </w:p>
        </w:tc>
        <w:tc>
          <w:tcPr/>
          <w:p>
            <w:pPr>
              <w:pStyle w:val="Compact"/>
              <w:jc w:val="left"/>
            </w:pPr>
            <m:oMath>
              <m:r>
                <m:t>139.4</m:t>
              </m:r>
              <m:r>
                <m:rPr>
                  <m:sty m:val="p"/>
                </m:rPr>
                <m:t>±</m:t>
              </m:r>
              <m:r>
                <m:t>1.3</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4.19</m:t>
              </m:r>
              <m:r>
                <m:rPr>
                  <m:sty m:val="p"/>
                </m:rPr>
                <m:t>±</m:t>
              </m:r>
              <m:r>
                <m:t>0.26</m:t>
              </m:r>
            </m:oMath>
          </w:p>
        </w:tc>
        <w:tc>
          <w:tcPr/>
          <w:p>
            <w:pPr>
              <w:pStyle w:val="Compact"/>
              <w:jc w:val="left"/>
            </w:pPr>
            <m:oMath>
              <m:r>
                <m:t>4.55</m:t>
              </m:r>
              <m:r>
                <m:rPr>
                  <m:sty m:val="p"/>
                </m:rPr>
                <m:t>±</m:t>
              </m:r>
              <m:sSup>
                <m:e>
                  <m:r>
                    <m:t>0.27</m:t>
                  </m:r>
                </m:e>
                <m:sup>
                  <m:r>
                    <m:rPr>
                      <m:sty m:val="p"/>
                    </m:rPr>
                    <m:t>*</m:t>
                  </m:r>
                </m:sup>
              </m:sSup>
            </m:oMath>
          </w:p>
        </w:tc>
        <w:tc>
          <w:tcPr/>
          <w:p>
            <w:pPr>
              <w:pStyle w:val="Compact"/>
              <w:jc w:val="left"/>
            </w:pPr>
            <m:oMath>
              <m:r>
                <m:t>4.15</m:t>
              </m:r>
              <m:r>
                <m:rPr>
                  <m:sty m:val="p"/>
                </m:rPr>
                <m:t>±</m:t>
              </m:r>
              <m:r>
                <m:t>0.24</m:t>
              </m:r>
            </m:oMath>
          </w:p>
        </w:tc>
        <w:tc>
          <w:tcPr/>
          <w:p>
            <w:pPr>
              <w:pStyle w:val="Compact"/>
              <w:jc w:val="left"/>
            </w:pPr>
            <m:oMath>
              <m:r>
                <m:t>4.23</m:t>
              </m:r>
              <m:r>
                <m:rPr>
                  <m:sty m:val="p"/>
                </m:rPr>
                <m:t>±</m:t>
              </m:r>
              <m:r>
                <m:t>0.25</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106.5</m:t>
              </m:r>
              <m:r>
                <m:rPr>
                  <m:sty m:val="p"/>
                </m:rPr>
                <m:t>±</m:t>
              </m:r>
              <m:r>
                <m:t>1.6</m:t>
              </m:r>
            </m:oMath>
          </w:p>
        </w:tc>
        <w:tc>
          <w:tcPr/>
          <w:p>
            <w:pPr>
              <w:pStyle w:val="Compact"/>
              <w:jc w:val="left"/>
            </w:pPr>
            <m:oMath>
              <m:r>
                <m:t>106.4</m:t>
              </m:r>
              <m:r>
                <m:rPr>
                  <m:sty m:val="p"/>
                </m:rPr>
                <m:t>±</m:t>
              </m:r>
              <m:r>
                <m:t>1.7</m:t>
              </m:r>
            </m:oMath>
          </w:p>
        </w:tc>
        <w:tc>
          <w:tcPr/>
          <w:p>
            <w:pPr>
              <w:pStyle w:val="Compact"/>
              <w:jc w:val="left"/>
            </w:pPr>
            <m:oMath>
              <m:r>
                <m:t>106.2</m:t>
              </m:r>
              <m:r>
                <m:rPr>
                  <m:sty m:val="p"/>
                </m:rPr>
                <m:t>±</m:t>
              </m:r>
              <m:r>
                <m:t>2.0</m:t>
              </m:r>
            </m:oMath>
          </w:p>
        </w:tc>
        <w:tc>
          <w:tcPr/>
          <w:p>
            <w:pPr>
              <w:pStyle w:val="Compact"/>
              <w:jc w:val="left"/>
            </w:pPr>
            <m:oMath>
              <m:r>
                <m:t>106.2</m:t>
              </m:r>
              <m:r>
                <m:rPr>
                  <m:sty m:val="p"/>
                </m:rPr>
                <m:t>±</m:t>
              </m:r>
              <m:r>
                <m:t>2.0</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21.5</m:t>
              </m:r>
              <m:r>
                <m:rPr>
                  <m:sty m:val="p"/>
                </m:rPr>
                <m:t>±</m:t>
              </m:r>
              <m:r>
                <m:t>3.3</m:t>
              </m:r>
            </m:oMath>
          </w:p>
        </w:tc>
        <w:tc>
          <w:tcPr/>
          <w:p>
            <w:pPr>
              <w:pStyle w:val="Compact"/>
              <w:jc w:val="left"/>
            </w:pPr>
            <m:oMath>
              <m:r>
                <m:t>22.0</m:t>
              </m:r>
              <m:r>
                <m:rPr>
                  <m:sty m:val="p"/>
                </m:rPr>
                <m:t>±</m:t>
              </m:r>
              <m:r>
                <m:t>2.6</m:t>
              </m:r>
            </m:oMath>
          </w:p>
        </w:tc>
        <w:tc>
          <w:tcPr/>
          <w:p>
            <w:pPr>
              <w:pStyle w:val="Compact"/>
              <w:jc w:val="left"/>
            </w:pPr>
            <m:oMath>
              <m:r>
                <m:t>22.1</m:t>
              </m:r>
              <m:r>
                <m:rPr>
                  <m:sty m:val="p"/>
                </m:rPr>
                <m:t>±</m:t>
              </m:r>
              <m:r>
                <m:t>4.0</m:t>
              </m:r>
            </m:oMath>
          </w:p>
        </w:tc>
        <w:tc>
          <w:tcPr/>
          <w:p>
            <w:pPr>
              <w:pStyle w:val="Compact"/>
              <w:jc w:val="left"/>
            </w:pPr>
            <m:oMath>
              <m:r>
                <m:t>23.5</m:t>
              </m:r>
              <m:r>
                <m:rPr>
                  <m:sty m:val="p"/>
                </m:rPr>
                <m:t>±</m:t>
              </m:r>
              <m:r>
                <m:t>4.4</m:t>
              </m:r>
            </m:oMath>
          </w:p>
        </w:tc>
      </w:tr>
    </w:tbl>
    <w:p>
      <w:pPr>
        <w:pStyle w:val="CaptionedFigure"/>
      </w:pPr>
      <w:r>
        <w:drawing>
          <wp:inline>
            <wp:extent cx="5334000" cy="5811837"/>
            <wp:effectExtent b="0" l="0" r="0" t="0"/>
            <wp:docPr descr="Figure 2. Signifigant acute increase in plasma potassium concentration before and after treatment in the hyperbaric group." title="" id="27" name="Picture"/>
            <a:graphic>
              <a:graphicData uri="http://schemas.openxmlformats.org/drawingml/2006/picture">
                <pic:pic>
                  <pic:nvPicPr>
                    <pic:cNvPr descr="..\Figures\hyper_K+.jpg" id="28" name="Picture"/>
                    <pic:cNvPicPr>
                      <a:picLocks noChangeArrowheads="1" noChangeAspect="1"/>
                    </pic:cNvPicPr>
                  </pic:nvPicPr>
                  <pic:blipFill>
                    <a:blip r:embed="rId26"/>
                    <a:stretch>
                      <a:fillRect/>
                    </a:stretch>
                  </pic:blipFill>
                  <pic:spPr bwMode="auto">
                    <a:xfrm>
                      <a:off x="0" y="0"/>
                      <a:ext cx="5334000" cy="5811837"/>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Signifigant acute increase in plasma potassium concentration before and after treatment in the hyperbaric group.</w:t>
      </w:r>
    </w:p>
    <w:p>
      <w:pPr>
        <w:pStyle w:val="CaptionedFigure"/>
      </w:pPr>
      <w:r>
        <w:drawing>
          <wp:inline>
            <wp:extent cx="5334000" cy="5767387"/>
            <wp:effectExtent b="0" l="0" r="0" t="0"/>
            <wp:docPr descr="Figure 3. Comparison of plasma potassium concentration before and after treatment in the concentrated oxygen group." title="" id="30" name="Picture"/>
            <a:graphic>
              <a:graphicData uri="http://schemas.openxmlformats.org/drawingml/2006/picture">
                <pic:pic>
                  <pic:nvPicPr>
                    <pic:cNvPr descr="..\Figures\conc_K+.jpg" id="31" name="Picture"/>
                    <pic:cNvPicPr>
                      <a:picLocks noChangeArrowheads="1" noChangeAspect="1"/>
                    </pic:cNvPicPr>
                  </pic:nvPicPr>
                  <pic:blipFill>
                    <a:blip r:embed="rId29"/>
                    <a:stretch>
                      <a:fillRect/>
                    </a:stretch>
                  </pic:blipFill>
                  <pic:spPr bwMode="auto">
                    <a:xfrm>
                      <a:off x="0" y="0"/>
                      <a:ext cx="5334000" cy="5767387"/>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Comparison of plasma potassium concentration before and after treatment in the concentrated oxygen group.</w:t>
      </w:r>
    </w:p>
    <w:bookmarkEnd w:id="32"/>
    <w:bookmarkStart w:id="33" w:name="discussion"/>
    <w:p>
      <w:pPr>
        <w:pStyle w:val="Heading1"/>
      </w:pPr>
      <w:r>
        <w:t xml:space="preserve">Discussion</w:t>
      </w:r>
    </w:p>
    <w:p>
      <w:pPr>
        <w:pStyle w:val="FirstParagraph"/>
      </w:pPr>
      <w:r>
        <w:t xml:space="preserve">     Based on the fact that the classical metabolites implicated in plasma potassium levels experienced no significant fluctuations this hints at a possible novel relationship between plasma potassium and hyperbaric treatment. However, limitations of this study mean that an exact explication for the observed plasma potassium levels in the hyperbaric group was not be determined. In spite of this fact several possible explanations based on findings in the literature and conditions present in this study arose and were as follows: an increase in hyperbaric chamber</w:t>
      </w:r>
      <w:r>
        <w:t xml:space="preserve"> </w:t>
      </w:r>
      <m:oMath>
        <m:r>
          <m:t>C</m:t>
        </m:r>
        <m:sSub>
          <m:e>
            <m:r>
              <m:t>O</m:t>
            </m:r>
          </m:e>
          <m:sub>
            <m:r>
              <m:t>2</m:t>
            </m:r>
          </m:sub>
        </m:sSub>
      </m:oMath>
      <w:r>
        <w:t xml:space="preserve"> </w:t>
      </w:r>
      <w:r>
        <w:t xml:space="preserve">resulting in mild respiratory acidosis, increase in</w:t>
      </w:r>
      <w:r>
        <w:t xml:space="preserve"> </w:t>
      </w:r>
      <m:oMath>
        <m:sSub>
          <m:e>
            <m:r>
              <m:t>N</m:t>
            </m:r>
          </m:e>
          <m:sub>
            <m:r>
              <m:t>2</m:t>
            </m:r>
          </m:sub>
        </m:sSub>
      </m:oMath>
      <w:r>
        <w:t xml:space="preserve"> </w:t>
      </w:r>
      <w:r>
        <w:t xml:space="preserve">and creation of reactive nitrogen species (RNS) in tissue, potassium mediated fluctuations in vasoconstriction/dilation in response to changes in pressure and changes in potassium channel expression via</w:t>
      </w:r>
      <w:r>
        <w:t xml:space="preserve"> </w:t>
      </w:r>
      <m:oMath>
        <m:r>
          <m:t>H</m:t>
        </m:r>
        <m:r>
          <m:t>I</m:t>
        </m:r>
        <m:r>
          <m:t>F</m:t>
        </m:r>
        <m:r>
          <m:rPr>
            <m:sty m:val="p"/>
          </m:rPr>
          <m:t>−</m:t>
        </m:r>
        <m:r>
          <m:t>1</m:t>
        </m:r>
        <m:r>
          <m:t>α</m:t>
        </m:r>
      </m:oMath>
      <w:r>
        <w:t xml:space="preserve">.</w:t>
      </w:r>
      <w:r>
        <w:br/>
      </w:r>
      <w:r>
        <w:t xml:space="preserve">     Correlations between respratory acidosis and an increase in plasma potassium have been reported with few exceptions.</w:t>
      </w:r>
      <w:r>
        <w:rPr>
          <w:vertAlign w:val="superscript"/>
        </w:rPr>
        <w:t xml:space="preserve">2</w:t>
      </w:r>
      <w:r>
        <w:t xml:space="preserve"> </w:t>
      </w:r>
      <w:r>
        <w:t xml:space="preserve">During hyperbaric exprosure subjects exprienced an increase of levels of</w:t>
      </w:r>
      <w:r>
        <w:t xml:space="preserve"> </w:t>
      </w:r>
      <m:oMath>
        <m:r>
          <m:t>C</m:t>
        </m:r>
        <m:sSub>
          <m:e>
            <m:r>
              <m:t>O</m:t>
            </m:r>
          </m:e>
          <m:sub>
            <m:r>
              <m:t>2</m:t>
            </m:r>
          </m:sub>
        </m:sSub>
      </m:oMath>
      <w:r>
        <w:t xml:space="preserve"> </w:t>
      </w:r>
      <w:r>
        <w:t xml:space="preserve">by =FIXME:INSERT CO2 LEVELS IN CHAMBER==. Subject expired gases and a lack of outflow of those respired gases in the altitude sickness bags is most likely responsible for the increase in</w:t>
      </w:r>
      <w:r>
        <w:t xml:space="preserve"> </w:t>
      </w:r>
      <m:oMath>
        <m:r>
          <m:t>C</m:t>
        </m:r>
        <m:sSub>
          <m:e>
            <m:r>
              <m:t>O</m:t>
            </m:r>
          </m:e>
          <m:sub>
            <m:r>
              <m:t>2</m:t>
            </m:r>
          </m:sub>
        </m:sSub>
      </m:oMath>
      <w:r>
        <w:t xml:space="preserve"> </w:t>
      </w:r>
      <w:r>
        <w:t xml:space="preserve">observed in chamber.</w:t>
      </w:r>
    </w:p>
    <w:p>
      <w:pPr>
        <w:pStyle w:val="BodyText"/>
      </w:pPr>
      <w:r>
        <w:t xml:space="preserve">     Further limitations of this study include lack of dietary restrictions on subjects, single Pre vs Post draw time point and variations between treatment cohorts.</w:t>
      </w:r>
    </w:p>
    <w:bookmarkEnd w:id="33"/>
    <w:bookmarkStart w:id="72" w:name="references"/>
    <w:p>
      <w:pPr>
        <w:pStyle w:val="Heading1"/>
      </w:pPr>
      <w:r>
        <w:t xml:space="preserve">References</w:t>
      </w:r>
    </w:p>
    <w:bookmarkStart w:id="71" w:name="refs"/>
    <w:bookmarkStart w:id="35" w:name="ref-aronson_effects_2011"/>
    <w:p>
      <w:pPr>
        <w:pStyle w:val="Bibliography"/>
      </w:pPr>
      <w:r>
        <w:t xml:space="preserve">(1)</w:t>
      </w:r>
      <w:r>
        <w:t xml:space="preserve"> </w:t>
      </w:r>
      <w:r>
        <w:t xml:space="preserve">	</w:t>
      </w:r>
      <w:r>
        <w:t xml:space="preserve">Aronson, P. S.; Giebisch, G.</w:t>
      </w:r>
      <w:r>
        <w:t xml:space="preserve"> </w:t>
      </w:r>
      <w:hyperlink r:id="rId34">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35"/>
    <w:bookmarkStart w:id="37" w:name="ref-adrogue_changes_1981"/>
    <w:p>
      <w:pPr>
        <w:pStyle w:val="Bibliography"/>
      </w:pPr>
      <w:r>
        <w:t xml:space="preserve">(2)</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36">
        <w:r>
          <w:rPr>
            <w:rStyle w:val="Hyperlink"/>
          </w:rPr>
          <w:t xml:space="preserve">10.1016/0002-9343(81)90182-0</w:t>
        </w:r>
      </w:hyperlink>
      <w:r>
        <w:t xml:space="preserve">.</w:t>
      </w:r>
    </w:p>
    <w:bookmarkEnd w:id="37"/>
    <w:bookmarkStart w:id="39" w:name="ref-ingelfinger_integrated_2015"/>
    <w:p>
      <w:pPr>
        <w:pStyle w:val="Bibliography"/>
      </w:pPr>
      <w:r>
        <w:t xml:space="preserve">(3)</w:t>
      </w:r>
      <w:r>
        <w:t xml:space="preserve"> </w:t>
      </w:r>
      <w:r>
        <w:t xml:space="preserve">	</w:t>
      </w:r>
      <w:r>
        <w:t xml:space="preserve">Gumz, M. L.; Rabinowitz, L.; Wingo, C. S. An</w:t>
      </w:r>
      <w:r>
        <w:t xml:space="preserve"> </w:t>
      </w:r>
      <w:r>
        <w:t xml:space="preserve">Integrated</w:t>
      </w:r>
      <w:r>
        <w:t xml:space="preserve"> </w:t>
      </w:r>
      <w:r>
        <w:t xml:space="preserve">View</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New England Journal of Medicine</w:t>
      </w:r>
      <w:r>
        <w:t xml:space="preserve"> </w:t>
      </w:r>
      <w:r>
        <w:rPr>
          <w:bCs/>
          <w:b/>
        </w:rPr>
        <w:t xml:space="preserve">2015</w:t>
      </w:r>
      <w:r>
        <w:t xml:space="preserve">,</w:t>
      </w:r>
      <w:r>
        <w:t xml:space="preserve"> </w:t>
      </w:r>
      <w:r>
        <w:rPr>
          <w:iCs/>
          <w:i/>
        </w:rPr>
        <w:t xml:space="preserve">373</w:t>
      </w:r>
      <w:r>
        <w:t xml:space="preserve"> </w:t>
      </w:r>
      <w:r>
        <w:t xml:space="preserve">(1), 60–72. https://doi.org/</w:t>
      </w:r>
      <w:hyperlink r:id="rId38">
        <w:r>
          <w:rPr>
            <w:rStyle w:val="Hyperlink"/>
          </w:rPr>
          <w:t xml:space="preserve">10.1056/NEJMra1313341</w:t>
        </w:r>
      </w:hyperlink>
      <w:r>
        <w:t xml:space="preserve">.</w:t>
      </w:r>
    </w:p>
    <w:bookmarkEnd w:id="39"/>
    <w:bookmarkStart w:id="41" w:name="ref-gupta_distribution_2017"/>
    <w:p>
      <w:pPr>
        <w:pStyle w:val="Bibliography"/>
      </w:pPr>
      <w:r>
        <w:t xml:space="preserve">(4)</w:t>
      </w:r>
      <w:r>
        <w:t xml:space="preserve"> </w:t>
      </w:r>
      <w:r>
        <w:t xml:space="preserve">	</w:t>
      </w:r>
      <w:r>
        <w:t xml:space="preserve">Gupta, S.; Fenves, A. Z. The</w:t>
      </w:r>
      <w:r>
        <w:t xml:space="preserve"> </w:t>
      </w:r>
      <w:r>
        <w:t xml:space="preserve">Distribution</w:t>
      </w:r>
      <w:r>
        <w:t xml:space="preserve"> </w:t>
      </w:r>
      <w:r>
        <w:t xml:space="preserve">of</w:t>
      </w:r>
      <w:r>
        <w:t xml:space="preserve"> </w:t>
      </w:r>
      <w:r>
        <w:t xml:space="preserve">Plasma</w:t>
      </w:r>
      <w:r>
        <w:t xml:space="preserve"> </w:t>
      </w:r>
      <w:r>
        <w:t xml:space="preserve">Electrolytes</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443–444. https://doi.org/</w:t>
      </w:r>
      <w:hyperlink r:id="rId40">
        <w:r>
          <w:rPr>
            <w:rStyle w:val="Hyperlink"/>
          </w:rPr>
          <w:t xml:space="preserve">10.1016/j.amjms.2017.08.025</w:t>
        </w:r>
      </w:hyperlink>
      <w:r>
        <w:t xml:space="preserve">.</w:t>
      </w:r>
    </w:p>
    <w:bookmarkEnd w:id="41"/>
    <w:bookmarkStart w:id="43" w:name="ref-youn_recent_2009"/>
    <w:p>
      <w:pPr>
        <w:pStyle w:val="Bibliography"/>
      </w:pPr>
      <w:r>
        <w:t xml:space="preserve">(5)</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42">
        <w:r>
          <w:rPr>
            <w:rStyle w:val="Hyperlink"/>
          </w:rPr>
          <w:t xml:space="preserve">10.1146/annurev.physiol.010908.163241</w:t>
        </w:r>
      </w:hyperlink>
      <w:r>
        <w:t xml:space="preserve">.</w:t>
      </w:r>
    </w:p>
    <w:bookmarkEnd w:id="43"/>
    <w:bookmarkStart w:id="45" w:name="ref-torlen_serum_2012"/>
    <w:p>
      <w:pPr>
        <w:pStyle w:val="Bibliography"/>
      </w:pPr>
      <w:r>
        <w:t xml:space="preserve">(6)</w:t>
      </w:r>
      <w:r>
        <w:t xml:space="preserve"> </w:t>
      </w:r>
      <w:r>
        <w:t xml:space="preserve">	</w:t>
      </w:r>
      <w:r>
        <w:t xml:space="preserve">Torlén, K.; Kalantar-Zadeh, K.; Molnar, M. Z.; Vashistha, T.; Mehrotra, R. Serum</w:t>
      </w:r>
      <w:r>
        <w:t xml:space="preserve"> </w:t>
      </w:r>
      <w:r>
        <w:t xml:space="preserve">Potassium</w:t>
      </w:r>
      <w:r>
        <w:t xml:space="preserve"> </w:t>
      </w:r>
      <w:r>
        <w:t xml:space="preserve">and</w:t>
      </w:r>
      <w:r>
        <w:t xml:space="preserve"> </w:t>
      </w:r>
      <w:r>
        <w:t xml:space="preserve">Cause</w:t>
      </w:r>
      <w:r>
        <w:t xml:space="preserve">-</w:t>
      </w:r>
      <w:r>
        <w:t xml:space="preserve">Specific</w:t>
      </w:r>
      <w:r>
        <w:t xml:space="preserve"> </w:t>
      </w:r>
      <w:r>
        <w:t xml:space="preserve">Mortality</w:t>
      </w:r>
      <w:r>
        <w:t xml:space="preserve"> </w:t>
      </w:r>
      <w:r>
        <w:t xml:space="preserve">in a</w:t>
      </w:r>
      <w:r>
        <w:t xml:space="preserve"> </w:t>
      </w:r>
      <w:r>
        <w:t xml:space="preserve">Large</w:t>
      </w:r>
      <w:r>
        <w:t xml:space="preserve"> </w:t>
      </w:r>
      <w:r>
        <w:t xml:space="preserve">Peritoneal</w:t>
      </w:r>
      <w:r>
        <w:t xml:space="preserve"> </w:t>
      </w:r>
      <w:r>
        <w:t xml:space="preserve">Dialysis</w:t>
      </w:r>
      <w:r>
        <w:t xml:space="preserve"> </w:t>
      </w:r>
      <w:r>
        <w:t xml:space="preserve">Cohort</w:t>
      </w:r>
      <w:r>
        <w:t xml:space="preserve">.</w:t>
      </w:r>
      <w:r>
        <w:t xml:space="preserve"> </w:t>
      </w:r>
      <w:r>
        <w:rPr>
          <w:iCs/>
          <w:i/>
        </w:rPr>
        <w:t xml:space="preserve">Clinical Journal of the American Society of Nephrology</w:t>
      </w:r>
      <w:r>
        <w:t xml:space="preserve"> </w:t>
      </w:r>
      <w:r>
        <w:rPr>
          <w:bCs/>
          <w:b/>
        </w:rPr>
        <w:t xml:space="preserve">2012</w:t>
      </w:r>
      <w:r>
        <w:t xml:space="preserve">,</w:t>
      </w:r>
      <w:r>
        <w:t xml:space="preserve"> </w:t>
      </w:r>
      <w:r>
        <w:rPr>
          <w:iCs/>
          <w:i/>
        </w:rPr>
        <w:t xml:space="preserve">7</w:t>
      </w:r>
      <w:r>
        <w:t xml:space="preserve"> </w:t>
      </w:r>
      <w:r>
        <w:t xml:space="preserve">(8), 1272–1284. https://doi.org/</w:t>
      </w:r>
      <w:hyperlink r:id="rId44">
        <w:r>
          <w:rPr>
            <w:rStyle w:val="Hyperlink"/>
          </w:rPr>
          <w:t xml:space="preserve">10.2215/CJN.00960112</w:t>
        </w:r>
      </w:hyperlink>
      <w:r>
        <w:t xml:space="preserve">.</w:t>
      </w:r>
    </w:p>
    <w:bookmarkEnd w:id="45"/>
    <w:bookmarkStart w:id="47" w:name="ref-goyal_serum_2012"/>
    <w:p>
      <w:pPr>
        <w:pStyle w:val="Bibliography"/>
      </w:pPr>
      <w:r>
        <w:t xml:space="preserve">(7)</w:t>
      </w:r>
      <w:r>
        <w:t xml:space="preserve"> </w:t>
      </w:r>
      <w:r>
        <w:t xml:space="preserve">	</w:t>
      </w:r>
      <w:r>
        <w:t xml:space="preserve">Goyal, A.; Spertus, J. A.; Gosch, K.; Venkitachalam, L.; Jones, P. G.; Van den Berghe, G.; Kosiborod, M. Serum</w:t>
      </w:r>
      <w:r>
        <w:t xml:space="preserve"> </w:t>
      </w:r>
      <w:r>
        <w:t xml:space="preserve">Potassium</w:t>
      </w:r>
      <w:r>
        <w:t xml:space="preserve"> </w:t>
      </w:r>
      <w:r>
        <w:t xml:space="preserve">Levels</w:t>
      </w:r>
      <w:r>
        <w:t xml:space="preserve"> </w:t>
      </w:r>
      <w:r>
        <w:t xml:space="preserve">and</w:t>
      </w:r>
      <w:r>
        <w:t xml:space="preserve"> </w:t>
      </w:r>
      <w:r>
        <w:t xml:space="preserve">Mortality</w:t>
      </w:r>
      <w:r>
        <w:t xml:space="preserve"> </w:t>
      </w:r>
      <w:r>
        <w:t xml:space="preserve">in</w:t>
      </w:r>
      <w:r>
        <w:t xml:space="preserve"> </w:t>
      </w:r>
      <w:r>
        <w:t xml:space="preserve">Acute</w:t>
      </w:r>
      <w:r>
        <w:t xml:space="preserve"> </w:t>
      </w:r>
      <w:r>
        <w:t xml:space="preserve">Myocardial</w:t>
      </w:r>
      <w:r>
        <w:t xml:space="preserve"> </w:t>
      </w:r>
      <w:r>
        <w:t xml:space="preserve">Infarction</w:t>
      </w:r>
      <w:r>
        <w:t xml:space="preserve">.</w:t>
      </w:r>
      <w:r>
        <w:t xml:space="preserve"> </w:t>
      </w:r>
      <w:r>
        <w:rPr>
          <w:iCs/>
          <w:i/>
        </w:rPr>
        <w:t xml:space="preserve">JAMA</w:t>
      </w:r>
      <w:r>
        <w:t xml:space="preserve"> </w:t>
      </w:r>
      <w:r>
        <w:rPr>
          <w:bCs/>
          <w:b/>
        </w:rPr>
        <w:t xml:space="preserve">2012</w:t>
      </w:r>
      <w:r>
        <w:t xml:space="preserve">,</w:t>
      </w:r>
      <w:r>
        <w:t xml:space="preserve"> </w:t>
      </w:r>
      <w:r>
        <w:rPr>
          <w:iCs/>
          <w:i/>
        </w:rPr>
        <w:t xml:space="preserve">307</w:t>
      </w:r>
      <w:r>
        <w:t xml:space="preserve"> </w:t>
      </w:r>
      <w:r>
        <w:t xml:space="preserve">(2), 157–164. https://doi.org/</w:t>
      </w:r>
      <w:hyperlink r:id="rId46">
        <w:r>
          <w:rPr>
            <w:rStyle w:val="Hyperlink"/>
          </w:rPr>
          <w:t xml:space="preserve">10.1001/jama.2011.1967</w:t>
        </w:r>
      </w:hyperlink>
      <w:r>
        <w:t xml:space="preserve">.</w:t>
      </w:r>
    </w:p>
    <w:bookmarkEnd w:id="47"/>
    <w:bookmarkStart w:id="49" w:name="ref-barlow_effect_1994"/>
    <w:p>
      <w:pPr>
        <w:pStyle w:val="Bibliography"/>
      </w:pPr>
      <w:r>
        <w:t xml:space="preserve">(8)</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48">
        <w:r>
          <w:rPr>
            <w:rStyle w:val="Hyperlink"/>
          </w:rPr>
          <w:t xml:space="preserve">10.1113/expphysiol.1994.sp003759</w:t>
        </w:r>
      </w:hyperlink>
      <w:r>
        <w:t xml:space="preserve">.</w:t>
      </w:r>
    </w:p>
    <w:bookmarkEnd w:id="49"/>
    <w:bookmarkStart w:id="50" w:name="ref-moon_hyperbaric_2019"/>
    <w:p>
      <w:pPr>
        <w:pStyle w:val="Bibliography"/>
      </w:pPr>
      <w:r>
        <w:t xml:space="preserve">(9)</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50"/>
    <w:bookmarkStart w:id="52" w:name="ref-fraley_isohydric_1976"/>
    <w:p>
      <w:pPr>
        <w:pStyle w:val="Bibliography"/>
      </w:pPr>
      <w:r>
        <w:t xml:space="preserve">(10)</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51">
        <w:r>
          <w:rPr>
            <w:rStyle w:val="Hyperlink"/>
          </w:rPr>
          <w:t xml:space="preserve">10.1038/ki.1976.39</w:t>
        </w:r>
      </w:hyperlink>
      <w:r>
        <w:t xml:space="preserve">.</w:t>
      </w:r>
    </w:p>
    <w:bookmarkEnd w:id="52"/>
    <w:bookmarkStart w:id="54" w:name="ref-zyrianova_k2p21_2020"/>
    <w:p>
      <w:pPr>
        <w:pStyle w:val="Bibliography"/>
      </w:pPr>
      <w:r>
        <w:t xml:space="preserve">(11)</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53">
        <w:r>
          <w:rPr>
            <w:rStyle w:val="Hyperlink"/>
          </w:rPr>
          <w:t xml:space="preserve">10.1038/s41598-020-78886-y</w:t>
        </w:r>
      </w:hyperlink>
      <w:r>
        <w:t xml:space="preserve">.</w:t>
      </w:r>
    </w:p>
    <w:bookmarkEnd w:id="54"/>
    <w:bookmarkStart w:id="56" w:name="ref-schwingshackl_regulation_2012"/>
    <w:p>
      <w:pPr>
        <w:pStyle w:val="Bibliography"/>
      </w:pPr>
      <w:r>
        <w:t xml:space="preserve">(12)</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55">
        <w:r>
          <w:rPr>
            <w:rStyle w:val="Hyperlink"/>
          </w:rPr>
          <w:t xml:space="preserve">10.1152/ajplung.00078.2011</w:t>
        </w:r>
      </w:hyperlink>
      <w:r>
        <w:t xml:space="preserve">.</w:t>
      </w:r>
    </w:p>
    <w:bookmarkEnd w:id="56"/>
    <w:bookmarkStart w:id="58" w:name="ref-chapalamadugu_high_2015"/>
    <w:p>
      <w:pPr>
        <w:pStyle w:val="Bibliography"/>
      </w:pPr>
      <w:r>
        <w:t xml:space="preserve">(13)</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57">
        <w:r>
          <w:rPr>
            <w:rStyle w:val="Hyperlink"/>
          </w:rPr>
          <w:t xml:space="preserve">10.1016/j.taap.2014.10.019</w:t>
        </w:r>
      </w:hyperlink>
      <w:r>
        <w:t xml:space="preserve">.</w:t>
      </w:r>
    </w:p>
    <w:bookmarkEnd w:id="58"/>
    <w:bookmarkStart w:id="60" w:name="ref-whitman_endothelin-1_2008"/>
    <w:p>
      <w:pPr>
        <w:pStyle w:val="Bibliography"/>
      </w:pPr>
      <w:r>
        <w:t xml:space="preserve">(14)</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59">
        <w:r>
          <w:rPr>
            <w:rStyle w:val="Hyperlink"/>
          </w:rPr>
          <w:t xml:space="preserve">10.1152/ajplung.00091.2007</w:t>
        </w:r>
      </w:hyperlink>
      <w:r>
        <w:t xml:space="preserve">.</w:t>
      </w:r>
    </w:p>
    <w:bookmarkEnd w:id="60"/>
    <w:bookmarkStart w:id="62" w:name="ref-dong_hypoxia_2012"/>
    <w:p>
      <w:pPr>
        <w:pStyle w:val="Bibliography"/>
      </w:pPr>
      <w:r>
        <w:t xml:space="preserve">(15)</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61">
        <w:r>
          <w:rPr>
            <w:rStyle w:val="Hyperlink"/>
          </w:rPr>
          <w:t xml:space="preserve">10.17305/bjbms.2012.2463</w:t>
        </w:r>
      </w:hyperlink>
      <w:r>
        <w:t xml:space="preserve">.</w:t>
      </w:r>
    </w:p>
    <w:bookmarkEnd w:id="62"/>
    <w:bookmarkStart w:id="64" w:name="ref-semenza_regulation_2009"/>
    <w:p>
      <w:pPr>
        <w:pStyle w:val="Bibliography"/>
      </w:pPr>
      <w:r>
        <w:t xml:space="preserve">(16)</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63">
        <w:r>
          <w:rPr>
            <w:rStyle w:val="Hyperlink"/>
          </w:rPr>
          <w:t xml:space="preserve">10.1152/physiol.00045.2008</w:t>
        </w:r>
      </w:hyperlink>
      <w:r>
        <w:t xml:space="preserve">.</w:t>
      </w:r>
    </w:p>
    <w:bookmarkEnd w:id="64"/>
    <w:bookmarkStart w:id="66" w:name="ref-perng_effect_2004"/>
    <w:p>
      <w:pPr>
        <w:pStyle w:val="Bibliography"/>
      </w:pPr>
      <w:r>
        <w:t xml:space="preserve">(17)</w:t>
      </w:r>
      <w:r>
        <w:t xml:space="preserve"> </w:t>
      </w:r>
      <w:r>
        <w:t xml:space="preserve">	</w:t>
      </w:r>
      <w:r>
        <w:t xml:space="preserve">Perng, W.-C.; Wu, C.-P.; Chu, S.-J.; Kang, B.-H.; Huang, K.-L.</w:t>
      </w:r>
      <w:r>
        <w:t xml:space="preserve"> </w:t>
      </w:r>
      <w:hyperlink r:id="rId65">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ON</w:t>
        </w:r>
        <w:r>
          <w:rPr>
            <w:rStyle w:val="Hyperlink"/>
          </w:rPr>
          <w:t xml:space="preserve"> </w:t>
        </w:r>
        <w:r>
          <w:rPr>
            <w:rStyle w:val="Hyperlink"/>
          </w:rPr>
          <w:t xml:space="preserve">ENDOTOXIN</w:t>
        </w:r>
        <w:r>
          <w:rPr>
            <w:rStyle w:val="Hyperlink"/>
          </w:rPr>
          <w:t xml:space="preserve">-</w:t>
        </w:r>
        <w:r>
          <w:rPr>
            <w:rStyle w:val="Hyperlink"/>
          </w:rPr>
          <w:t xml:space="preserve">INDUCED</w:t>
        </w:r>
        <w:r>
          <w:rPr>
            <w:rStyle w:val="Hyperlink"/>
          </w:rPr>
          <w:t xml:space="preserve"> </w:t>
        </w:r>
        <w:r>
          <w:rPr>
            <w:rStyle w:val="Hyperlink"/>
          </w:rPr>
          <w:t xml:space="preserve">LUNG</w:t>
        </w:r>
        <w:r>
          <w:rPr>
            <w:rStyle w:val="Hyperlink"/>
          </w:rPr>
          <w:t xml:space="preserve"> </w:t>
        </w:r>
        <w:r>
          <w:rPr>
            <w:rStyle w:val="Hyperlink"/>
          </w:rPr>
          <w:t xml:space="preserve">INJURY</w:t>
        </w:r>
        <w:r>
          <w:rPr>
            <w:rStyle w:val="Hyperlink"/>
          </w:rPr>
          <w:t xml:space="preserve"> </w:t>
        </w:r>
        <w:r>
          <w:rPr>
            <w:rStyle w:val="Hyperlink"/>
          </w:rPr>
          <w:t xml:space="preserve">IN</w:t>
        </w:r>
        <w:r>
          <w:rPr>
            <w:rStyle w:val="Hyperlink"/>
          </w:rPr>
          <w:t xml:space="preserve"> </w:t>
        </w:r>
        <w:r>
          <w:rPr>
            <w:rStyle w:val="Hyperlink"/>
          </w:rPr>
          <w:t xml:space="preserve">RATS</w:t>
        </w:r>
      </w:hyperlink>
      <w:r>
        <w:t xml:space="preserve">.</w:t>
      </w:r>
      <w:r>
        <w:t xml:space="preserve"> </w:t>
      </w:r>
      <w:r>
        <w:rPr>
          <w:iCs/>
          <w:i/>
        </w:rPr>
        <w:t xml:space="preserve">Shock</w:t>
      </w:r>
      <w:r>
        <w:t xml:space="preserve"> </w:t>
      </w:r>
      <w:r>
        <w:rPr>
          <w:bCs/>
          <w:b/>
        </w:rPr>
        <w:t xml:space="preserve">2004</w:t>
      </w:r>
      <w:r>
        <w:t xml:space="preserve">,</w:t>
      </w:r>
      <w:r>
        <w:t xml:space="preserve"> </w:t>
      </w:r>
      <w:r>
        <w:rPr>
          <w:iCs/>
          <w:i/>
        </w:rPr>
        <w:t xml:space="preserve">21</w:t>
      </w:r>
      <w:r>
        <w:t xml:space="preserve"> </w:t>
      </w:r>
      <w:r>
        <w:t xml:space="preserve">(4), 370–375.</w:t>
      </w:r>
    </w:p>
    <w:bookmarkEnd w:id="66"/>
    <w:bookmarkStart w:id="68" w:name="ref-harris_hyperbaric_1996"/>
    <w:p>
      <w:pPr>
        <w:pStyle w:val="Bibliography"/>
      </w:pPr>
      <w:r>
        <w:t xml:space="preserve">(18)</w:t>
      </w:r>
      <w:r>
        <w:t xml:space="preserve"> </w:t>
      </w:r>
      <w:r>
        <w:t xml:space="preserve">	</w:t>
      </w:r>
      <w:r>
        <w:t xml:space="preserve">Harris, Z. L.; Ridge, K. M.; Gonzalez-Flecha, B.; Gottlieb, L.; Zucker, A.; Sznajder, J. I. Hyperbaric Oxygenation Upregulates Rat Lung</w:t>
      </w:r>
      <w:r>
        <w:t xml:space="preserve"> </w:t>
      </w:r>
      <w:r>
        <w:t xml:space="preserve">Na</w:t>
      </w:r>
      <w:r>
        <w:t xml:space="preserve">,</w:t>
      </w:r>
      <w:r>
        <w:t xml:space="preserve">K</w:t>
      </w:r>
      <w:r>
        <w:t xml:space="preserve">-</w:t>
      </w:r>
      <w:r>
        <w:t xml:space="preserve">ATPase</w:t>
      </w:r>
      <w:r>
        <w:t xml:space="preserve">.</w:t>
      </w:r>
      <w:r>
        <w:t xml:space="preserve"> </w:t>
      </w:r>
      <w:r>
        <w:rPr>
          <w:iCs/>
          <w:i/>
        </w:rPr>
        <w:t xml:space="preserve">European Respiratory Journal</w:t>
      </w:r>
      <w:r>
        <w:t xml:space="preserve"> </w:t>
      </w:r>
      <w:r>
        <w:rPr>
          <w:bCs/>
          <w:b/>
        </w:rPr>
        <w:t xml:space="preserve">1996</w:t>
      </w:r>
      <w:r>
        <w:t xml:space="preserve">,</w:t>
      </w:r>
      <w:r>
        <w:t xml:space="preserve"> </w:t>
      </w:r>
      <w:r>
        <w:rPr>
          <w:iCs/>
          <w:i/>
        </w:rPr>
        <w:t xml:space="preserve">9</w:t>
      </w:r>
      <w:r>
        <w:t xml:space="preserve"> </w:t>
      </w:r>
      <w:r>
        <w:t xml:space="preserve">(3), 472–477. https://doi.org/</w:t>
      </w:r>
      <w:hyperlink r:id="rId67">
        <w:r>
          <w:rPr>
            <w:rStyle w:val="Hyperlink"/>
          </w:rPr>
          <w:t xml:space="preserve">10.1183/09031936.96.09030472</w:t>
        </w:r>
      </w:hyperlink>
      <w:r>
        <w:t xml:space="preserve">.</w:t>
      </w:r>
    </w:p>
    <w:bookmarkEnd w:id="68"/>
    <w:bookmarkStart w:id="70" w:name="ref-feldman_plasma_2017"/>
    <w:p>
      <w:pPr>
        <w:pStyle w:val="Bibliography"/>
      </w:pPr>
      <w:r>
        <w:t xml:space="preserve">(19)</w:t>
      </w:r>
      <w:r>
        <w:t xml:space="preserve"> </w:t>
      </w:r>
      <w:r>
        <w:t xml:space="preserve">	</w:t>
      </w:r>
      <w:r>
        <w:t xml:space="preserve">Feldman, M.; Dickson, B. Plasma</w:t>
      </w:r>
      <w:r>
        <w:t xml:space="preserve"> </w:t>
      </w:r>
      <w:r>
        <w:t xml:space="preserve">Electrolyte</w:t>
      </w:r>
      <w:r>
        <w:t xml:space="preserve"> </w:t>
      </w:r>
      <w:r>
        <w:t xml:space="preserve">Distributions</w:t>
      </w:r>
      <w:r>
        <w:t xml:space="preserve"> </w:t>
      </w:r>
      <w:r>
        <w:t xml:space="preserve">in</w:t>
      </w:r>
      <w:r>
        <w:t xml:space="preserve"> </w:t>
      </w:r>
      <w:r>
        <w:t xml:space="preserve">Humans</w:t>
      </w:r>
      <w:r>
        <w:t xml:space="preserve">—</w:t>
      </w:r>
      <w:r>
        <w:t xml:space="preserve">Normal</w:t>
      </w:r>
      <w:r>
        <w:t xml:space="preserve"> </w:t>
      </w:r>
      <w:r>
        <w:t xml:space="preserve">or</w:t>
      </w:r>
      <w:r>
        <w:t xml:space="preserve"> </w:t>
      </w:r>
      <w:r>
        <w:t xml:space="preserve">Skewed</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453–457. https://doi.org/</w:t>
      </w:r>
      <w:hyperlink r:id="rId69">
        <w:r>
          <w:rPr>
            <w:rStyle w:val="Hyperlink"/>
          </w:rPr>
          <w:t xml:space="preserve">10.1016/j.amjms.2017.07.012</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9" Target="media/rId29.jpg" /><Relationship Type="http://schemas.openxmlformats.org/officeDocument/2006/relationships/image" Id="rId26" Target="media/rId26.jpg" /><Relationship Type="http://schemas.openxmlformats.org/officeDocument/2006/relationships/hyperlink" Id="rId46" Target="https://doi.org/10.1001/jama.2011.1967" TargetMode="External" /><Relationship Type="http://schemas.openxmlformats.org/officeDocument/2006/relationships/hyperlink" Id="rId36" Target="https://doi.org/10.1016/0002-9343(81)90182-0" TargetMode="External" /><Relationship Type="http://schemas.openxmlformats.org/officeDocument/2006/relationships/hyperlink" Id="rId69" Target="https://doi.org/10.1016/j.amjms.2017.07.012" TargetMode="External" /><Relationship Type="http://schemas.openxmlformats.org/officeDocument/2006/relationships/hyperlink" Id="rId40" Target="https://doi.org/10.1016/j.amjms.2017.08.025" TargetMode="External" /><Relationship Type="http://schemas.openxmlformats.org/officeDocument/2006/relationships/hyperlink" Id="rId57" Target="https://doi.org/10.1016/j.taap.2014.10.019" TargetMode="External" /><Relationship Type="http://schemas.openxmlformats.org/officeDocument/2006/relationships/hyperlink" Id="rId51" Target="https://doi.org/10.1038/ki.1976.39" TargetMode="External" /><Relationship Type="http://schemas.openxmlformats.org/officeDocument/2006/relationships/hyperlink" Id="rId53" Target="https://doi.org/10.1038/s41598-020-78886-y" TargetMode="External" /><Relationship Type="http://schemas.openxmlformats.org/officeDocument/2006/relationships/hyperlink" Id="rId38"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42" Target="https://doi.org/10.1146/annurev.physiol.010908.163241" TargetMode="External" /><Relationship Type="http://schemas.openxmlformats.org/officeDocument/2006/relationships/hyperlink" Id="rId55" Target="https://doi.org/10.1152/ajplung.00078.2011" TargetMode="External" /><Relationship Type="http://schemas.openxmlformats.org/officeDocument/2006/relationships/hyperlink" Id="rId59" Target="https://doi.org/10.1152/ajplung.00091.2007" TargetMode="External" /><Relationship Type="http://schemas.openxmlformats.org/officeDocument/2006/relationships/hyperlink" Id="rId63" Target="https://doi.org/10.1152/physiol.00045.2008" TargetMode="External" /><Relationship Type="http://schemas.openxmlformats.org/officeDocument/2006/relationships/hyperlink" Id="rId67" Target="https://doi.org/10.1183/09031936.96.09030472" TargetMode="External" /><Relationship Type="http://schemas.openxmlformats.org/officeDocument/2006/relationships/hyperlink" Id="rId61" Target="https://doi.org/10.17305/bjbms.2012.2463" TargetMode="External" /><Relationship Type="http://schemas.openxmlformats.org/officeDocument/2006/relationships/hyperlink" Id="rId44" Target="https://doi.org/10.2215/CJN.00960112"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65" Target="https://journals.lww.com/shockjournal/Fulltext/2004/04000/Inhibition_by_Terbutaline_of_Nitric_Oxide_and.00013.aspx"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1/jama.2011.1967" TargetMode="External" /><Relationship Type="http://schemas.openxmlformats.org/officeDocument/2006/relationships/hyperlink" Id="rId36" Target="https://doi.org/10.1016/0002-9343(81)90182-0" TargetMode="External" /><Relationship Type="http://schemas.openxmlformats.org/officeDocument/2006/relationships/hyperlink" Id="rId69" Target="https://doi.org/10.1016/j.amjms.2017.07.012" TargetMode="External" /><Relationship Type="http://schemas.openxmlformats.org/officeDocument/2006/relationships/hyperlink" Id="rId40" Target="https://doi.org/10.1016/j.amjms.2017.08.025" TargetMode="External" /><Relationship Type="http://schemas.openxmlformats.org/officeDocument/2006/relationships/hyperlink" Id="rId57" Target="https://doi.org/10.1016/j.taap.2014.10.019" TargetMode="External" /><Relationship Type="http://schemas.openxmlformats.org/officeDocument/2006/relationships/hyperlink" Id="rId51" Target="https://doi.org/10.1038/ki.1976.39" TargetMode="External" /><Relationship Type="http://schemas.openxmlformats.org/officeDocument/2006/relationships/hyperlink" Id="rId53" Target="https://doi.org/10.1038/s41598-020-78886-y" TargetMode="External" /><Relationship Type="http://schemas.openxmlformats.org/officeDocument/2006/relationships/hyperlink" Id="rId38"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42" Target="https://doi.org/10.1146/annurev.physiol.010908.163241" TargetMode="External" /><Relationship Type="http://schemas.openxmlformats.org/officeDocument/2006/relationships/hyperlink" Id="rId55" Target="https://doi.org/10.1152/ajplung.00078.2011" TargetMode="External" /><Relationship Type="http://schemas.openxmlformats.org/officeDocument/2006/relationships/hyperlink" Id="rId59" Target="https://doi.org/10.1152/ajplung.00091.2007" TargetMode="External" /><Relationship Type="http://schemas.openxmlformats.org/officeDocument/2006/relationships/hyperlink" Id="rId63" Target="https://doi.org/10.1152/physiol.00045.2008" TargetMode="External" /><Relationship Type="http://schemas.openxmlformats.org/officeDocument/2006/relationships/hyperlink" Id="rId67" Target="https://doi.org/10.1183/09031936.96.09030472" TargetMode="External" /><Relationship Type="http://schemas.openxmlformats.org/officeDocument/2006/relationships/hyperlink" Id="rId61" Target="https://doi.org/10.17305/bjbms.2012.2463" TargetMode="External" /><Relationship Type="http://schemas.openxmlformats.org/officeDocument/2006/relationships/hyperlink" Id="rId44" Target="https://doi.org/10.2215/CJN.00960112"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65" Target="https://journals.lww.com/shockjournal/Fulltext/2004/04000/Inhibition_by_Terbutaline_of_Nitric_Oxide_and.0001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in venous [K+] During Hyperbaric Exposure Independent of Changes in pH or O2 Concentration</dc:title>
  <dc:creator>Jacob Lamers,; Matthew Marcou, ; Kent MacLaughlin, ; Rudolf Braun, ; Marlowe Eldridge</dc:creator>
  <cp:keywords/>
  <dcterms:created xsi:type="dcterms:W3CDTF">2022-06-10T18:51:51Z</dcterms:created>
  <dcterms:modified xsi:type="dcterms:W3CDTF">2022-06-10T18:51:51Z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documentclass">
    <vt:lpwstr>report</vt:lpwstr>
  </property>
  <property fmtid="{D5CDD505-2E9C-101B-9397-08002B2CF9AE}" pid="5" name="output">
    <vt:lpwstr>pdf_document</vt:lpwstr>
  </property>
</Properties>
</file>