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9.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Increase</w:t>
      </w:r>
      <w:r>
        <w:t xml:space="preserve"> </w:t>
      </w:r>
      <w:r>
        <w:t xml:space="preserve">in</w:t>
      </w:r>
      <w:r>
        <w:t xml:space="preserve"> </w:t>
      </w:r>
      <w:r>
        <w:t xml:space="preserve">venous</w:t>
      </w:r>
      <w:r>
        <w:t xml:space="preserve"> </w:t>
      </w:r>
      <w:r>
        <w:t xml:space="preserve">[K+]</w:t>
      </w:r>
      <w:r>
        <w:t xml:space="preserve"> </w:t>
      </w:r>
      <w:r>
        <w:t xml:space="preserve">During</w:t>
      </w:r>
      <w:r>
        <w:t xml:space="preserve"> </w:t>
      </w:r>
      <w:r>
        <w:t xml:space="preserve">Hyperbaric</w:t>
      </w:r>
      <w:r>
        <w:t xml:space="preserve"> </w:t>
      </w:r>
      <w:r>
        <w:t xml:space="preserve">Exposure</w:t>
      </w:r>
      <w:r>
        <w:t xml:space="preserve"> </w:t>
      </w:r>
      <w:r>
        <w:t xml:space="preserve">Independent</w:t>
      </w:r>
      <w:r>
        <w:t xml:space="preserve"> </w:t>
      </w:r>
      <w:r>
        <w:t xml:space="preserve">of</w:t>
      </w:r>
      <w:r>
        <w:t xml:space="preserve"> </w:t>
      </w:r>
      <w:r>
        <w:t xml:space="preserve">Changes</w:t>
      </w:r>
      <w:r>
        <w:t xml:space="preserve"> </w:t>
      </w:r>
      <w:r>
        <w:t xml:space="preserve">in</w:t>
      </w:r>
      <w:r>
        <w:t xml:space="preserve"> </w:t>
      </w:r>
      <w:r>
        <w:t xml:space="preserve">pH</w:t>
      </w:r>
      <w:r>
        <w:t xml:space="preserve"> </w:t>
      </w:r>
      <w:r>
        <w:t xml:space="preserve">or</w:t>
      </w:r>
      <w:r>
        <w:t xml:space="preserve"> </w:t>
      </w:r>
      <w:r>
        <w:t xml:space="preserve">O2</w:t>
      </w:r>
      <w:r>
        <w:t xml:space="preserve"> </w:t>
      </w:r>
      <w:r>
        <w:t xml:space="preserve">Concentration</w:t>
      </w:r>
    </w:p>
    <w:p>
      <w:pPr>
        <w:pStyle w:val="Author"/>
      </w:pPr>
      <w:r>
        <w:t xml:space="preserve">Jacob</w:t>
      </w:r>
      <w:r>
        <w:t xml:space="preserve"> </w:t>
      </w:r>
      <w:r>
        <w:t xml:space="preserve">Lamers,</w:t>
      </w:r>
    </w:p>
    <w:p>
      <w:pPr>
        <w:pStyle w:val="Author"/>
      </w:pPr>
      <w:r>
        <w:t xml:space="preserve">Matthew</w:t>
      </w:r>
      <w:r>
        <w:t xml:space="preserve"> </w:t>
      </w:r>
      <w:r>
        <w:t xml:space="preserve">Marcou, </w:t>
      </w:r>
    </w:p>
    <w:p>
      <w:pPr>
        <w:pStyle w:val="Author"/>
      </w:pPr>
      <w:r>
        <w:t xml:space="preserve">Kent</w:t>
      </w:r>
      <w:r>
        <w:t xml:space="preserve"> </w:t>
      </w:r>
      <w:r>
        <w:t xml:space="preserve">MacLaughlin, </w:t>
      </w:r>
    </w:p>
    <w:p>
      <w:pPr>
        <w:pStyle w:val="Author"/>
      </w:pPr>
      <w:r>
        <w:t xml:space="preserve">Rudolf</w:t>
      </w:r>
      <w:r>
        <w:t xml:space="preserve"> </w:t>
      </w:r>
      <w:r>
        <w:t xml:space="preserve">Braun, </w:t>
      </w:r>
    </w:p>
    <w:p>
      <w:pPr>
        <w:pStyle w:val="Author"/>
      </w:pPr>
      <w:r>
        <w:t xml:space="preserve">Marlowe</w:t>
      </w:r>
      <w:r>
        <w:t xml:space="preserve"> </w:t>
      </w:r>
      <w:r>
        <w:t xml:space="preserve">Eldridge</w:t>
      </w:r>
    </w:p>
    <w:bookmarkStart w:id="20" w:name="abstract"/>
    <w:p>
      <w:pPr>
        <w:pStyle w:val="Heading1"/>
      </w:pPr>
      <w:r>
        <w:t xml:space="preserve">Abstract</w:t>
      </w:r>
    </w:p>
    <w:p>
      <w:pPr>
        <w:pStyle w:val="FirstParagraph"/>
      </w:pPr>
      <w:r>
        <w:rPr>
          <w:bCs/>
          <w:b/>
        </w:rPr>
        <w:t xml:space="preserve">Increase in venous [K+] During Hyperbaric Exposure Independent of Changes in pH or O2 Concentration</w:t>
      </w:r>
    </w:p>
    <w:p>
      <w:pPr>
        <w:pStyle w:val="BodyText"/>
      </w:pPr>
      <w:r>
        <w:rPr>
          <w:bCs/>
          <w:b/>
        </w:rPr>
        <w:t xml:space="preserve">Increase in venous [K+] During Hyperbaric Exposure</w:t>
      </w:r>
    </w:p>
    <w:p>
      <w:pPr>
        <w:pStyle w:val="BodyText"/>
      </w:pPr>
      <w:r>
        <w:t xml:space="preserve">Plasma potassium regulation is important for function of numerous cells in the body. Changes in potassium levels during exposure to an increased O2 concentration is thought to be the result of the changes in pH and increasing reactive oxygen species (ROS). However, the effects of hyperbaria on plasma potassium concentration are not well understood.</w:t>
      </w:r>
    </w:p>
    <w:p>
      <w:pPr>
        <w:pStyle w:val="BodyText"/>
      </w:pPr>
      <w:r>
        <w:t xml:space="preserve">Eight subjects were exposed to 1.3 atmospheres absolute (ATA) of hyperbaric air for 90 minutes, 10-times (M-F) over 12-days. Another eight subjects were exposed to 100% oxygen at 1 ATA over the same interval. Four venous blood draws were taken. On day 1 the first draw was taken immediately preceding treatment and the second was taken immediately following treatment. The third draw was taken prior to the 10th treatment and the 4th draw was taken 72 hours post final treatment. We analyzed samples on a blood gas analyzer and performed statistical analysis using a paired Wilcoxon signed-rank test.</w:t>
      </w:r>
    </w:p>
    <w:p>
      <w:pPr>
        <w:pStyle w:val="BodyText"/>
      </w:pPr>
      <w:r>
        <w:t xml:space="preserve">The concentration group saw strong trend towards an increase in the potassium concentration from 4.09 ± 0.12 (mmol/L) to 4.28 ± 0.28 (mmol/L) (p = 0.065). In the hyperbaric group we see a significant increase in potassium concentration from 4.19 ± 0.26 (mmol/L) to 4.55 ± 0.27 (mmol/L) (p = 0.0068). In the concentration group we also see a significant increase in pH concentration from 7.37 ± 0.03 to 7.39 ± 0.01 (p= 0.021). A similar significant increase is not seen in the hyperbaric group.</w:t>
      </w:r>
    </w:p>
    <w:p>
      <w:pPr>
        <w:pStyle w:val="BodyText"/>
      </w:pPr>
      <w:r>
        <w:t xml:space="preserve">These finding suggest that changes in potassium concentration in response to hyperbaria are not the result of oxygen concentration nor pH. Possible explanations include increased nitrogen levels due to hyperbaric air, increased CO2 concentration in hyperbaric chamber or changes in the activity of Na+,K+ ATPase pumps at the cellular level which may be a homeostatic response to combat pulmonary edema</w:t>
      </w:r>
    </w:p>
    <w:p>
      <w:pPr>
        <w:pStyle w:val="BodyText"/>
      </w:pPr>
      <w:r>
        <w:t xml:space="preserve">Keywords: Potassium, Hyperbarics, Hyperoxia</w:t>
      </w:r>
    </w:p>
    <w:bookmarkEnd w:id="20"/>
    <w:bookmarkStart w:id="21" w:name="introduction"/>
    <w:p>
      <w:pPr>
        <w:pStyle w:val="Heading1"/>
      </w:pPr>
      <w:r>
        <w:t xml:space="preserve">Introduction</w:t>
      </w:r>
    </w:p>
    <w:p>
      <w:pPr>
        <w:pStyle w:val="FirstParagraph"/>
      </w:pPr>
      <w:r>
        <w:t xml:space="preserve">      Plasma potassium levels are dependent on a multitude of factors and result from the interplay of intracellular and extracellular changes and intake and execration rates.</w:t>
      </w:r>
      <w:r>
        <w:rPr>
          <w:vertAlign w:val="superscript"/>
        </w:rPr>
        <w:t xml:space="preserve">1–3</w:t>
      </w:r>
      <w:r>
        <w:t xml:space="preserve"> </w:t>
      </w:r>
      <w:r>
        <w:t xml:space="preserve">While potassium is viewed as an intracellular cation significant levels are observed extracellularly.</w:t>
      </w:r>
      <w:r>
        <w:rPr>
          <w:vertAlign w:val="superscript"/>
        </w:rPr>
        <w:t xml:space="preserve">4</w:t>
      </w:r>
      <w:r>
        <w:t xml:space="preserve"> </w:t>
      </w:r>
      <w:r>
        <w:t xml:space="preserve">Extracellular plasma potassium levels are heavily regulated to fall within a narrow range of 3.5 to 5.0 mmol per liter and maintenance at these concentrations are of extreme importance to the role of organs throughout the body.</w:t>
      </w:r>
      <w:r>
        <w:rPr>
          <w:vertAlign w:val="superscript"/>
        </w:rPr>
        <w:t xml:space="preserve">3</w:t>
      </w:r>
      <w:r>
        <w:t xml:space="preserve"> </w:t>
      </w:r>
      <w:r>
        <w:t xml:space="preserve">This importance is underscored by the fact plasma potassium levels in both hypokalemia or hyperkalemia lead to an increased death rates in certain conditions.</w:t>
      </w:r>
      <w:r>
        <w:rPr>
          <w:vertAlign w:val="superscript"/>
        </w:rPr>
        <w:t xml:space="preserve">6,7</w:t>
      </w:r>
      <w:r>
        <w:t xml:space="preserve"> </w:t>
      </w:r>
      <w:r>
        <w:t xml:space="preserve">Based on these findings, the determination of pathways of regulation leading to changes in plasma potassium levels are of importance.</w:t>
      </w:r>
    </w:p>
    <w:p>
      <w:pPr>
        <w:pStyle w:val="BodyText"/>
      </w:pPr>
      <w:r>
        <w:t xml:space="preserve">      Classic explanations for variations in plasma potassium levels emphasize the importance of acid-base distribution through their effects on ion transporters.</w:t>
      </w:r>
      <w:r>
        <w:rPr>
          <w:vertAlign w:val="superscript"/>
        </w:rPr>
        <w:t xml:space="preserve">1</w:t>
      </w:r>
      <w:r>
        <w:t xml:space="preserve"> </w:t>
      </w:r>
      <w:r>
        <w:t xml:space="preserve">Ion exchanges involving</w:t>
      </w:r>
      <w:r>
        <w:t xml:space="preserve"> </w:t>
      </w:r>
      <m:oMath>
        <m:r>
          <m:t>H</m:t>
        </m:r>
        <m:r>
          <m:rPr>
            <m:sty m:val="p"/>
          </m:rPr>
          <m:t>+</m:t>
        </m:r>
      </m:oMath>
      <w:r>
        <w:t xml:space="preserve">,</w:t>
      </w:r>
      <w:r>
        <w:t xml:space="preserve"> </w:t>
      </w:r>
      <m:oMath>
        <m:r>
          <m:t>N</m:t>
        </m:r>
        <m:r>
          <m:t>a</m:t>
        </m:r>
        <m:r>
          <m:rPr>
            <m:sty m:val="p"/>
          </m:rPr>
          <m:t>+</m:t>
        </m:r>
      </m:oMath>
      <w:r>
        <w:t xml:space="preserve">,</w:t>
      </w:r>
      <w:r>
        <w:t xml:space="preserve"> </w:t>
      </w:r>
      <m:oMath>
        <m:r>
          <m:t>H</m:t>
        </m:r>
        <m:r>
          <m:t>C</m:t>
        </m:r>
        <m:sSubSup>
          <m:e>
            <m:r>
              <m:t>O</m:t>
            </m:r>
          </m:e>
          <m:sub>
            <m:r>
              <m:t>3</m:t>
            </m:r>
          </m:sub>
          <m:sup>
            <m:r>
              <m:rPr>
                <m:sty m:val="p"/>
              </m:rPr>
              <m:t>−</m:t>
            </m:r>
          </m:sup>
        </m:sSubSup>
      </m:oMath>
      <w:r>
        <w:t xml:space="preserve"> </w:t>
      </w:r>
      <w:r>
        <w:t xml:space="preserve">and</w:t>
      </w:r>
      <w:r>
        <w:t xml:space="preserve"> </w:t>
      </w:r>
      <m:oMath>
        <m:r>
          <m:t>C</m:t>
        </m:r>
        <m:r>
          <m:t>l</m:t>
        </m:r>
        <m:r>
          <m:rPr>
            <m:sty m:val="p"/>
          </m:rPr>
          <m:t>−</m:t>
        </m:r>
      </m:oMath>
      <w:r>
        <w:t xml:space="preserve"> </w:t>
      </w:r>
      <w:r>
        <w:t xml:space="preserve">are important for maintaining the intracellular and extracellular levels of potassium.</w:t>
      </w:r>
      <w:r>
        <w:rPr>
          <w:vertAlign w:val="superscript"/>
        </w:rPr>
        <w:t xml:space="preserve">1</w:t>
      </w:r>
      <w:r>
        <w:t xml:space="preserve"> </w:t>
      </w:r>
      <w:r>
        <w:t xml:space="preserve">Renal function is also of integral to the regulation of potassium.</w:t>
      </w:r>
      <w:r>
        <w:rPr>
          <w:vertAlign w:val="superscript"/>
        </w:rPr>
        <w:t xml:space="preserve">1</w:t>
      </w:r>
      <w:r>
        <w:t xml:space="preserve"> </w:t>
      </w:r>
      <w:r>
        <w:t xml:space="preserve">Previously mentioned ions and their transporters and the hormone aldosterone play a central role in modulating renal excretion and re-uptake rates of potassium.</w:t>
      </w:r>
      <w:r>
        <w:rPr>
          <w:vertAlign w:val="superscript"/>
        </w:rPr>
        <w:t xml:space="preserve">1</w:t>
      </w:r>
      <w:r>
        <w:t xml:space="preserve"> </w:t>
      </w:r>
      <w:r>
        <w:t xml:space="preserve">Although acid-base distribution, ion-exchange and renal excretion/re-absorption offer the main explanation of plasma potassium levels other factors influence their physiological concentrations.</w:t>
      </w:r>
      <w:r>
        <w:rPr>
          <w:vertAlign w:val="superscript"/>
        </w:rPr>
        <w:t xml:space="preserve">2,8</w:t>
      </w:r>
      <w:r>
        <w:t xml:space="preserve"> </w:t>
      </w:r>
      <w:r>
        <w:t xml:space="preserve">In this study</w:t>
      </w:r>
      <w:r>
        <w:t xml:space="preserve"> </w:t>
      </w:r>
      <m:oMath>
        <m:sSub>
          <m:e>
            <m:r>
              <m:t>O</m:t>
            </m:r>
          </m:e>
          <m:sub>
            <m:r>
              <m:t>2</m:t>
            </m:r>
          </m:sub>
        </m:sSub>
      </m:oMath>
      <w:r>
        <w:t xml:space="preserve"> </w:t>
      </w:r>
      <w:r>
        <w:t xml:space="preserve">concentration and increased pressure were the factors under investigation which may lead to changes in plasma potassium levels.</w:t>
      </w:r>
    </w:p>
    <w:p>
      <w:pPr>
        <w:pStyle w:val="BodyText"/>
      </w:pPr>
      <w:r>
        <w:t xml:space="preserve">      Modulation of inspired</w:t>
      </w:r>
      <w:r>
        <w:t xml:space="preserve"> </w:t>
      </w:r>
      <m:oMath>
        <m:sSub>
          <m:e>
            <m:r>
              <m:t>O</m:t>
            </m:r>
          </m:e>
          <m:sub>
            <m:r>
              <m:t>2</m:t>
            </m:r>
          </m:sub>
        </m:sSub>
      </m:oMath>
      <w:r>
        <w:t xml:space="preserve"> </w:t>
      </w:r>
      <w:r>
        <w:t xml:space="preserve">concentration has been used as an effectives treatment for a multitude of conditions. The two main methods to administer this concentration increase are by directly varying concentration of inspired gases or by varying the ambient pressure. By combining these to aspects of concentration, three of the main modes of</w:t>
      </w:r>
      <w:r>
        <w:t xml:space="preserve"> </w:t>
      </w:r>
      <m:oMath>
        <m:sSub>
          <m:e>
            <m:r>
              <m:t>O</m:t>
            </m:r>
          </m:e>
          <m:sub>
            <m:r>
              <m:t>2</m:t>
            </m:r>
          </m:sub>
        </m:sSub>
      </m:oMath>
      <w:r>
        <w:t xml:space="preserve"> </w:t>
      </w:r>
      <w:r>
        <w:t xml:space="preserve">administration are obtained. These are hyperbaric</w:t>
      </w:r>
      <w:r>
        <w:t xml:space="preserve"> </w:t>
      </w:r>
      <m:oMath>
        <m:sSub>
          <m:e>
            <m:r>
              <m:t>O</m:t>
            </m:r>
          </m:e>
          <m:sub>
            <m:r>
              <m:t>2</m:t>
            </m:r>
          </m:sub>
        </m:sSub>
      </m:oMath>
      <w:r>
        <w:t xml:space="preserve">, concentrated</w:t>
      </w:r>
      <w:r>
        <w:t xml:space="preserve"> </w:t>
      </w:r>
      <m:oMath>
        <m:sSub>
          <m:e>
            <m:r>
              <m:t>O</m:t>
            </m:r>
          </m:e>
          <m:sub>
            <m:r>
              <m:t>2</m:t>
            </m:r>
          </m:sub>
        </m:sSub>
      </m:oMath>
      <w:r>
        <w:t xml:space="preserve"> </w:t>
      </w:r>
      <w:r>
        <w:t xml:space="preserve">and hyperbaric treatment. According the UHMS hyperbaric oxygen therapy (</w:t>
      </w:r>
      <m:oMath>
        <m:r>
          <m:t>H</m:t>
        </m:r>
        <m:r>
          <m:t>B</m:t>
        </m:r>
        <m:sSub>
          <m:e>
            <m:r>
              <m:t>O</m:t>
            </m:r>
          </m:e>
          <m:sub>
            <m:r>
              <m:t>2</m:t>
            </m:r>
          </m:sub>
        </m:sSub>
      </m:oMath>
      <w:r>
        <w:t xml:space="preserve">) is defined as exposure to near 100%</w:t>
      </w:r>
      <w:r>
        <w:t xml:space="preserve"> </w:t>
      </w:r>
      <m:oMath>
        <m:sSub>
          <m:e>
            <m:r>
              <m:t>O</m:t>
            </m:r>
          </m:e>
          <m:sub>
            <m:r>
              <m:t>2</m:t>
            </m:r>
          </m:sub>
        </m:sSub>
      </m:oMath>
      <w:r>
        <w:t xml:space="preserve"> </w:t>
      </w:r>
      <w:r>
        <w:t xml:space="preserve">while inside a pressurized chamber at greater than sea level pressure.</w:t>
      </w:r>
      <w:r>
        <w:rPr>
          <w:vertAlign w:val="superscript"/>
        </w:rPr>
        <w:t xml:space="preserve">9</w:t>
      </w:r>
      <w:r>
        <w:t xml:space="preserve"> </w:t>
      </w:r>
      <w:r>
        <w:t xml:space="preserve">In contrast hyperbaric treatment is exposure to an increase in pressure without an increase in administered gas</w:t>
      </w:r>
      <w:r>
        <w:t xml:space="preserve"> </w:t>
      </w:r>
      <m:oMath>
        <m:sSub>
          <m:e>
            <m:r>
              <m:t>O</m:t>
            </m:r>
          </m:e>
          <m:sub>
            <m:r>
              <m:t>2</m:t>
            </m:r>
          </m:sub>
        </m:sSub>
      </m:oMath>
      <w:r>
        <w:t xml:space="preserve"> </w:t>
      </w:r>
      <w:r>
        <w:t xml:space="preserve">concentration. Finally concentrated oxygen is the exposure to</w:t>
      </w:r>
      <w:r>
        <w:t xml:space="preserve"> </w:t>
      </w:r>
      <m:oMath>
        <m:sSub>
          <m:e>
            <m:r>
              <m:t>O</m:t>
            </m:r>
          </m:e>
          <m:sub>
            <m:r>
              <m:t>2</m:t>
            </m:r>
          </m:sub>
        </m:sSub>
      </m:oMath>
      <w:r>
        <w:t xml:space="preserve"> </w:t>
      </w:r>
      <w:r>
        <w:t xml:space="preserve">gas with a higher concentration of</w:t>
      </w:r>
      <w:r>
        <w:t xml:space="preserve"> </w:t>
      </w:r>
      <m:oMath>
        <m:sSub>
          <m:e>
            <m:r>
              <m:t>O</m:t>
            </m:r>
          </m:e>
          <m:sub>
            <m:r>
              <m:t>2</m:t>
            </m:r>
          </m:sub>
        </m:sSub>
      </m:oMath>
      <w:r>
        <w:t xml:space="preserve"> </w:t>
      </w:r>
      <w:r>
        <w:t xml:space="preserve">than normal air. Concentrated oxygen and hyperbaric treatment were the two treatments under investigation in this study.</w:t>
      </w:r>
    </w:p>
    <w:p>
      <w:pPr>
        <w:pStyle w:val="BodyText"/>
      </w:pPr>
      <w:r>
        <w:t xml:space="preserve">      Effects of hyperoxia on plasma potassium levels remain ambiguous.</w:t>
      </w:r>
      <w:r>
        <w:rPr>
          <w:vertAlign w:val="superscript"/>
        </w:rPr>
        <w:t xml:space="preserve">2</w:t>
      </w:r>
      <w:r>
        <w:t xml:space="preserve"> </w:t>
      </w:r>
      <w:r>
        <w:t xml:space="preserve">A few studies have demonstrated an increase in plasma potassium as the result of hyperoxic exposure while others have found no similar increase.</w:t>
      </w:r>
      <w:r>
        <w:rPr>
          <w:vertAlign w:val="superscript"/>
        </w:rPr>
        <w:t xml:space="preserve">2,10</w:t>
      </w:r>
      <w:r>
        <w:t xml:space="preserve"> </w:t>
      </w:r>
      <w:r>
        <w:t xml:space="preserve">However research has shown that hyperoxia can effect voltage-gated K+ channels in humans</w:t>
      </w:r>
      <w:r>
        <w:rPr>
          <w:vertAlign w:val="superscript"/>
        </w:rPr>
        <w:t xml:space="preserve">11–13</w:t>
      </w:r>
      <w:r>
        <w:t xml:space="preserve"> </w:t>
      </w:r>
      <w:r>
        <w:t xml:space="preserve">One group found that long-term exposure to hyperoxia can result in a decrease in activity of voltage-gated K+ channels in lung tissue.</w:t>
      </w:r>
      <w:r>
        <w:rPr>
          <w:vertAlign w:val="superscript"/>
        </w:rPr>
        <w:t xml:space="preserve">11,12</w:t>
      </w:r>
      <w:r>
        <w:t xml:space="preserve"> </w:t>
      </w:r>
      <w:r>
        <w:t xml:space="preserve">Where as another study looking at voltage-gated K+ channels of the heart and saw a signifigant reduction of oxygen-sensitive Kv1.5 potassium channel protein expression.</w:t>
      </w:r>
      <w:r>
        <w:rPr>
          <w:vertAlign w:val="superscript"/>
        </w:rPr>
        <w:t xml:space="preserve">13</w:t>
      </w:r>
      <w:r>
        <w:t xml:space="preserve"> </w:t>
      </w:r>
      <w:r>
        <w:t xml:space="preserve">Internal potassium homeostasis and the distribution of intracellular and extracellular potassium in the body is primarily the result of ion-exchanges pumps and passive efflux.</w:t>
      </w:r>
      <w:r>
        <w:rPr>
          <w:vertAlign w:val="superscript"/>
        </w:rPr>
        <w:t xml:space="preserve">1,3</w:t>
      </w:r>
      <w:r>
        <w:t xml:space="preserve"> </w:t>
      </w:r>
      <w:r>
        <w:t xml:space="preserve">Hypoxia has also been shown to cause an increase in arterial potassium levels and cause changes in expression of Voltage gated K+ channel in pulmonary arterial myocytes through</w:t>
      </w:r>
      <w:r>
        <w:t xml:space="preserve"> </w:t>
      </w:r>
      <m:oMath>
        <m:r>
          <m:t>H</m:t>
        </m:r>
        <m:r>
          <m:t>I</m:t>
        </m:r>
        <m:r>
          <m:t>F</m:t>
        </m:r>
        <m:r>
          <m:t>1</m:t>
        </m:r>
        <m:r>
          <m:rPr>
            <m:sty m:val="p"/>
          </m:rPr>
          <m:t>−</m:t>
        </m:r>
        <m:r>
          <m:t>α</m:t>
        </m:r>
      </m:oMath>
      <w:r>
        <w:t xml:space="preserve"> </w:t>
      </w:r>
      <w:r>
        <w:t xml:space="preserve">indicating a potential pathway through which potassium levels are modulated via changes in</w:t>
      </w:r>
      <w:r>
        <w:t xml:space="preserve"> </w:t>
      </w:r>
      <m:oMath>
        <m:sSub>
          <m:e>
            <m:r>
              <m:t>O</m:t>
            </m:r>
          </m:e>
          <m:sub>
            <m:r>
              <m:t>2</m:t>
            </m:r>
          </m:sub>
        </m:sSub>
      </m:oMath>
      <w:r>
        <w:t xml:space="preserve"> </w:t>
      </w:r>
      <w:r>
        <w:t xml:space="preserve">concentration.</w:t>
      </w:r>
      <w:r>
        <w:rPr>
          <w:vertAlign w:val="superscript"/>
        </w:rPr>
        <w:t xml:space="preserve">8,14–16</w:t>
      </w:r>
      <w:r>
        <w:t xml:space="preserve"> </w:t>
      </w:r>
      <w:r>
        <w:t xml:space="preserve">Therefore changes in activity or expression of these channels offers a potential linkage between effects hyperoxia on plasma potassium.</w:t>
      </w:r>
    </w:p>
    <w:p>
      <w:pPr>
        <w:pStyle w:val="BodyText"/>
      </w:pPr>
      <w:r>
        <w:t xml:space="preserve">       Historically,</w:t>
      </w:r>
      <w:r>
        <w:t xml:space="preserve"> </w:t>
      </w:r>
      <m:oMath>
        <m:r>
          <m:t>H</m:t>
        </m:r>
        <m:r>
          <m:t>B</m:t>
        </m:r>
        <m:sSub>
          <m:e>
            <m:r>
              <m:t>O</m:t>
            </m:r>
          </m:e>
          <m:sub>
            <m:r>
              <m:t>2</m:t>
            </m:r>
          </m:sub>
        </m:sSub>
      </m:oMath>
      <w:r>
        <w:t xml:space="preserve"> </w:t>
      </w:r>
      <w:r>
        <w:t xml:space="preserve">studies in mice and rats have shown that</w:t>
      </w:r>
      <w:r>
        <w:t xml:space="preserve"> </w:t>
      </w:r>
      <m:oMath>
        <m:r>
          <m:t>H</m:t>
        </m:r>
        <m:r>
          <m:t>B</m:t>
        </m:r>
        <m:sSub>
          <m:e>
            <m:r>
              <m:t>O</m:t>
            </m:r>
          </m:e>
          <m:sub>
            <m:r>
              <m:t>2</m:t>
            </m:r>
          </m:sub>
        </m:sSub>
      </m:oMath>
      <w:r>
        <w:t xml:space="preserve"> </w:t>
      </w:r>
      <w:r>
        <w:t xml:space="preserve">exposure reduces lung injury and can help alleviate the effects of hypoxia and hypoxemia.</w:t>
      </w:r>
      <w:r>
        <w:rPr>
          <w:vertAlign w:val="superscript"/>
        </w:rPr>
        <w:t xml:space="preserve">17</w:t>
      </w:r>
      <w:r>
        <w:t xml:space="preserve"> </w:t>
      </w:r>
      <w:r>
        <w:t xml:space="preserve">While the mechanism for this is not entirely understood, it has been proposed that an upregulation in the activity of Na+/K+ ATPase and a subsequent increase in movement of Na+ and K+ ions inside the cells of lung tissue assists in relieving lung injury.</w:t>
      </w:r>
      <w:r>
        <w:rPr>
          <w:vertAlign w:val="superscript"/>
        </w:rPr>
        <w:t xml:space="preserve">18</w:t>
      </w:r>
      <w:r>
        <w:t xml:space="preserve"> </w:t>
      </w:r>
      <w:r>
        <w:t xml:space="preserve">In multiple cases, hyperbaric treatment has been shown to be effective in clearing edema in the lungs.</w:t>
      </w:r>
      <w:r>
        <w:rPr>
          <w:vertAlign w:val="superscript"/>
        </w:rPr>
        <w:t xml:space="preserve">17,18</w:t>
      </w:r>
      <w:r>
        <w:t xml:space="preserve"> </w:t>
      </w:r>
      <w:r>
        <w:t xml:space="preserve">Pulmonary edema is a common occurrence when using a SCUBA device for deep-sea diving, and hyperbaric oxygen has been an approved treatment for diving-related conditions for several years. Due to the risks that can be associated with breathing 100%</w:t>
      </w:r>
      <w:r>
        <w:t xml:space="preserve"> </w:t>
      </w:r>
      <m:oMath>
        <m:sSub>
          <m:e>
            <m:r>
              <m:t>O</m:t>
            </m:r>
          </m:e>
          <m:sub>
            <m:r>
              <m:t>2</m:t>
            </m:r>
          </m:sub>
        </m:sSub>
      </m:oMath>
      <w:r>
        <w:t xml:space="preserve"> </w:t>
      </w:r>
      <w:r>
        <w:t xml:space="preserve">for extended periods of time, it is worthwhile to discover if it is possible to alleviate these conditions with solely hyperbaric treatment, eliminating the harmful effects of 100%</w:t>
      </w:r>
      <w:r>
        <w:t xml:space="preserve"> </w:t>
      </w:r>
      <m:oMath>
        <m:sSub>
          <m:e>
            <m:r>
              <m:t>O</m:t>
            </m:r>
          </m:e>
          <m:sub>
            <m:r>
              <m:t>2</m:t>
            </m:r>
          </m:sub>
        </m:sSub>
      </m:oMath>
      <w:r>
        <w:t xml:space="preserve"> </w:t>
      </w:r>
      <w:r>
        <w:t xml:space="preserve">exposure. Literature detailing hyperbaric effects on plasma ion concentrations mostly focus on</w:t>
      </w:r>
      <w:r>
        <w:t xml:space="preserve"> </w:t>
      </w:r>
      <m:oMath>
        <m:r>
          <m:t>H</m:t>
        </m:r>
        <m:r>
          <m:t>B</m:t>
        </m:r>
        <m:sSub>
          <m:e>
            <m:r>
              <m:t>O</m:t>
            </m:r>
          </m:e>
          <m:sub>
            <m:r>
              <m:t>2</m:t>
            </m:r>
          </m:sub>
        </m:sSub>
      </m:oMath>
      <w:r>
        <w:t xml:space="preserve">. As previously mentioned exposure to hyperoxia also causes changes in plasma ion concentrations. This means studies of</w:t>
      </w:r>
      <w:r>
        <w:t xml:space="preserve"> </w:t>
      </w:r>
      <m:oMath>
        <m:r>
          <m:t>H</m:t>
        </m:r>
        <m:r>
          <m:t>B</m:t>
        </m:r>
        <m:sSub>
          <m:e>
            <m:r>
              <m:t>O</m:t>
            </m:r>
          </m:e>
          <m:sub>
            <m:r>
              <m:t>2</m:t>
            </m:r>
          </m:sub>
        </m:sSub>
      </m:oMath>
      <w:r>
        <w:t xml:space="preserve"> </w:t>
      </w:r>
      <w:r>
        <w:t xml:space="preserve">and its effects on these concentrations can not seperate the effects of increased pressure and increased</w:t>
      </w:r>
      <w:r>
        <w:t xml:space="preserve"> </w:t>
      </w:r>
      <m:oMath>
        <m:sSub>
          <m:e>
            <m:r>
              <m:t>O</m:t>
            </m:r>
          </m:e>
          <m:sub>
            <m:r>
              <m:t>2</m:t>
            </m:r>
          </m:sub>
        </m:sSub>
      </m:oMath>
      <w:r>
        <w:t xml:space="preserve">. The main goal of this study was to determine the similarities and differences in effects of concentrated</w:t>
      </w:r>
      <w:r>
        <w:t xml:space="preserve"> </w:t>
      </w:r>
      <m:oMath>
        <m:sSub>
          <m:e>
            <m:r>
              <m:t>O</m:t>
            </m:r>
          </m:e>
          <m:sub>
            <m:r>
              <m:t>2</m:t>
            </m:r>
          </m:sub>
        </m:sSub>
      </m:oMath>
      <w:r>
        <w:t xml:space="preserve"> </w:t>
      </w:r>
      <w:r>
        <w:t xml:space="preserve">and hyperbaria on the blood metabolites, specifically plasma potassium levels.</w:t>
      </w:r>
    </w:p>
    <w:bookmarkEnd w:id="21"/>
    <w:bookmarkStart w:id="25" w:name="methods"/>
    <w:p>
      <w:pPr>
        <w:pStyle w:val="Heading1"/>
      </w:pPr>
      <w:r>
        <w:t xml:space="preserve">Methods</w:t>
      </w:r>
    </w:p>
    <w:p>
      <w:pPr>
        <w:pStyle w:val="FirstParagraph"/>
      </w:pPr>
      <w:r>
        <w:t xml:space="preserve">      Healthy adult subjects were recruited via REDCap using a University of Wisconsin’s email list. A questionnaire was administered to determine characteristics of individuals such as pre-existing conditions and age. Individuals who responded to the survey were selected at random and contacted via phone. Participants in the study were separated into two groups. The first group received hyperbaric treatment in altitude sickness bags (n=13) while the second group received concentrated</w:t>
      </w:r>
      <w:r>
        <w:t xml:space="preserve"> </w:t>
      </w:r>
      <m:oMath>
        <m:sSub>
          <m:e>
            <m:r>
              <m:t>O</m:t>
            </m:r>
          </m:e>
          <m:sub>
            <m:r>
              <m:t>2</m:t>
            </m:r>
          </m:sub>
        </m:sSub>
      </m:oMath>
      <w:r>
        <w:t xml:space="preserve"> </w:t>
      </w:r>
      <w:r>
        <w:t xml:space="preserve">at room pressure (n=11).</w:t>
      </w:r>
    </w:p>
    <w:p>
      <w:pPr>
        <w:pStyle w:val="BodyText"/>
      </w:pPr>
      <w:r>
        <w:t xml:space="preserve">      Although treatment varied between groups, treatment schedule remained consistent as shown in figure 1. Subjects arrived Monday and height and weight were determined. Blood was collected via venipuncture before treatment was used for a baseline metabolic panel and was analyzed on arterial blood gas (ABG) machine. Following blood draws subjects underwent 1.5 hours if in the hyperbaric arm or 1 hour if in the concentrated</w:t>
      </w:r>
      <w:r>
        <w:t xml:space="preserve"> </w:t>
      </w:r>
      <m:oMath>
        <m:sSub>
          <m:e>
            <m:r>
              <m:t>O</m:t>
            </m:r>
          </m:e>
          <m:sub>
            <m:r>
              <m:t>2</m:t>
            </m:r>
          </m:sub>
        </m:sSub>
      </m:oMath>
      <w:r>
        <w:t xml:space="preserve"> </w:t>
      </w:r>
      <w:r>
        <w:t xml:space="preserve">arm. After treatment blood was collected to determine acute response in blood metabolites. Following this, treatment was given Tuesday through Friday of the following week, taking a break for weekends where no treatment was administered. A blood draw and ABG analysis was preformed before the tenth and final treatment and after a weekend of no treatment following the final treatment another blood draw occurred and subsequent analysis was preformed.</w:t>
      </w:r>
    </w:p>
    <w:p>
      <w:pPr>
        <w:pStyle w:val="CaptionedFigure"/>
      </w:pPr>
      <w:r>
        <w:drawing>
          <wp:inline>
            <wp:extent cx="5334000" cy="3218793"/>
            <wp:effectExtent b="0" l="0" r="0" t="0"/>
            <wp:docPr descr="Figure 1. Outline detailing treatment schedule for both hyperbaric and hyperoxia treatment groups." title="" id="23" name="Picture"/>
            <a:graphic>
              <a:graphicData uri="http://schemas.openxmlformats.org/drawingml/2006/picture">
                <pic:pic>
                  <pic:nvPicPr>
                    <pic:cNvPr descr="..\Figures\K+%20Methods%20Figure.jpeg" id="24" name="Picture"/>
                    <pic:cNvPicPr>
                      <a:picLocks noChangeArrowheads="1" noChangeAspect="1"/>
                    </pic:cNvPicPr>
                  </pic:nvPicPr>
                  <pic:blipFill>
                    <a:blip r:embed="rId22"/>
                    <a:stretch>
                      <a:fillRect/>
                    </a:stretch>
                  </pic:blipFill>
                  <pic:spPr bwMode="auto">
                    <a:xfrm>
                      <a:off x="0" y="0"/>
                      <a:ext cx="5334000" cy="3218793"/>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Outline detailing treatment schedule for both hyperbaric and hyperoxia treatment groups.</w:t>
      </w:r>
    </w:p>
    <w:p>
      <w:pPr>
        <w:pStyle w:val="BodyText"/>
      </w:pPr>
      <w:r>
        <w:t xml:space="preserve">      A total of 36 metabolic indicators were reported by the ABG machine. Indicators were compared pairwise between the four draws. Statistical analysis and data visualization was performed using R (The R Foundation) where paired student t-tests were used for normally distributed lab results and while wilcox tests were used for the</w:t>
      </w:r>
      <w:r>
        <w:t xml:space="preserve"> </w:t>
      </w:r>
      <m:oMath>
        <m:r>
          <m:t>K</m:t>
        </m:r>
        <m:r>
          <m:rPr>
            <m:sty m:val="p"/>
          </m:rPr>
          <m:t>+</m:t>
        </m:r>
      </m:oMath>
      <w:r>
        <w:t xml:space="preserve"> </w:t>
      </w:r>
      <w:r>
        <w:t xml:space="preserve">and</w:t>
      </w:r>
      <w:r>
        <w:t xml:space="preserve"> </w:t>
      </w:r>
      <m:oMath>
        <m:r>
          <m:t>H</m:t>
        </m:r>
        <m:r>
          <m:t>C</m:t>
        </m:r>
        <m:sSubSup>
          <m:e>
            <m:r>
              <m:t>O</m:t>
            </m:r>
          </m:e>
          <m:sub>
            <m:r>
              <m:t>3</m:t>
            </m:r>
          </m:sub>
          <m:sup>
            <m:r>
              <m:rPr>
                <m:sty m:val="p"/>
              </m:rPr>
              <m:t>−</m:t>
            </m:r>
          </m:sup>
        </m:sSubSup>
      </m:oMath>
      <w:r>
        <w:t xml:space="preserve"> </w:t>
      </w:r>
      <w:r>
        <w:t xml:space="preserve">because of their skewed distributions.</w:t>
      </w:r>
      <w:r>
        <w:rPr>
          <w:vertAlign w:val="superscript"/>
        </w:rPr>
        <w:t xml:space="preserve">19</w:t>
      </w:r>
    </w:p>
    <w:bookmarkEnd w:id="25"/>
    <w:bookmarkStart w:id="32" w:name="results"/>
    <w:p>
      <w:pPr>
        <w:pStyle w:val="Heading1"/>
      </w:pPr>
      <w:r>
        <w:t xml:space="preserve">Results</w:t>
      </w:r>
    </w:p>
    <w:p>
      <w:pPr>
        <w:pStyle w:val="FirstParagraph"/>
      </w:pPr>
      <w:r>
        <w:t xml:space="preserve">      Tables one and two display values for classical ions of interest in potassium homeostasis for concentrated</w:t>
      </w:r>
      <w:r>
        <w:t xml:space="preserve"> </w:t>
      </w:r>
      <m:oMath>
        <m:sSub>
          <m:e>
            <m:r>
              <m:t>O</m:t>
            </m:r>
          </m:e>
          <m:sub>
            <m:r>
              <m:t>2</m:t>
            </m:r>
          </m:sub>
        </m:sSub>
      </m:oMath>
      <w:r>
        <w:t xml:space="preserve"> </w:t>
      </w:r>
      <w:r>
        <w:t xml:space="preserve">and hyperbaric air respectively. The concentrated</w:t>
      </w:r>
      <w:r>
        <w:t xml:space="preserve"> </w:t>
      </w:r>
      <m:oMath>
        <m:sSub>
          <m:e>
            <m:r>
              <m:t>O</m:t>
            </m:r>
          </m:e>
          <m:sub>
            <m:r>
              <m:t>2</m:t>
            </m:r>
          </m:sub>
        </m:sSub>
      </m:oMath>
      <w:r>
        <w:t xml:space="preserve"> </w:t>
      </w:r>
      <w:r>
        <w:t xml:space="preserve">group saw a significant increase in pH from baseline levels of</w:t>
      </w:r>
      <w:r>
        <w:t xml:space="preserve"> </w:t>
      </w:r>
      <m:oMath>
        <m:r>
          <m:t>7.374</m:t>
        </m:r>
        <m:r>
          <m:rPr>
            <m:sty m:val="p"/>
          </m:rPr>
          <m:t>±</m:t>
        </m:r>
        <m:r>
          <m:t>0.029</m:t>
        </m:r>
      </m:oMath>
      <w:r>
        <w:t xml:space="preserve"> </w:t>
      </w:r>
      <w:r>
        <w:t xml:space="preserve">to post-exposure levels of</w:t>
      </w:r>
      <w:r>
        <w:t xml:space="preserve"> </w:t>
      </w:r>
      <m:oMath>
        <m:r>
          <m:t>7.393</m:t>
        </m:r>
        <m:r>
          <m:rPr>
            <m:sty m:val="p"/>
          </m:rPr>
          <m:t>±</m:t>
        </m:r>
        <m:r>
          <m:t>0.014</m:t>
        </m:r>
      </m:oMath>
      <w:r>
        <w:t xml:space="preserve">(p=0.023) while the hyperbaric group saw no similar significant increase. Plasma potassium levels were significantly increased in the hyperbaric oxygen group immediately post exposure when compared to thier baseline values as shown in figure one. The hyperbaric groups intial potassium levels were at</w:t>
      </w:r>
      <w:r>
        <w:t xml:space="preserve"> </w:t>
      </w:r>
      <m:oMath>
        <m:r>
          <m:t>4.19</m:t>
        </m:r>
        <m:r>
          <m:rPr>
            <m:sty m:val="p"/>
          </m:rPr>
          <m:t>±</m:t>
        </m:r>
        <m:r>
          <m:t>0.26</m:t>
        </m:r>
      </m:oMath>
      <w:r>
        <w:t xml:space="preserve"> </w:t>
      </w:r>
      <w:r>
        <w:t xml:space="preserve">and the post-exposure levels were</w:t>
      </w:r>
      <w:r>
        <w:t xml:space="preserve"> </w:t>
      </w:r>
      <m:oMath>
        <m:r>
          <m:t>4.55</m:t>
        </m:r>
        <m:r>
          <m:rPr>
            <m:sty m:val="p"/>
          </m:rPr>
          <m:t>±</m:t>
        </m:r>
        <m:sSup>
          <m:e>
            <m:r>
              <m:t>0.27</m:t>
            </m:r>
          </m:e>
          <m:sup>
            <m:r>
              <m:rPr>
                <m:sty m:val="p"/>
              </m:rPr>
              <m:t>*</m:t>
            </m:r>
          </m:sup>
        </m:sSup>
      </m:oMath>
      <w:r>
        <w:t xml:space="preserve">.(p=0.0068). Although a few subjects show no change or slight decrease in plasma potassium a strong trend toward increase is observed in this group. However, in figure two there is so similar trend towards increase observed with only a few subjects experiencing a increase in plasma potassium levels.</w:t>
      </w:r>
    </w:p>
    <w:p>
      <w:pPr>
        <w:pStyle w:val="TableCaption"/>
      </w:pPr>
      <w:r>
        <w:t xml:space="preserve">Metabolite concentrations for concentrated oxygen group from pre, post, day 10 and final blood draws. Signifigance denoted by (* &lt; 0.05), (** &lt; 0.001)</w:t>
      </w:r>
    </w:p>
    <w:tbl>
      <w:tblPr>
        <w:tblStyle w:val="Table"/>
        <w:tblW w:type="pct" w:w="5000"/>
        <w:tblLook w:firstRow="1" w:lastRow="0" w:firstColumn="0" w:lastColumn="0" w:noHBand="0" w:noVBand="0" w:val="0020"/>
        <w:tblCaption w:val="Metabolite concentrations for concentrated oxygen group from pre, post, day 10 and final blood draws. Signifigance denoted by (* &lt; 0.05), (** &lt; 0.001)"/>
      </w:tblPr>
      <w:tblGrid>
        <w:gridCol w:w="1440"/>
        <w:gridCol w:w="1512"/>
        <w:gridCol w:w="1728"/>
        <w:gridCol w:w="1512"/>
        <w:gridCol w:w="1728"/>
      </w:tblGrid>
      <w:tr>
        <w:trPr>
          <w:tblHeader w:val="true"/>
        </w:trPr>
        <w:tc>
          <w:tcPr/>
          <w:p>
            <w:pPr>
              <w:pStyle w:val="Compact"/>
              <w:jc w:val="left"/>
            </w:pPr>
            <w:r>
              <w:t xml:space="preserve">Metabolite</w:t>
            </w:r>
          </w:p>
        </w:tc>
        <w:tc>
          <w:tcPr/>
          <w:p>
            <w:pPr>
              <w:pStyle w:val="Compact"/>
              <w:jc w:val="left"/>
            </w:pPr>
            <w:r>
              <w:t xml:space="preserve">Pre (n=13)</w:t>
            </w:r>
          </w:p>
        </w:tc>
        <w:tc>
          <w:tcPr/>
          <w:p>
            <w:pPr>
              <w:pStyle w:val="Compact"/>
              <w:jc w:val="left"/>
            </w:pPr>
            <w:r>
              <w:t xml:space="preserve">Post (n=13)</w:t>
            </w:r>
          </w:p>
        </w:tc>
        <w:tc>
          <w:tcPr/>
          <w:p>
            <w:pPr>
              <w:pStyle w:val="Compact"/>
              <w:jc w:val="left"/>
            </w:pPr>
            <w:r>
              <w:t xml:space="preserve">Day 10 (n=10)</w:t>
            </w:r>
          </w:p>
        </w:tc>
        <w:tc>
          <w:tcPr/>
          <w:p>
            <w:pPr>
              <w:pStyle w:val="Compact"/>
              <w:jc w:val="left"/>
            </w:pPr>
            <w:r>
              <w:t xml:space="preserve">Final (n=9)</w:t>
            </w:r>
          </w:p>
        </w:tc>
      </w:tr>
      <w:tr>
        <w:tc>
          <w:tcPr/>
          <w:p>
            <w:pPr>
              <w:pStyle w:val="Compact"/>
              <w:jc w:val="left"/>
            </w:pPr>
            <m:oMath>
              <m:r>
                <m:t>p</m:t>
              </m:r>
              <m:r>
                <m:t>H</m:t>
              </m:r>
            </m:oMath>
          </w:p>
        </w:tc>
        <w:tc>
          <w:tcPr/>
          <w:p>
            <w:pPr>
              <w:pStyle w:val="Compact"/>
              <w:jc w:val="left"/>
            </w:pPr>
            <m:oMath>
              <m:r>
                <m:t>7.374</m:t>
              </m:r>
              <m:r>
                <m:rPr>
                  <m:sty m:val="p"/>
                </m:rPr>
                <m:t>±</m:t>
              </m:r>
              <m:r>
                <m:t>0.029</m:t>
              </m:r>
            </m:oMath>
          </w:p>
        </w:tc>
        <w:tc>
          <w:tcPr/>
          <w:p>
            <w:pPr>
              <w:pStyle w:val="Compact"/>
              <w:jc w:val="left"/>
            </w:pPr>
            <m:oMath>
              <m:r>
                <m:t>7.393</m:t>
              </m:r>
              <m:r>
                <m:rPr>
                  <m:sty m:val="p"/>
                </m:rPr>
                <m:t>±</m:t>
              </m:r>
              <m:sSup>
                <m:e>
                  <m:r>
                    <m:t>0.014</m:t>
                  </m:r>
                </m:e>
                <m:sup>
                  <m:r>
                    <m:rPr>
                      <m:sty m:val="p"/>
                    </m:rPr>
                    <m:t>*</m:t>
                  </m:r>
                </m:sup>
              </m:sSup>
            </m:oMath>
          </w:p>
        </w:tc>
        <w:tc>
          <w:tcPr/>
          <w:p>
            <w:pPr>
              <w:pStyle w:val="Compact"/>
              <w:jc w:val="left"/>
            </w:pPr>
            <m:oMath>
              <m:r>
                <m:t>7.368</m:t>
              </m:r>
              <m:r>
                <m:rPr>
                  <m:sty m:val="p"/>
                </m:rPr>
                <m:t>±</m:t>
              </m:r>
              <m:r>
                <m:t>0.033</m:t>
              </m:r>
            </m:oMath>
          </w:p>
        </w:tc>
        <w:tc>
          <w:tcPr/>
          <w:p>
            <w:pPr>
              <w:pStyle w:val="Compact"/>
              <w:jc w:val="left"/>
            </w:pPr>
            <m:oMath>
              <m:r>
                <m:t>7.384</m:t>
              </m:r>
              <m:r>
                <m:rPr>
                  <m:sty m:val="p"/>
                </m:rPr>
                <m:t>±</m:t>
              </m:r>
              <m:r>
                <m:t>0.027</m:t>
              </m:r>
            </m:oMath>
          </w:p>
        </w:tc>
      </w:tr>
      <w:tr>
        <w:tc>
          <w:tcPr/>
          <w:p>
            <w:pPr>
              <w:pStyle w:val="Compact"/>
              <w:jc w:val="left"/>
            </w:pPr>
            <m:oMath>
              <m:r>
                <m:t>p</m:t>
              </m:r>
              <m:r>
                <m:t>C</m:t>
              </m:r>
              <m:sSub>
                <m:e>
                  <m:r>
                    <m:t>O</m:t>
                  </m:r>
                </m:e>
                <m:sub>
                  <m:r>
                    <m:t>2</m:t>
                  </m:r>
                </m:sub>
              </m:sSub>
              <m:d>
                <m:dPr>
                  <m:begChr m:val="("/>
                  <m:endChr m:val=")"/>
                  <m:sepChr m:val=""/>
                  <m:grow/>
                </m:dPr>
                <m:e>
                  <m:r>
                    <m:t>m</m:t>
                  </m:r>
                  <m:r>
                    <m:t>m</m:t>
                  </m:r>
                  <m:r>
                    <m:t>H</m:t>
                  </m:r>
                  <m:r>
                    <m:t>g</m:t>
                  </m:r>
                </m:e>
              </m:d>
            </m:oMath>
          </w:p>
        </w:tc>
        <w:tc>
          <w:tcPr/>
          <w:p>
            <w:pPr>
              <w:pStyle w:val="Compact"/>
              <w:jc w:val="left"/>
            </w:pPr>
            <m:oMath>
              <m:r>
                <m:t>48.5</m:t>
              </m:r>
              <m:r>
                <m:rPr>
                  <m:sty m:val="p"/>
                </m:rPr>
                <m:t>±</m:t>
              </m:r>
              <m:r>
                <m:t>5.6</m:t>
              </m:r>
            </m:oMath>
          </w:p>
        </w:tc>
        <w:tc>
          <w:tcPr/>
          <w:p>
            <w:pPr>
              <w:pStyle w:val="Compact"/>
              <w:jc w:val="left"/>
            </w:pPr>
            <m:oMath>
              <m:r>
                <m:t>47.1</m:t>
              </m:r>
              <m:r>
                <m:rPr>
                  <m:sty m:val="p"/>
                </m:rPr>
                <m:t>±</m:t>
              </m:r>
              <m:r>
                <m:t>4.3</m:t>
              </m:r>
            </m:oMath>
          </w:p>
        </w:tc>
        <w:tc>
          <w:tcPr/>
          <w:p>
            <w:pPr>
              <w:pStyle w:val="Compact"/>
              <w:jc w:val="left"/>
            </w:pPr>
            <m:oMath>
              <m:r>
                <m:t>44.7</m:t>
              </m:r>
              <m:r>
                <m:rPr>
                  <m:sty m:val="p"/>
                </m:rPr>
                <m:t>±</m:t>
              </m:r>
              <m:r>
                <m:t>6.3</m:t>
              </m:r>
            </m:oMath>
          </w:p>
        </w:tc>
        <w:tc>
          <w:tcPr/>
          <w:p>
            <w:pPr>
              <w:pStyle w:val="Compact"/>
              <w:jc w:val="left"/>
            </w:pPr>
            <m:oMath>
              <m:r>
                <m:t>38.8</m:t>
              </m:r>
              <m:r>
                <m:rPr>
                  <m:sty m:val="p"/>
                </m:rPr>
                <m:t>±</m:t>
              </m:r>
              <m:sSup>
                <m:e>
                  <m:r>
                    <m:t>8.7</m:t>
                  </m:r>
                </m:e>
                <m:sup>
                  <m:r>
                    <m:rPr>
                      <m:sty m:val="p"/>
                    </m:rPr>
                    <m:t>*</m:t>
                  </m:r>
                  <m:r>
                    <m:rPr>
                      <m:sty m:val="p"/>
                    </m:rPr>
                    <m:t>*</m:t>
                  </m:r>
                </m:sup>
              </m:sSup>
            </m:oMath>
          </w:p>
        </w:tc>
      </w:tr>
      <w:tr>
        <w:tc>
          <w:tcPr/>
          <w:p>
            <w:pPr>
              <w:pStyle w:val="Compact"/>
              <w:jc w:val="left"/>
            </w:pPr>
            <m:oMath>
              <m:r>
                <m:t>p</m:t>
              </m:r>
              <m:sSub>
                <m:e>
                  <m:r>
                    <m:t>O</m:t>
                  </m:r>
                </m:e>
                <m:sub>
                  <m:r>
                    <m:t>2</m:t>
                  </m:r>
                </m:sub>
              </m:sSub>
              <m:d>
                <m:dPr>
                  <m:begChr m:val="("/>
                  <m:endChr m:val=")"/>
                  <m:sepChr m:val=""/>
                  <m:grow/>
                </m:dPr>
                <m:e>
                  <m:r>
                    <m:t>m</m:t>
                  </m:r>
                  <m:r>
                    <m:t>m</m:t>
                  </m:r>
                  <m:r>
                    <m:t>H</m:t>
                  </m:r>
                  <m:r>
                    <m:t>g</m:t>
                  </m:r>
                </m:e>
              </m:d>
            </m:oMath>
          </w:p>
        </w:tc>
        <w:tc>
          <w:tcPr/>
          <w:p>
            <w:pPr>
              <w:pStyle w:val="Compact"/>
              <w:jc w:val="left"/>
            </w:pPr>
            <m:oMath>
              <m:r>
                <m:t>26.3</m:t>
              </m:r>
              <m:r>
                <m:rPr>
                  <m:sty m:val="p"/>
                </m:rPr>
                <m:t>±</m:t>
              </m:r>
              <m:r>
                <m:t>8.2</m:t>
              </m:r>
            </m:oMath>
          </w:p>
        </w:tc>
        <w:tc>
          <w:tcPr/>
          <w:p>
            <w:pPr>
              <w:pStyle w:val="Compact"/>
              <w:jc w:val="left"/>
            </w:pPr>
            <m:oMath>
              <m:r>
                <m:t>21.8</m:t>
              </m:r>
              <m:r>
                <m:rPr>
                  <m:sty m:val="p"/>
                </m:rPr>
                <m:t>±</m:t>
              </m:r>
              <m:r>
                <m:t>5.2</m:t>
              </m:r>
            </m:oMath>
          </w:p>
        </w:tc>
        <w:tc>
          <w:tcPr/>
          <w:p>
            <w:pPr>
              <w:pStyle w:val="Compact"/>
              <w:jc w:val="left"/>
            </w:pPr>
            <m:oMath>
              <m:r>
                <m:t>30.5</m:t>
              </m:r>
              <m:r>
                <m:rPr>
                  <m:sty m:val="p"/>
                </m:rPr>
                <m:t>±</m:t>
              </m:r>
              <m:r>
                <m:t>19.6</m:t>
              </m:r>
            </m:oMath>
          </w:p>
        </w:tc>
        <w:tc>
          <w:tcPr/>
          <w:p>
            <w:pPr>
              <w:pStyle w:val="Compact"/>
              <w:jc w:val="left"/>
            </w:pPr>
            <m:oMath>
              <m:r>
                <m:t>26.9</m:t>
              </m:r>
              <m:r>
                <m:rPr>
                  <m:sty m:val="p"/>
                </m:rPr>
                <m:t>±</m:t>
              </m:r>
              <m:r>
                <m:t>10.2</m:t>
              </m:r>
            </m:oMath>
          </w:p>
        </w:tc>
      </w:tr>
      <w:tr>
        <w:tc>
          <w:tcPr/>
          <w:p>
            <w:pPr>
              <w:pStyle w:val="Compact"/>
              <w:jc w:val="left"/>
            </w:pPr>
            <m:oMath>
              <m:r>
                <m:t>N</m:t>
              </m:r>
              <m:r>
                <m:t>a</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139.6</m:t>
              </m:r>
              <m:r>
                <m:rPr>
                  <m:sty m:val="p"/>
                </m:rPr>
                <m:t>±</m:t>
              </m:r>
              <m:r>
                <m:t>0.9</m:t>
              </m:r>
            </m:oMath>
          </w:p>
        </w:tc>
        <w:tc>
          <w:tcPr/>
          <w:p>
            <w:pPr>
              <w:pStyle w:val="Compact"/>
              <w:jc w:val="left"/>
            </w:pPr>
            <m:oMath>
              <m:r>
                <m:t>139.2</m:t>
              </m:r>
              <m:r>
                <m:rPr>
                  <m:sty m:val="p"/>
                </m:rPr>
                <m:t>±</m:t>
              </m:r>
              <m:r>
                <m:t>1.2</m:t>
              </m:r>
            </m:oMath>
          </w:p>
        </w:tc>
        <w:tc>
          <w:tcPr/>
          <w:p>
            <w:pPr>
              <w:pStyle w:val="Compact"/>
              <w:jc w:val="left"/>
            </w:pPr>
            <m:oMath>
              <m:r>
                <m:t>139.4</m:t>
              </m:r>
              <m:r>
                <m:rPr>
                  <m:sty m:val="p"/>
                </m:rPr>
                <m:t>±</m:t>
              </m:r>
              <m:r>
                <m:t>1.7</m:t>
              </m:r>
            </m:oMath>
          </w:p>
        </w:tc>
        <w:tc>
          <w:tcPr/>
          <w:p>
            <w:pPr>
              <w:pStyle w:val="Compact"/>
              <w:jc w:val="left"/>
            </w:pPr>
            <m:oMath>
              <m:r>
                <m:t>138.6</m:t>
              </m:r>
              <m:r>
                <m:rPr>
                  <m:sty m:val="p"/>
                </m:rPr>
                <m:t>±</m:t>
              </m:r>
              <m:r>
                <m:t>3.9</m:t>
              </m:r>
            </m:oMath>
          </w:p>
        </w:tc>
      </w:tr>
      <w:tr>
        <w:tc>
          <w:tcPr/>
          <w:p>
            <w:pPr>
              <w:pStyle w:val="Compact"/>
              <w:jc w:val="left"/>
            </w:pPr>
            <m:oMath>
              <m:r>
                <m:t>K</m:t>
              </m:r>
              <m:r>
                <m:rPr>
                  <m:sty m:val="p"/>
                </m:rPr>
                <m:t>+</m:t>
              </m:r>
              <m:d>
                <m:dPr>
                  <m:begChr m:val="("/>
                  <m:endChr m:val=")"/>
                  <m:sepChr m:val=""/>
                  <m:grow/>
                </m:dPr>
                <m:e>
                  <m:r>
                    <m:t>m</m:t>
                  </m:r>
                  <m:r>
                    <m:t>m</m:t>
                  </m:r>
                  <m:r>
                    <m:t>o</m:t>
                  </m:r>
                  <m:r>
                    <m:t>l</m:t>
                  </m:r>
                  <m:r>
                    <m:rPr>
                      <m:sty m:val="p"/>
                    </m:rPr>
                    <m:t>/</m:t>
                  </m:r>
                  <m:r>
                    <m:t>L</m:t>
                  </m:r>
                </m:e>
              </m:d>
            </m:oMath>
          </w:p>
        </w:tc>
        <w:tc>
          <w:tcPr/>
          <w:p>
            <w:pPr>
              <w:pStyle w:val="Compact"/>
              <w:jc w:val="left"/>
            </w:pPr>
            <m:oMath>
              <m:r>
                <m:t>4.09</m:t>
              </m:r>
              <m:r>
                <m:rPr>
                  <m:sty m:val="p"/>
                </m:rPr>
                <m:t>±</m:t>
              </m:r>
              <m:r>
                <m:t>0.12</m:t>
              </m:r>
            </m:oMath>
          </w:p>
        </w:tc>
        <w:tc>
          <w:tcPr/>
          <w:p>
            <w:pPr>
              <w:pStyle w:val="Compact"/>
              <w:jc w:val="left"/>
            </w:pPr>
            <m:oMath>
              <m:r>
                <m:t>4.28</m:t>
              </m:r>
              <m:r>
                <m:rPr>
                  <m:sty m:val="p"/>
                </m:rPr>
                <m:t>±</m:t>
              </m:r>
              <m:r>
                <m:t>0.28</m:t>
              </m:r>
            </m:oMath>
          </w:p>
        </w:tc>
        <w:tc>
          <w:tcPr/>
          <w:p>
            <w:pPr>
              <w:pStyle w:val="Compact"/>
              <w:jc w:val="left"/>
            </w:pPr>
            <m:oMath>
              <m:r>
                <m:t>4.28</m:t>
              </m:r>
              <m:r>
                <m:rPr>
                  <m:sty m:val="p"/>
                </m:rPr>
                <m:t>±</m:t>
              </m:r>
              <m:r>
                <m:t>0.44</m:t>
              </m:r>
            </m:oMath>
          </w:p>
        </w:tc>
        <w:tc>
          <w:tcPr/>
          <w:p>
            <w:pPr>
              <w:pStyle w:val="Compact"/>
              <w:jc w:val="left"/>
            </w:pPr>
            <m:oMath>
              <m:r>
                <m:t>4.29</m:t>
              </m:r>
              <m:r>
                <m:rPr>
                  <m:sty m:val="p"/>
                </m:rPr>
                <m:t>±</m:t>
              </m:r>
              <m:r>
                <m:t>0.27</m:t>
              </m:r>
            </m:oMath>
          </w:p>
        </w:tc>
      </w:tr>
      <w:tr>
        <w:tc>
          <w:tcPr/>
          <w:p>
            <w:pPr>
              <w:pStyle w:val="Compact"/>
              <w:jc w:val="left"/>
            </w:pPr>
            <m:oMath>
              <m:r>
                <m:t>C</m:t>
              </m:r>
              <m:r>
                <m:t>l</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106.9</m:t>
              </m:r>
              <m:r>
                <m:rPr>
                  <m:sty m:val="p"/>
                </m:rPr>
                <m:t>±</m:t>
              </m:r>
              <m:r>
                <m:t>1.5</m:t>
              </m:r>
            </m:oMath>
          </w:p>
        </w:tc>
        <w:tc>
          <w:tcPr/>
          <w:p>
            <w:pPr>
              <w:pStyle w:val="Compact"/>
              <w:jc w:val="left"/>
            </w:pPr>
            <m:oMath>
              <m:r>
                <m:t>107.4</m:t>
              </m:r>
              <m:r>
                <m:rPr>
                  <m:sty m:val="p"/>
                </m:rPr>
                <m:t>±</m:t>
              </m:r>
              <m:r>
                <m:t>1.3</m:t>
              </m:r>
            </m:oMath>
          </w:p>
        </w:tc>
        <w:tc>
          <w:tcPr/>
          <w:p>
            <w:pPr>
              <w:pStyle w:val="Compact"/>
              <w:jc w:val="left"/>
            </w:pPr>
            <m:oMath>
              <m:r>
                <m:t>105.1</m:t>
              </m:r>
              <m:r>
                <m:rPr>
                  <m:sty m:val="p"/>
                </m:rPr>
                <m:t>±</m:t>
              </m:r>
              <m:sSup>
                <m:e>
                  <m:r>
                    <m:t>1.7</m:t>
                  </m:r>
                </m:e>
                <m:sup>
                  <m:r>
                    <m:rPr>
                      <m:sty m:val="p"/>
                    </m:rPr>
                    <m:t>*</m:t>
                  </m:r>
                </m:sup>
              </m:sSup>
            </m:oMath>
          </w:p>
        </w:tc>
        <w:tc>
          <w:tcPr/>
          <w:p>
            <w:pPr>
              <w:pStyle w:val="Compact"/>
              <w:jc w:val="left"/>
            </w:pPr>
            <m:oMath>
              <m:r>
                <m:t>106.4</m:t>
              </m:r>
              <m:r>
                <m:rPr>
                  <m:sty m:val="p"/>
                </m:rPr>
                <m:t>±</m:t>
              </m:r>
              <m:r>
                <m:t>3.4</m:t>
              </m:r>
            </m:oMath>
          </w:p>
        </w:tc>
      </w:tr>
      <w:tr>
        <w:tc>
          <w:tcPr/>
          <w:p>
            <w:pPr>
              <w:pStyle w:val="Compact"/>
              <w:jc w:val="left"/>
            </w:pPr>
            <m:oMath>
              <m:r>
                <m:t>H</m:t>
              </m:r>
              <m:r>
                <m:t>C</m:t>
              </m:r>
              <m:sSubSup>
                <m:e>
                  <m:r>
                    <m:t>O</m:t>
                  </m:r>
                </m:e>
                <m:sub>
                  <m:r>
                    <m:t>3</m:t>
                  </m:r>
                </m:sub>
                <m:sup>
                  <m:r>
                    <m:rPr>
                      <m:sty m:val="p"/>
                    </m:rPr>
                    <m:t>−</m:t>
                  </m:r>
                </m:sup>
              </m:sSubSup>
              <m:d>
                <m:dPr>
                  <m:begChr m:val="("/>
                  <m:endChr m:val=")"/>
                  <m:sepChr m:val=""/>
                  <m:grow/>
                </m:dPr>
                <m:e>
                  <m:r>
                    <m:t>m</m:t>
                  </m:r>
                  <m:r>
                    <m:t>m</m:t>
                  </m:r>
                  <m:r>
                    <m:t>o</m:t>
                  </m:r>
                  <m:r>
                    <m:t>l</m:t>
                  </m:r>
                  <m:r>
                    <m:rPr>
                      <m:sty m:val="p"/>
                    </m:rPr>
                    <m:t>/</m:t>
                  </m:r>
                  <m:r>
                    <m:t>L</m:t>
                  </m:r>
                </m:e>
              </m:d>
            </m:oMath>
          </w:p>
        </w:tc>
        <w:tc>
          <w:tcPr/>
          <w:p>
            <w:pPr>
              <w:pStyle w:val="Compact"/>
              <w:jc w:val="left"/>
            </w:pPr>
            <m:oMath>
              <m:r>
                <m:t>28.4</m:t>
              </m:r>
              <m:r>
                <m:rPr>
                  <m:sty m:val="p"/>
                </m:rPr>
                <m:t>±</m:t>
              </m:r>
              <m:r>
                <m:t>2.1</m:t>
              </m:r>
            </m:oMath>
          </w:p>
        </w:tc>
        <w:tc>
          <w:tcPr/>
          <w:p>
            <w:pPr>
              <w:pStyle w:val="Compact"/>
              <w:jc w:val="left"/>
            </w:pPr>
            <m:oMath>
              <m:r>
                <m:t>28.9</m:t>
              </m:r>
              <m:r>
                <m:rPr>
                  <m:sty m:val="p"/>
                </m:rPr>
                <m:t>±</m:t>
              </m:r>
              <m:r>
                <m:t>2.2</m:t>
              </m:r>
            </m:oMath>
          </w:p>
        </w:tc>
        <w:tc>
          <w:tcPr/>
          <w:p>
            <w:pPr>
              <w:pStyle w:val="Compact"/>
              <w:jc w:val="left"/>
            </w:pPr>
            <m:oMath>
              <m:r>
                <m:t>25.8</m:t>
              </m:r>
              <m:r>
                <m:rPr>
                  <m:sty m:val="p"/>
                </m:rPr>
                <m:t>±</m:t>
              </m:r>
              <m:sSup>
                <m:e>
                  <m:r>
                    <m:t>1.9</m:t>
                  </m:r>
                </m:e>
                <m:sup>
                  <m:r>
                    <m:rPr>
                      <m:sty m:val="p"/>
                    </m:rPr>
                    <m:t>*</m:t>
                  </m:r>
                </m:sup>
              </m:sSup>
            </m:oMath>
          </w:p>
        </w:tc>
        <w:tc>
          <w:tcPr/>
          <w:p>
            <w:pPr>
              <w:pStyle w:val="Compact"/>
              <w:jc w:val="left"/>
            </w:pPr>
            <m:oMath>
              <m:r>
                <m:t>23.2</m:t>
              </m:r>
              <m:r>
                <m:rPr>
                  <m:sty m:val="p"/>
                </m:rPr>
                <m:t>±</m:t>
              </m:r>
              <m:sSup>
                <m:e>
                  <m:r>
                    <m:t>4.6</m:t>
                  </m:r>
                </m:e>
                <m:sup>
                  <m:r>
                    <m:rPr>
                      <m:sty m:val="p"/>
                    </m:rPr>
                    <m:t>*</m:t>
                  </m:r>
                </m:sup>
              </m:sSup>
            </m:oMath>
          </w:p>
        </w:tc>
      </w:tr>
    </w:tbl>
    <w:p/>
    <w:p>
      <w:pPr>
        <w:pStyle w:val="TableCaption"/>
      </w:pPr>
      <w:r>
        <w:t xml:space="preserve">Metabolite concentrations for hyperbaric group from pre, post, day 10 and final blood draws. Signifigance denoted by (* &lt; 0.05), (** &lt; 0.001)</w:t>
      </w:r>
    </w:p>
    <w:tbl>
      <w:tblPr>
        <w:tblStyle w:val="Table"/>
        <w:tblW w:type="pct" w:w="5000"/>
        <w:tblLook w:firstRow="1" w:lastRow="0" w:firstColumn="0" w:lastColumn="0" w:noHBand="0" w:noVBand="0" w:val="0020"/>
        <w:tblCaption w:val="Metabolite concentrations for hyperbaric group from pre, post, day 10 and final blood draws. Signifigance denoted by (* &lt; 0.05), (** &lt; 0.001)"/>
      </w:tblPr>
      <w:tblGrid>
        <w:gridCol w:w="1365"/>
        <w:gridCol w:w="1570"/>
        <w:gridCol w:w="1638"/>
        <w:gridCol w:w="1706"/>
        <w:gridCol w:w="1638"/>
      </w:tblGrid>
      <w:tr>
        <w:trPr>
          <w:tblHeader w:val="true"/>
        </w:trPr>
        <w:tc>
          <w:tcPr/>
          <w:p>
            <w:pPr>
              <w:pStyle w:val="Compact"/>
              <w:jc w:val="left"/>
            </w:pPr>
            <w:r>
              <w:t xml:space="preserve">Metabolite</w:t>
            </w:r>
          </w:p>
        </w:tc>
        <w:tc>
          <w:tcPr/>
          <w:p>
            <w:pPr>
              <w:pStyle w:val="Compact"/>
              <w:jc w:val="left"/>
            </w:pPr>
            <w:r>
              <w:t xml:space="preserve">Pre (n=11)</w:t>
            </w:r>
          </w:p>
        </w:tc>
        <w:tc>
          <w:tcPr/>
          <w:p>
            <w:pPr>
              <w:pStyle w:val="Compact"/>
              <w:jc w:val="left"/>
            </w:pPr>
            <w:r>
              <w:t xml:space="preserve">Post (n=11)</w:t>
            </w:r>
          </w:p>
        </w:tc>
        <w:tc>
          <w:tcPr/>
          <w:p>
            <w:pPr>
              <w:pStyle w:val="Compact"/>
              <w:jc w:val="left"/>
            </w:pPr>
            <w:r>
              <w:t xml:space="preserve">Day 10 (n=11)</w:t>
            </w:r>
          </w:p>
        </w:tc>
        <w:tc>
          <w:tcPr/>
          <w:p>
            <w:pPr>
              <w:pStyle w:val="Compact"/>
              <w:jc w:val="left"/>
            </w:pPr>
            <w:r>
              <w:t xml:space="preserve">Final (n=11)</w:t>
            </w:r>
          </w:p>
        </w:tc>
      </w:tr>
      <w:tr>
        <w:tc>
          <w:tcPr/>
          <w:p>
            <w:pPr>
              <w:pStyle w:val="Compact"/>
              <w:jc w:val="left"/>
            </w:pPr>
            <m:oMath>
              <m:r>
                <m:t>p</m:t>
              </m:r>
              <m:r>
                <m:t>H</m:t>
              </m:r>
            </m:oMath>
          </w:p>
        </w:tc>
        <w:tc>
          <w:tcPr/>
          <w:p>
            <w:pPr>
              <w:pStyle w:val="Compact"/>
              <w:jc w:val="left"/>
            </w:pPr>
            <m:oMath>
              <m:r>
                <m:t>7.384</m:t>
              </m:r>
              <m:r>
                <m:rPr>
                  <m:sty m:val="p"/>
                </m:rPr>
                <m:t>±</m:t>
              </m:r>
              <m:r>
                <m:t>0.033</m:t>
              </m:r>
            </m:oMath>
          </w:p>
        </w:tc>
        <w:tc>
          <w:tcPr/>
          <w:p>
            <w:pPr>
              <w:pStyle w:val="Compact"/>
              <w:jc w:val="left"/>
            </w:pPr>
            <m:oMath>
              <m:r>
                <m:t>7.408</m:t>
              </m:r>
              <m:r>
                <m:rPr>
                  <m:sty m:val="p"/>
                </m:rPr>
                <m:t>±</m:t>
              </m:r>
              <m:r>
                <m:t>0.029</m:t>
              </m:r>
            </m:oMath>
          </w:p>
        </w:tc>
        <w:tc>
          <w:tcPr/>
          <w:p>
            <w:pPr>
              <w:pStyle w:val="Compact"/>
              <w:jc w:val="left"/>
            </w:pPr>
            <m:oMath>
              <m:r>
                <m:t>7.387</m:t>
              </m:r>
              <m:r>
                <m:rPr>
                  <m:sty m:val="p"/>
                </m:rPr>
                <m:t>±</m:t>
              </m:r>
              <m:r>
                <m:t>0.049</m:t>
              </m:r>
            </m:oMath>
            <w:r>
              <w:t xml:space="preserve"> </w:t>
            </w:r>
            <w:r>
              <w:t xml:space="preserve">(n=8)</w:t>
            </w:r>
          </w:p>
        </w:tc>
        <w:tc>
          <w:tcPr/>
          <w:p>
            <w:pPr>
              <w:pStyle w:val="Compact"/>
              <w:jc w:val="left"/>
            </w:pPr>
            <m:oMath>
              <m:r>
                <m:t>7.387</m:t>
              </m:r>
              <m:r>
                <m:rPr>
                  <m:sty m:val="p"/>
                </m:rPr>
                <m:t>±</m:t>
              </m:r>
              <m:r>
                <m:t>0.037</m:t>
              </m:r>
            </m:oMath>
          </w:p>
        </w:tc>
      </w:tr>
      <w:tr>
        <w:tc>
          <w:tcPr/>
          <w:p>
            <w:pPr>
              <w:pStyle w:val="Compact"/>
              <w:jc w:val="left"/>
            </w:pPr>
            <m:oMath>
              <m:r>
                <m:t>p</m:t>
              </m:r>
              <m:r>
                <m:t>C</m:t>
              </m:r>
              <m:sSub>
                <m:e>
                  <m:r>
                    <m:t>O</m:t>
                  </m:r>
                </m:e>
                <m:sub>
                  <m:r>
                    <m:t>2</m:t>
                  </m:r>
                </m:sub>
              </m:sSub>
              <m:d>
                <m:dPr>
                  <m:begChr m:val="("/>
                  <m:endChr m:val=")"/>
                  <m:sepChr m:val=""/>
                  <m:grow/>
                </m:dPr>
                <m:e>
                  <m:r>
                    <m:t>m</m:t>
                  </m:r>
                  <m:r>
                    <m:t>m</m:t>
                  </m:r>
                  <m:r>
                    <m:t>H</m:t>
                  </m:r>
                  <m:r>
                    <m:t>g</m:t>
                  </m:r>
                </m:e>
              </m:d>
            </m:oMath>
          </w:p>
        </w:tc>
        <w:tc>
          <w:tcPr/>
          <w:p>
            <w:pPr>
              <w:pStyle w:val="Compact"/>
              <w:jc w:val="left"/>
            </w:pPr>
            <m:oMath>
              <m:r>
                <m:t>35.8</m:t>
              </m:r>
              <m:r>
                <m:rPr>
                  <m:sty m:val="p"/>
                </m:rPr>
                <m:t>±</m:t>
              </m:r>
              <m:r>
                <m:t>6.8</m:t>
              </m:r>
            </m:oMath>
          </w:p>
        </w:tc>
        <w:tc>
          <w:tcPr/>
          <w:p>
            <w:pPr>
              <w:pStyle w:val="Compact"/>
              <w:jc w:val="left"/>
            </w:pPr>
            <m:oMath>
              <m:r>
                <m:t>34.5</m:t>
              </m:r>
              <m:r>
                <m:rPr>
                  <m:sty m:val="p"/>
                </m:rPr>
                <m:t>±</m:t>
              </m:r>
              <m:r>
                <m:t>4.5</m:t>
              </m:r>
            </m:oMath>
          </w:p>
        </w:tc>
        <w:tc>
          <w:tcPr/>
          <w:p>
            <w:pPr>
              <w:pStyle w:val="Compact"/>
              <w:jc w:val="left"/>
            </w:pPr>
            <m:oMath>
              <m:r>
                <m:t>36.6</m:t>
              </m:r>
              <m:r>
                <m:rPr>
                  <m:sty m:val="p"/>
                </m:rPr>
                <m:t>±</m:t>
              </m:r>
              <m:r>
                <m:t>10.2</m:t>
              </m:r>
            </m:oMath>
            <w:r>
              <w:t xml:space="preserve"> </w:t>
            </w:r>
            <w:r>
              <w:t xml:space="preserve">(n=8)</w:t>
            </w:r>
          </w:p>
        </w:tc>
        <w:tc>
          <w:tcPr/>
          <w:p>
            <w:pPr>
              <w:pStyle w:val="Compact"/>
              <w:jc w:val="left"/>
            </w:pPr>
            <m:oMath>
              <m:r>
                <m:t>39.3</m:t>
              </m:r>
              <m:r>
                <m:rPr>
                  <m:sty m:val="p"/>
                </m:rPr>
                <m:t>±</m:t>
              </m:r>
              <m:r>
                <m:t>10.0</m:t>
              </m:r>
            </m:oMath>
          </w:p>
        </w:tc>
      </w:tr>
      <w:tr>
        <w:tc>
          <w:tcPr/>
          <w:p>
            <w:pPr>
              <w:pStyle w:val="Compact"/>
              <w:jc w:val="left"/>
            </w:pPr>
            <m:oMath>
              <m:r>
                <m:t>p</m:t>
              </m:r>
              <m:sSub>
                <m:e>
                  <m:r>
                    <m:t>O</m:t>
                  </m:r>
                </m:e>
                <m:sub>
                  <m:r>
                    <m:t>2</m:t>
                  </m:r>
                </m:sub>
              </m:sSub>
              <m:d>
                <m:dPr>
                  <m:begChr m:val="("/>
                  <m:endChr m:val=")"/>
                  <m:sepChr m:val=""/>
                  <m:grow/>
                </m:dPr>
                <m:e>
                  <m:r>
                    <m:t>m</m:t>
                  </m:r>
                  <m:r>
                    <m:t>m</m:t>
                  </m:r>
                  <m:r>
                    <m:t>H</m:t>
                  </m:r>
                  <m:r>
                    <m:t>g</m:t>
                  </m:r>
                </m:e>
              </m:d>
            </m:oMath>
          </w:p>
        </w:tc>
        <w:tc>
          <w:tcPr/>
          <w:p>
            <w:pPr>
              <w:pStyle w:val="Compact"/>
              <w:jc w:val="left"/>
            </w:pPr>
            <m:oMath>
              <m:r>
                <m:t>42.9</m:t>
              </m:r>
              <m:r>
                <m:rPr>
                  <m:sty m:val="p"/>
                </m:rPr>
                <m:t>±</m:t>
              </m:r>
              <m:r>
                <m:t>22.9</m:t>
              </m:r>
            </m:oMath>
            <w:r>
              <w:t xml:space="preserve"> </w:t>
            </w:r>
            <w:r>
              <w:t xml:space="preserve">(n=8)</w:t>
            </w:r>
          </w:p>
        </w:tc>
        <w:tc>
          <w:tcPr/>
          <w:p>
            <w:pPr>
              <w:pStyle w:val="Compact"/>
              <w:jc w:val="left"/>
            </w:pPr>
            <m:oMath>
              <m:r>
                <m:t>25.7</m:t>
              </m:r>
              <m:r>
                <m:rPr>
                  <m:sty m:val="p"/>
                </m:rPr>
                <m:t>±</m:t>
              </m:r>
              <m:r>
                <m:t>6.6</m:t>
              </m:r>
            </m:oMath>
            <w:r>
              <w:t xml:space="preserve"> </w:t>
            </w:r>
            <w:r>
              <w:t xml:space="preserve">(n=7)</w:t>
            </w:r>
          </w:p>
        </w:tc>
        <w:tc>
          <w:tcPr/>
          <w:p>
            <w:pPr>
              <w:pStyle w:val="Compact"/>
              <w:jc w:val="left"/>
            </w:pPr>
            <m:oMath>
              <m:r>
                <m:t>41.6</m:t>
              </m:r>
              <m:r>
                <m:rPr>
                  <m:sty m:val="p"/>
                </m:rPr>
                <m:t>±</m:t>
              </m:r>
              <m:r>
                <m:t>37.4</m:t>
              </m:r>
            </m:oMath>
            <w:r>
              <w:t xml:space="preserve"> </w:t>
            </w:r>
            <w:r>
              <w:t xml:space="preserve">(n=10)</w:t>
            </w:r>
          </w:p>
        </w:tc>
        <w:tc>
          <w:tcPr/>
          <w:p>
            <w:pPr>
              <w:pStyle w:val="Compact"/>
              <w:jc w:val="left"/>
            </w:pPr>
            <m:oMath>
              <m:r>
                <m:t>43.8</m:t>
              </m:r>
              <m:r>
                <m:rPr>
                  <m:sty m:val="p"/>
                </m:rPr>
                <m:t>±</m:t>
              </m:r>
              <m:r>
                <m:t>31.8</m:t>
              </m:r>
            </m:oMath>
          </w:p>
        </w:tc>
      </w:tr>
      <w:tr>
        <w:tc>
          <w:tcPr/>
          <w:p>
            <w:pPr>
              <w:pStyle w:val="Compact"/>
              <w:jc w:val="left"/>
            </w:pPr>
            <m:oMath>
              <m:r>
                <m:t>N</m:t>
              </m:r>
              <m:r>
                <m:t>a</m:t>
              </m:r>
              <m:d>
                <m:dPr>
                  <m:begChr m:val="("/>
                  <m:endChr m:val=")"/>
                  <m:sepChr m:val=""/>
                  <m:grow/>
                </m:dPr>
                <m:e>
                  <m:r>
                    <m:t>m</m:t>
                  </m:r>
                  <m:r>
                    <m:t>m</m:t>
                  </m:r>
                  <m:r>
                    <m:t>o</m:t>
                  </m:r>
                  <m:r>
                    <m:t>l</m:t>
                  </m:r>
                  <m:r>
                    <m:rPr>
                      <m:sty m:val="p"/>
                    </m:rPr>
                    <m:t>/</m:t>
                  </m:r>
                  <m:r>
                    <m:t>L</m:t>
                  </m:r>
                </m:e>
              </m:d>
            </m:oMath>
          </w:p>
        </w:tc>
        <w:tc>
          <w:tcPr/>
          <w:p>
            <w:pPr>
              <w:pStyle w:val="Compact"/>
              <w:jc w:val="left"/>
            </w:pPr>
            <m:oMath>
              <m:r>
                <m:t>134.0</m:t>
              </m:r>
              <m:r>
                <m:rPr>
                  <m:sty m:val="p"/>
                </m:rPr>
                <m:t>±</m:t>
              </m:r>
              <m:r>
                <m:t>1.2</m:t>
              </m:r>
            </m:oMath>
          </w:p>
        </w:tc>
        <w:tc>
          <w:tcPr/>
          <w:p>
            <w:pPr>
              <w:pStyle w:val="Compact"/>
              <w:jc w:val="left"/>
            </w:pPr>
            <m:oMath>
              <m:r>
                <m:t>139.7</m:t>
              </m:r>
              <m:r>
                <m:rPr>
                  <m:sty m:val="p"/>
                </m:rPr>
                <m:t>±</m:t>
              </m:r>
              <m:r>
                <m:t>1.3</m:t>
              </m:r>
            </m:oMath>
          </w:p>
        </w:tc>
        <w:tc>
          <w:tcPr/>
          <w:p>
            <w:pPr>
              <w:pStyle w:val="Compact"/>
              <w:jc w:val="left"/>
            </w:pPr>
            <m:oMath>
              <m:r>
                <m:t>139.2</m:t>
              </m:r>
              <m:r>
                <m:rPr>
                  <m:sty m:val="p"/>
                </m:rPr>
                <m:t>±</m:t>
              </m:r>
              <m:r>
                <m:t>1.2</m:t>
              </m:r>
            </m:oMath>
          </w:p>
        </w:tc>
        <w:tc>
          <w:tcPr/>
          <w:p>
            <w:pPr>
              <w:pStyle w:val="Compact"/>
              <w:jc w:val="left"/>
            </w:pPr>
            <m:oMath>
              <m:r>
                <m:t>139.4</m:t>
              </m:r>
              <m:r>
                <m:rPr>
                  <m:sty m:val="p"/>
                </m:rPr>
                <m:t>±</m:t>
              </m:r>
              <m:r>
                <m:t>1.3</m:t>
              </m:r>
            </m:oMath>
          </w:p>
        </w:tc>
      </w:tr>
      <w:tr>
        <w:tc>
          <w:tcPr/>
          <w:p>
            <w:pPr>
              <w:pStyle w:val="Compact"/>
              <w:jc w:val="left"/>
            </w:pPr>
            <m:oMath>
              <m:r>
                <m:t>K</m:t>
              </m:r>
              <m:r>
                <m:rPr>
                  <m:sty m:val="p"/>
                </m:rPr>
                <m:t>+</m:t>
              </m:r>
              <m:d>
                <m:dPr>
                  <m:begChr m:val="("/>
                  <m:endChr m:val=")"/>
                  <m:sepChr m:val=""/>
                  <m:grow/>
                </m:dPr>
                <m:e>
                  <m:r>
                    <m:t>m</m:t>
                  </m:r>
                  <m:r>
                    <m:t>m</m:t>
                  </m:r>
                  <m:r>
                    <m:t>o</m:t>
                  </m:r>
                  <m:r>
                    <m:t>l</m:t>
                  </m:r>
                  <m:r>
                    <m:rPr>
                      <m:sty m:val="p"/>
                    </m:rPr>
                    <m:t>/</m:t>
                  </m:r>
                  <m:r>
                    <m:t>L</m:t>
                  </m:r>
                </m:e>
              </m:d>
            </m:oMath>
          </w:p>
        </w:tc>
        <w:tc>
          <w:tcPr/>
          <w:p>
            <w:pPr>
              <w:pStyle w:val="Compact"/>
              <w:jc w:val="left"/>
            </w:pPr>
            <m:oMath>
              <m:r>
                <m:t>4.19</m:t>
              </m:r>
              <m:r>
                <m:rPr>
                  <m:sty m:val="p"/>
                </m:rPr>
                <m:t>±</m:t>
              </m:r>
              <m:r>
                <m:t>0.26</m:t>
              </m:r>
            </m:oMath>
          </w:p>
        </w:tc>
        <w:tc>
          <w:tcPr/>
          <w:p>
            <w:pPr>
              <w:pStyle w:val="Compact"/>
              <w:jc w:val="left"/>
            </w:pPr>
            <m:oMath>
              <m:r>
                <m:t>4.55</m:t>
              </m:r>
              <m:r>
                <m:rPr>
                  <m:sty m:val="p"/>
                </m:rPr>
                <m:t>±</m:t>
              </m:r>
              <m:sSup>
                <m:e>
                  <m:r>
                    <m:t>0.27</m:t>
                  </m:r>
                </m:e>
                <m:sup>
                  <m:r>
                    <m:rPr>
                      <m:sty m:val="p"/>
                    </m:rPr>
                    <m:t>*</m:t>
                  </m:r>
                </m:sup>
              </m:sSup>
            </m:oMath>
          </w:p>
        </w:tc>
        <w:tc>
          <w:tcPr/>
          <w:p>
            <w:pPr>
              <w:pStyle w:val="Compact"/>
              <w:jc w:val="left"/>
            </w:pPr>
            <m:oMath>
              <m:r>
                <m:t>4.15</m:t>
              </m:r>
              <m:r>
                <m:rPr>
                  <m:sty m:val="p"/>
                </m:rPr>
                <m:t>±</m:t>
              </m:r>
              <m:r>
                <m:t>0.24</m:t>
              </m:r>
            </m:oMath>
          </w:p>
        </w:tc>
        <w:tc>
          <w:tcPr/>
          <w:p>
            <w:pPr>
              <w:pStyle w:val="Compact"/>
              <w:jc w:val="left"/>
            </w:pPr>
            <m:oMath>
              <m:r>
                <m:t>4.23</m:t>
              </m:r>
              <m:r>
                <m:rPr>
                  <m:sty m:val="p"/>
                </m:rPr>
                <m:t>±</m:t>
              </m:r>
              <m:r>
                <m:t>0.25</m:t>
              </m:r>
            </m:oMath>
          </w:p>
        </w:tc>
      </w:tr>
      <w:tr>
        <w:tc>
          <w:tcPr/>
          <w:p>
            <w:pPr>
              <w:pStyle w:val="Compact"/>
              <w:jc w:val="left"/>
            </w:pPr>
            <m:oMath>
              <m:r>
                <m:t>C</m:t>
              </m:r>
              <m:r>
                <m:t>l</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106.5</m:t>
              </m:r>
              <m:r>
                <m:rPr>
                  <m:sty m:val="p"/>
                </m:rPr>
                <m:t>±</m:t>
              </m:r>
              <m:r>
                <m:t>1.6</m:t>
              </m:r>
            </m:oMath>
          </w:p>
        </w:tc>
        <w:tc>
          <w:tcPr/>
          <w:p>
            <w:pPr>
              <w:pStyle w:val="Compact"/>
              <w:jc w:val="left"/>
            </w:pPr>
            <m:oMath>
              <m:r>
                <m:t>106.4</m:t>
              </m:r>
              <m:r>
                <m:rPr>
                  <m:sty m:val="p"/>
                </m:rPr>
                <m:t>±</m:t>
              </m:r>
              <m:r>
                <m:t>1.7</m:t>
              </m:r>
            </m:oMath>
          </w:p>
        </w:tc>
        <w:tc>
          <w:tcPr/>
          <w:p>
            <w:pPr>
              <w:pStyle w:val="Compact"/>
              <w:jc w:val="left"/>
            </w:pPr>
            <m:oMath>
              <m:r>
                <m:t>106.2</m:t>
              </m:r>
              <m:r>
                <m:rPr>
                  <m:sty m:val="p"/>
                </m:rPr>
                <m:t>±</m:t>
              </m:r>
              <m:r>
                <m:t>2.0</m:t>
              </m:r>
            </m:oMath>
          </w:p>
        </w:tc>
        <w:tc>
          <w:tcPr/>
          <w:p>
            <w:pPr>
              <w:pStyle w:val="Compact"/>
              <w:jc w:val="left"/>
            </w:pPr>
            <m:oMath>
              <m:r>
                <m:t>106.2</m:t>
              </m:r>
              <m:r>
                <m:rPr>
                  <m:sty m:val="p"/>
                </m:rPr>
                <m:t>±</m:t>
              </m:r>
              <m:r>
                <m:t>2.0</m:t>
              </m:r>
            </m:oMath>
          </w:p>
        </w:tc>
      </w:tr>
      <w:tr>
        <w:tc>
          <w:tcPr/>
          <w:p>
            <w:pPr>
              <w:pStyle w:val="Compact"/>
              <w:jc w:val="left"/>
            </w:pPr>
            <m:oMath>
              <m:r>
                <m:t>H</m:t>
              </m:r>
              <m:r>
                <m:t>C</m:t>
              </m:r>
              <m:sSubSup>
                <m:e>
                  <m:r>
                    <m:t>O</m:t>
                  </m:r>
                </m:e>
                <m:sub>
                  <m:r>
                    <m:t>3</m:t>
                  </m:r>
                </m:sub>
                <m:sup>
                  <m:r>
                    <m:rPr>
                      <m:sty m:val="p"/>
                    </m:rPr>
                    <m:t>−</m:t>
                  </m:r>
                </m:sup>
              </m:sSubSup>
              <m:d>
                <m:dPr>
                  <m:begChr m:val="("/>
                  <m:endChr m:val=")"/>
                  <m:sepChr m:val=""/>
                  <m:grow/>
                </m:dPr>
                <m:e>
                  <m:r>
                    <m:t>m</m:t>
                  </m:r>
                  <m:r>
                    <m:t>m</m:t>
                  </m:r>
                  <m:r>
                    <m:t>o</m:t>
                  </m:r>
                  <m:r>
                    <m:t>l</m:t>
                  </m:r>
                  <m:r>
                    <m:rPr>
                      <m:sty m:val="p"/>
                    </m:rPr>
                    <m:t>/</m:t>
                  </m:r>
                  <m:r>
                    <m:t>L</m:t>
                  </m:r>
                </m:e>
              </m:d>
            </m:oMath>
          </w:p>
        </w:tc>
        <w:tc>
          <w:tcPr/>
          <w:p>
            <w:pPr>
              <w:pStyle w:val="Compact"/>
              <w:jc w:val="left"/>
            </w:pPr>
            <m:oMath>
              <m:r>
                <m:t>21.5</m:t>
              </m:r>
              <m:r>
                <m:rPr>
                  <m:sty m:val="p"/>
                </m:rPr>
                <m:t>±</m:t>
              </m:r>
              <m:r>
                <m:t>3.3</m:t>
              </m:r>
            </m:oMath>
          </w:p>
        </w:tc>
        <w:tc>
          <w:tcPr/>
          <w:p>
            <w:pPr>
              <w:pStyle w:val="Compact"/>
              <w:jc w:val="left"/>
            </w:pPr>
            <m:oMath>
              <m:r>
                <m:t>22.0</m:t>
              </m:r>
              <m:r>
                <m:rPr>
                  <m:sty m:val="p"/>
                </m:rPr>
                <m:t>±</m:t>
              </m:r>
              <m:r>
                <m:t>2.6</m:t>
              </m:r>
            </m:oMath>
          </w:p>
        </w:tc>
        <w:tc>
          <w:tcPr/>
          <w:p>
            <w:pPr>
              <w:pStyle w:val="Compact"/>
              <w:jc w:val="left"/>
            </w:pPr>
            <m:oMath>
              <m:r>
                <m:t>22.1</m:t>
              </m:r>
              <m:r>
                <m:rPr>
                  <m:sty m:val="p"/>
                </m:rPr>
                <m:t>±</m:t>
              </m:r>
              <m:r>
                <m:t>4.0</m:t>
              </m:r>
            </m:oMath>
          </w:p>
        </w:tc>
        <w:tc>
          <w:tcPr/>
          <w:p>
            <w:pPr>
              <w:pStyle w:val="Compact"/>
              <w:jc w:val="left"/>
            </w:pPr>
            <m:oMath>
              <m:r>
                <m:t>23.5</m:t>
              </m:r>
              <m:r>
                <m:rPr>
                  <m:sty m:val="p"/>
                </m:rPr>
                <m:t>±</m:t>
              </m:r>
              <m:r>
                <m:t>4.4</m:t>
              </m:r>
            </m:oMath>
          </w:p>
        </w:tc>
      </w:tr>
    </w:tbl>
    <w:p>
      <w:pPr>
        <w:pStyle w:val="CaptionedFigure"/>
      </w:pPr>
      <w:r>
        <w:drawing>
          <wp:inline>
            <wp:extent cx="5334000" cy="5811837"/>
            <wp:effectExtent b="0" l="0" r="0" t="0"/>
            <wp:docPr descr="Figure 2. Signifigant acute increase in plasma potassium concentration before and after treatment in the hyperbaric group." title="" id="27" name="Picture"/>
            <a:graphic>
              <a:graphicData uri="http://schemas.openxmlformats.org/drawingml/2006/picture">
                <pic:pic>
                  <pic:nvPicPr>
                    <pic:cNvPr descr="..\Figures\hyper_K+.jpg" id="28" name="Picture"/>
                    <pic:cNvPicPr>
                      <a:picLocks noChangeArrowheads="1" noChangeAspect="1"/>
                    </pic:cNvPicPr>
                  </pic:nvPicPr>
                  <pic:blipFill>
                    <a:blip r:embed="rId26"/>
                    <a:stretch>
                      <a:fillRect/>
                    </a:stretch>
                  </pic:blipFill>
                  <pic:spPr bwMode="auto">
                    <a:xfrm>
                      <a:off x="0" y="0"/>
                      <a:ext cx="5334000" cy="5811837"/>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Signifigant acute increase in plasma potassium concentration before and after treatment in the hyperbaric group.</w:t>
      </w:r>
    </w:p>
    <w:p>
      <w:pPr>
        <w:pStyle w:val="CaptionedFigure"/>
      </w:pPr>
      <w:r>
        <w:drawing>
          <wp:inline>
            <wp:extent cx="5334000" cy="5767387"/>
            <wp:effectExtent b="0" l="0" r="0" t="0"/>
            <wp:docPr descr="Figure 3. Comparison of plasma potassium concentration before and after treatment in the concentrated oxygen group." title="" id="30" name="Picture"/>
            <a:graphic>
              <a:graphicData uri="http://schemas.openxmlformats.org/drawingml/2006/picture">
                <pic:pic>
                  <pic:nvPicPr>
                    <pic:cNvPr descr="..\Figures\conc_K+.jpg" id="31" name="Picture"/>
                    <pic:cNvPicPr>
                      <a:picLocks noChangeArrowheads="1" noChangeAspect="1"/>
                    </pic:cNvPicPr>
                  </pic:nvPicPr>
                  <pic:blipFill>
                    <a:blip r:embed="rId29"/>
                    <a:stretch>
                      <a:fillRect/>
                    </a:stretch>
                  </pic:blipFill>
                  <pic:spPr bwMode="auto">
                    <a:xfrm>
                      <a:off x="0" y="0"/>
                      <a:ext cx="5334000" cy="5767387"/>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Comparison of plasma potassium concentration before and after treatment in the concentrated oxygen group.</w:t>
      </w:r>
    </w:p>
    <w:bookmarkEnd w:id="32"/>
    <w:bookmarkStart w:id="33" w:name="discussion"/>
    <w:p>
      <w:pPr>
        <w:pStyle w:val="Heading1"/>
      </w:pPr>
      <w:r>
        <w:t xml:space="preserve">Discussion</w:t>
      </w:r>
    </w:p>
    <w:p>
      <w:pPr>
        <w:pStyle w:val="FirstParagraph"/>
      </w:pPr>
      <w:r>
        <w:t xml:space="preserve">     Our results show that hyperbaric exposure for 1.5 hours leads to an acute increase in plasma potassium levels. A similar increase was not observed in individuals exposed to 1 hour of hyperoxia. The increase in the hyperbaric group and lack there of in the hyperoxia group suggest changes in plasma potassium concentrations in the hyperbaric group are the result of a mechanism independent of exposure to increased</w:t>
      </w:r>
      <w:r>
        <w:t xml:space="preserve"> </w:t>
      </w:r>
      <m:oMath>
        <m:sSub>
          <m:e>
            <m:r>
              <m:t>O</m:t>
            </m:r>
          </m:e>
          <m:sub>
            <m:r>
              <m:t>2</m:t>
            </m:r>
          </m:sub>
        </m:sSub>
      </m:oMath>
      <w:r>
        <w:t xml:space="preserve"> </w:t>
      </w:r>
      <w:r>
        <w:t xml:space="preserve">pressure. Based on this finding and the fact that the classical metabolites implicated in plasma potassium levels experienced no significant fluctuations in this study hint a possible novel relationship between plasma potassium and hyperbaric treatment seems likely. Limitations of this study mean that exact mechanisms causing this relationship could not be determined based on findings in literature a few were preposed.</w:t>
      </w:r>
    </w:p>
    <w:p>
      <w:pPr>
        <w:pStyle w:val="BodyText"/>
      </w:pPr>
      <w:r>
        <w:t xml:space="preserve">     Hypoxia-inducible factor 1 (HIF-1) is an important transcriptional factor that is integral to the bodies response to ROS.</w:t>
      </w:r>
      <w:r>
        <w:rPr>
          <w:vertAlign w:val="superscript"/>
        </w:rPr>
        <w:t xml:space="preserve">16</w:t>
      </w:r>
      <w:r>
        <w:t xml:space="preserve"> </w:t>
      </w:r>
      <w:r>
        <w:t xml:space="preserve">Hypoxia has been linked to changes in to expression and activity of certain potassium pumps.</w:t>
      </w:r>
      <w:r>
        <w:rPr>
          <w:vertAlign w:val="superscript"/>
        </w:rPr>
        <w:t xml:space="preserve">14–16</w:t>
      </w:r>
      <w:r>
        <w:t xml:space="preserve"> </w:t>
      </w:r>
      <w:r>
        <w:t xml:space="preserve">According to the hyperoxic-hypoxic paradox fluctuations in free</w:t>
      </w:r>
      <w:r>
        <w:t xml:space="preserve"> </w:t>
      </w:r>
      <m:oMath>
        <m:sSub>
          <m:e>
            <m:r>
              <m:t>O</m:t>
            </m:r>
          </m:e>
          <m:sub>
            <m:r>
              <m:t>2</m:t>
            </m:r>
          </m:sub>
        </m:sSub>
      </m:oMath>
      <w:r>
        <w:t xml:space="preserve"> </w:t>
      </w:r>
      <w:r>
        <w:t xml:space="preserve">concentration are integral to the</w:t>
      </w:r>
      <w:r>
        <w:t xml:space="preserve"> </w:t>
      </w:r>
      <m:oMath>
        <m:sSub>
          <m:e>
            <m:r>
              <m:t>O</m:t>
            </m:r>
          </m:e>
          <m:sub>
            <m:r>
              <m:t>2</m:t>
            </m:r>
          </m:sub>
        </m:sSub>
      </m:oMath>
      <w:r>
        <w:t xml:space="preserve"> </w:t>
      </w:r>
      <w:r>
        <w:t xml:space="preserve">response observed in cells rather than sign of those changes.</w:t>
      </w:r>
      <w:r>
        <w:rPr>
          <w:vertAlign w:val="superscript"/>
        </w:rPr>
        <w:t xml:space="preserve">20</w:t>
      </w:r>
      <w:r>
        <w:t xml:space="preserve"> </w:t>
      </w:r>
      <w:r>
        <w:t xml:space="preserve">This means that some physiological responses can be markedly similar between hypoxia and hyperoxia.</w:t>
      </w:r>
      <w:r>
        <w:rPr>
          <w:vertAlign w:val="superscript"/>
        </w:rPr>
        <w:t xml:space="preserve">20</w:t>
      </w:r>
      <w:r>
        <w:t xml:space="preserve"> </w:t>
      </w:r>
      <w:r>
        <w:t xml:space="preserve">Although the</w:t>
      </w:r>
      <w:r>
        <w:t xml:space="preserve"> </w:t>
      </w:r>
      <m:oMath>
        <m:sSub>
          <m:e>
            <m:r>
              <m:t>O</m:t>
            </m:r>
          </m:e>
          <m:sub>
            <m:r>
              <m:t>2</m:t>
            </m:r>
          </m:sub>
        </m:sSub>
      </m:oMath>
      <w:r>
        <w:t xml:space="preserve"> </w:t>
      </w:r>
      <w:r>
        <w:t xml:space="preserve">concentration is lower in the hyperbaric group, hyperbaria also increases the concentration of</w:t>
      </w:r>
      <w:r>
        <w:t xml:space="preserve"> </w:t>
      </w:r>
      <m:oMath>
        <m:sSub>
          <m:e>
            <m:r>
              <m:t>N</m:t>
            </m:r>
          </m:e>
          <m:sub>
            <m:r>
              <m:t>2</m:t>
            </m:r>
          </m:sub>
        </m:sSub>
      </m:oMath>
      <w:r>
        <w:t xml:space="preserve"> </w:t>
      </w:r>
      <w:r>
        <w:t xml:space="preserve">which in turn increases the amount of reactive nitrogen species (RNS). RNS have been shown to induce HIF-1 under non-hypoxic conditions.</w:t>
      </w:r>
      <w:r>
        <w:rPr>
          <w:vertAlign w:val="superscript"/>
        </w:rPr>
        <w:t xml:space="preserve">21</w:t>
      </w:r>
      <w:r>
        <w:t xml:space="preserve"> </w:t>
      </w:r>
      <w:r>
        <w:t xml:space="preserve">Based on the effects of RNS and ROS on HIF-1 and the fact that HIF-1 can cause fluctions in potassium pump activity and expression, RNS and ROS generated by hyperbaric exposure and thier effects on HIF-1 offer one possible explanation for the differences in changes in plasma potassium levels between the two groups.</w:t>
      </w:r>
    </w:p>
    <w:p>
      <w:pPr>
        <w:pStyle w:val="BodyText"/>
      </w:pPr>
      <w:r>
        <w:t xml:space="preserve">    Finally correlations between respratory acidosis and an increase in plasma potassium have been reported with few exceptions.</w:t>
      </w:r>
      <w:r>
        <w:rPr>
          <w:vertAlign w:val="superscript"/>
        </w:rPr>
        <w:t xml:space="preserve">2</w:t>
      </w:r>
      <w:r>
        <w:t xml:space="preserve"> </w:t>
      </w:r>
      <w:r>
        <w:t xml:space="preserve">During hyperbaric exprosure subjects exprienced an increase of levels of</w:t>
      </w:r>
      <w:r>
        <w:t xml:space="preserve"> </w:t>
      </w:r>
      <m:oMath>
        <m:r>
          <m:t>C</m:t>
        </m:r>
        <m:sSub>
          <m:e>
            <m:r>
              <m:t>O</m:t>
            </m:r>
          </m:e>
          <m:sub>
            <m:r>
              <m:t>2</m:t>
            </m:r>
          </m:sub>
        </m:sSub>
      </m:oMath>
      <w:r>
        <w:t xml:space="preserve"> </w:t>
      </w:r>
      <w:r>
        <w:t xml:space="preserve">by =FIXME:INSERT CO2 LEVELS IN CHAMBER==. Subject expired gases and a lack of outflow of those respired gases in the altitude sickness bags is most likely responsible for the increase in</w:t>
      </w:r>
      <w:r>
        <w:t xml:space="preserve"> </w:t>
      </w:r>
      <m:oMath>
        <m:r>
          <m:t>C</m:t>
        </m:r>
        <m:sSub>
          <m:e>
            <m:r>
              <m:t>O</m:t>
            </m:r>
          </m:e>
          <m:sub>
            <m:r>
              <m:t>2</m:t>
            </m:r>
          </m:sub>
        </m:sSub>
      </m:oMath>
      <w:r>
        <w:t xml:space="preserve"> </w:t>
      </w:r>
      <w:r>
        <w:t xml:space="preserve">observed in chamber. This increase in</w:t>
      </w:r>
      <w:r>
        <w:t xml:space="preserve"> </w:t>
      </w:r>
      <m:oMath>
        <m:r>
          <m:t>C</m:t>
        </m:r>
        <m:sSub>
          <m:e>
            <m:r>
              <m:t>O</m:t>
            </m:r>
          </m:e>
          <m:sub>
            <m:r>
              <m:t>2</m:t>
            </m:r>
          </m:sub>
        </m:sSub>
      </m:oMath>
      <w:r>
        <w:t xml:space="preserve"> </w:t>
      </w:r>
      <w:r>
        <w:t xml:space="preserve">may result in a mild respratory acidosis which could be causing the corresponding increase in plasma potassium levels. However the lack of changes indicitive of respratory acidosis observed in other blood metabolites makes this explanation unlikely.</w:t>
      </w:r>
    </w:p>
    <w:p>
      <w:pPr>
        <w:pStyle w:val="BodyText"/>
      </w:pPr>
      <w:r>
        <w:t xml:space="preserve">    Further limitations of this study include lack of dietary restrictions on subjects, single Pre vs Post draw time point and variations between treatment cohorts.</w:t>
      </w:r>
    </w:p>
    <w:p>
      <w:pPr>
        <w:pStyle w:val="BodyText"/>
      </w:pPr>
      <w:r>
        <w:t xml:space="preserve">    This study provides a novel finding relating an increase in plasma potassium to hyperbaric exposure. However further research is required in order to better understand the mechanism driving this change and how it differs from other routes</w:t>
      </w:r>
      <w:r>
        <w:t xml:space="preserve"> </w:t>
      </w:r>
      <m:oMath>
        <m:sSub>
          <m:e>
            <m:r>
              <m:t>O</m:t>
            </m:r>
          </m:e>
          <m:sub>
            <m:r>
              <m:t>2</m:t>
            </m:r>
          </m:sub>
        </m:sSub>
      </m:oMath>
      <w:r>
        <w:t xml:space="preserve"> </w:t>
      </w:r>
      <w:r>
        <w:t xml:space="preserve">administration and thier effects on blood metabilites.</w:t>
      </w:r>
    </w:p>
    <w:bookmarkEnd w:id="33"/>
    <w:bookmarkStart w:id="76" w:name="references"/>
    <w:p>
      <w:pPr>
        <w:pStyle w:val="Heading1"/>
      </w:pPr>
      <w:r>
        <w:t xml:space="preserve">References</w:t>
      </w:r>
    </w:p>
    <w:bookmarkStart w:id="75" w:name="refs"/>
    <w:bookmarkStart w:id="35" w:name="ref-aronson_effects_2011"/>
    <w:p>
      <w:pPr>
        <w:pStyle w:val="Bibliography"/>
      </w:pPr>
      <w:r>
        <w:t xml:space="preserve">(1)</w:t>
      </w:r>
      <w:r>
        <w:t xml:space="preserve"> </w:t>
      </w:r>
      <w:r>
        <w:t xml:space="preserve">	</w:t>
      </w:r>
      <w:r>
        <w:t xml:space="preserve">Aronson, P. S.; Giebisch, G.</w:t>
      </w:r>
      <w:r>
        <w:t xml:space="preserve"> </w:t>
      </w:r>
      <w:hyperlink r:id="rId34">
        <w:r>
          <w:rPr>
            <w:rStyle w:val="Hyperlink"/>
          </w:rPr>
          <w:t xml:space="preserve">Effects of</w:t>
        </w:r>
        <w:r>
          <w:rPr>
            <w:rStyle w:val="Hyperlink"/>
          </w:rPr>
          <w:t xml:space="preserve"> </w:t>
        </w:r>
        <w:r>
          <w:rPr>
            <w:rStyle w:val="Hyperlink"/>
          </w:rPr>
          <w:t xml:space="preserve">pH</w:t>
        </w:r>
        <w:r>
          <w:rPr>
            <w:rStyle w:val="Hyperlink"/>
          </w:rPr>
          <w:t xml:space="preserve"> </w:t>
        </w:r>
        <w:r>
          <w:rPr>
            <w:rStyle w:val="Hyperlink"/>
          </w:rPr>
          <w:t xml:space="preserve">on</w:t>
        </w:r>
        <w:r>
          <w:rPr>
            <w:rStyle w:val="Hyperlink"/>
          </w:rPr>
          <w:t xml:space="preserve"> </w:t>
        </w:r>
        <w:r>
          <w:rPr>
            <w:rStyle w:val="Hyperlink"/>
          </w:rPr>
          <w:t xml:space="preserve">Potassium</w:t>
        </w:r>
        <w:r>
          <w:rPr>
            <w:rStyle w:val="Hyperlink"/>
          </w:rPr>
          <w:t xml:space="preserve">:</w:t>
        </w:r>
        <w:r>
          <w:rPr>
            <w:rStyle w:val="Hyperlink"/>
          </w:rPr>
          <w:t xml:space="preserve"> </w:t>
        </w:r>
        <w:r>
          <w:rPr>
            <w:rStyle w:val="Hyperlink"/>
          </w:rPr>
          <w:t xml:space="preserve">New</w:t>
        </w:r>
        <w:r>
          <w:rPr>
            <w:rStyle w:val="Hyperlink"/>
          </w:rPr>
          <w:t xml:space="preserve"> </w:t>
        </w:r>
        <w:r>
          <w:rPr>
            <w:rStyle w:val="Hyperlink"/>
          </w:rPr>
          <w:t xml:space="preserve">Explanations</w:t>
        </w:r>
        <w:r>
          <w:rPr>
            <w:rStyle w:val="Hyperlink"/>
          </w:rPr>
          <w:t xml:space="preserve"> </w:t>
        </w:r>
        <w:r>
          <w:rPr>
            <w:rStyle w:val="Hyperlink"/>
          </w:rPr>
          <w:t xml:space="preserve">for</w:t>
        </w:r>
        <w:r>
          <w:rPr>
            <w:rStyle w:val="Hyperlink"/>
          </w:rPr>
          <w:t xml:space="preserve"> </w:t>
        </w:r>
        <w:r>
          <w:rPr>
            <w:rStyle w:val="Hyperlink"/>
          </w:rPr>
          <w:t xml:space="preserve">Old</w:t>
        </w:r>
        <w:r>
          <w:rPr>
            <w:rStyle w:val="Hyperlink"/>
          </w:rPr>
          <w:t xml:space="preserve"> </w:t>
        </w:r>
        <w:r>
          <w:rPr>
            <w:rStyle w:val="Hyperlink"/>
          </w:rPr>
          <w:t xml:space="preserve">Observations</w:t>
        </w:r>
      </w:hyperlink>
      <w:r>
        <w:t xml:space="preserve">.</w:t>
      </w:r>
      <w:r>
        <w:t xml:space="preserve"> </w:t>
      </w:r>
      <w:r>
        <w:rPr>
          <w:iCs/>
          <w:i/>
        </w:rPr>
        <w:t xml:space="preserve">Journal of the American Society of Nephrology</w:t>
      </w:r>
      <w:r>
        <w:t xml:space="preserve"> </w:t>
      </w:r>
      <w:r>
        <w:rPr>
          <w:bCs/>
          <w:b/>
        </w:rPr>
        <w:t xml:space="preserve">2011</w:t>
      </w:r>
      <w:r>
        <w:t xml:space="preserve">,</w:t>
      </w:r>
      <w:r>
        <w:t xml:space="preserve"> </w:t>
      </w:r>
      <w:r>
        <w:rPr>
          <w:iCs/>
          <w:i/>
        </w:rPr>
        <w:t xml:space="preserve">22</w:t>
      </w:r>
      <w:r>
        <w:t xml:space="preserve">, 1981–1989.</w:t>
      </w:r>
    </w:p>
    <w:bookmarkEnd w:id="35"/>
    <w:bookmarkStart w:id="37" w:name="ref-adrogue_changes_1981"/>
    <w:p>
      <w:pPr>
        <w:pStyle w:val="Bibliography"/>
      </w:pPr>
      <w:r>
        <w:t xml:space="preserve">(2)</w:t>
      </w:r>
      <w:r>
        <w:t xml:space="preserve"> </w:t>
      </w:r>
      <w:r>
        <w:t xml:space="preserve">	</w:t>
      </w:r>
      <w:r>
        <w:t xml:space="preserve">Adrogué, H. J.; Madias, N. E. Changes in Plasma Potassium Concentration During Acute Acid-Base Disturbances.</w:t>
      </w:r>
      <w:r>
        <w:t xml:space="preserve"> </w:t>
      </w:r>
      <w:r>
        <w:rPr>
          <w:iCs/>
          <w:i/>
        </w:rPr>
        <w:t xml:space="preserve">The American Journal of Medicine</w:t>
      </w:r>
      <w:r>
        <w:t xml:space="preserve"> </w:t>
      </w:r>
      <w:r>
        <w:rPr>
          <w:bCs/>
          <w:b/>
        </w:rPr>
        <w:t xml:space="preserve">1981</w:t>
      </w:r>
      <w:r>
        <w:t xml:space="preserve">,</w:t>
      </w:r>
      <w:r>
        <w:t xml:space="preserve"> </w:t>
      </w:r>
      <w:r>
        <w:rPr>
          <w:iCs/>
          <w:i/>
        </w:rPr>
        <w:t xml:space="preserve">71</w:t>
      </w:r>
      <w:r>
        <w:t xml:space="preserve"> </w:t>
      </w:r>
      <w:r>
        <w:t xml:space="preserve">(3), 456–467. https://doi.org/</w:t>
      </w:r>
      <w:hyperlink r:id="rId36">
        <w:r>
          <w:rPr>
            <w:rStyle w:val="Hyperlink"/>
          </w:rPr>
          <w:t xml:space="preserve">10.1016/0002-9343(81)90182-0</w:t>
        </w:r>
      </w:hyperlink>
      <w:r>
        <w:t xml:space="preserve">.</w:t>
      </w:r>
    </w:p>
    <w:bookmarkEnd w:id="37"/>
    <w:bookmarkStart w:id="39" w:name="ref-ingelfinger_integrated_2015"/>
    <w:p>
      <w:pPr>
        <w:pStyle w:val="Bibliography"/>
      </w:pPr>
      <w:r>
        <w:t xml:space="preserve">(3)</w:t>
      </w:r>
      <w:r>
        <w:t xml:space="preserve"> </w:t>
      </w:r>
      <w:r>
        <w:t xml:space="preserve">	</w:t>
      </w:r>
      <w:r>
        <w:t xml:space="preserve">Gumz, M. L.; Rabinowitz, L.; Wingo, C. S. An</w:t>
      </w:r>
      <w:r>
        <w:t xml:space="preserve"> </w:t>
      </w:r>
      <w:r>
        <w:t xml:space="preserve">Integrated</w:t>
      </w:r>
      <w:r>
        <w:t xml:space="preserve"> </w:t>
      </w:r>
      <w:r>
        <w:t xml:space="preserve">View</w:t>
      </w:r>
      <w:r>
        <w:t xml:space="preserve"> </w:t>
      </w:r>
      <w:r>
        <w:t xml:space="preserve">of</w:t>
      </w:r>
      <w:r>
        <w:t xml:space="preserve"> </w:t>
      </w:r>
      <w:r>
        <w:t xml:space="preserve">Potassium</w:t>
      </w:r>
      <w:r>
        <w:t xml:space="preserve"> </w:t>
      </w:r>
      <w:r>
        <w:t xml:space="preserve">Homeostasis</w:t>
      </w:r>
      <w:r>
        <w:t xml:space="preserve">.</w:t>
      </w:r>
      <w:r>
        <w:t xml:space="preserve"> </w:t>
      </w:r>
      <w:r>
        <w:rPr>
          <w:iCs/>
          <w:i/>
        </w:rPr>
        <w:t xml:space="preserve">New England Journal of Medicine</w:t>
      </w:r>
      <w:r>
        <w:t xml:space="preserve"> </w:t>
      </w:r>
      <w:r>
        <w:rPr>
          <w:bCs/>
          <w:b/>
        </w:rPr>
        <w:t xml:space="preserve">2015</w:t>
      </w:r>
      <w:r>
        <w:t xml:space="preserve">,</w:t>
      </w:r>
      <w:r>
        <w:t xml:space="preserve"> </w:t>
      </w:r>
      <w:r>
        <w:rPr>
          <w:iCs/>
          <w:i/>
        </w:rPr>
        <w:t xml:space="preserve">373</w:t>
      </w:r>
      <w:r>
        <w:t xml:space="preserve"> </w:t>
      </w:r>
      <w:r>
        <w:t xml:space="preserve">(1), 60–72. https://doi.org/</w:t>
      </w:r>
      <w:hyperlink r:id="rId38">
        <w:r>
          <w:rPr>
            <w:rStyle w:val="Hyperlink"/>
          </w:rPr>
          <w:t xml:space="preserve">10.1056/NEJMra1313341</w:t>
        </w:r>
      </w:hyperlink>
      <w:r>
        <w:t xml:space="preserve">.</w:t>
      </w:r>
    </w:p>
    <w:bookmarkEnd w:id="39"/>
    <w:bookmarkStart w:id="41" w:name="ref-gupta_distribution_2017"/>
    <w:p>
      <w:pPr>
        <w:pStyle w:val="Bibliography"/>
      </w:pPr>
      <w:r>
        <w:t xml:space="preserve">(4)</w:t>
      </w:r>
      <w:r>
        <w:t xml:space="preserve"> </w:t>
      </w:r>
      <w:r>
        <w:t xml:space="preserve">	</w:t>
      </w:r>
      <w:r>
        <w:t xml:space="preserve">Gupta, S.; Fenves, A. Z. The</w:t>
      </w:r>
      <w:r>
        <w:t xml:space="preserve"> </w:t>
      </w:r>
      <w:r>
        <w:t xml:space="preserve">Distribution</w:t>
      </w:r>
      <w:r>
        <w:t xml:space="preserve"> </w:t>
      </w:r>
      <w:r>
        <w:t xml:space="preserve">of</w:t>
      </w:r>
      <w:r>
        <w:t xml:space="preserve"> </w:t>
      </w:r>
      <w:r>
        <w:t xml:space="preserve">Plasma</w:t>
      </w:r>
      <w:r>
        <w:t xml:space="preserve"> </w:t>
      </w:r>
      <w:r>
        <w:t xml:space="preserve">Electrolytes</w:t>
      </w:r>
      <w:r>
        <w:t xml:space="preserve">.</w:t>
      </w:r>
      <w:r>
        <w:t xml:space="preserve"> </w:t>
      </w:r>
      <w:r>
        <w:rPr>
          <w:iCs/>
          <w:i/>
        </w:rPr>
        <w:t xml:space="preserve">The American Journal of the Medical Sciences</w:t>
      </w:r>
      <w:r>
        <w:t xml:space="preserve"> </w:t>
      </w:r>
      <w:r>
        <w:rPr>
          <w:bCs/>
          <w:b/>
        </w:rPr>
        <w:t xml:space="preserve">2017</w:t>
      </w:r>
      <w:r>
        <w:t xml:space="preserve">,</w:t>
      </w:r>
      <w:r>
        <w:t xml:space="preserve"> </w:t>
      </w:r>
      <w:r>
        <w:rPr>
          <w:iCs/>
          <w:i/>
        </w:rPr>
        <w:t xml:space="preserve">354</w:t>
      </w:r>
      <w:r>
        <w:t xml:space="preserve"> </w:t>
      </w:r>
      <w:r>
        <w:t xml:space="preserve">(5), 443–444. https://doi.org/</w:t>
      </w:r>
      <w:hyperlink r:id="rId40">
        <w:r>
          <w:rPr>
            <w:rStyle w:val="Hyperlink"/>
          </w:rPr>
          <w:t xml:space="preserve">10.1016/j.amjms.2017.08.025</w:t>
        </w:r>
      </w:hyperlink>
      <w:r>
        <w:t xml:space="preserve">.</w:t>
      </w:r>
    </w:p>
    <w:bookmarkEnd w:id="41"/>
    <w:bookmarkStart w:id="43" w:name="ref-youn_recent_2009"/>
    <w:p>
      <w:pPr>
        <w:pStyle w:val="Bibliography"/>
      </w:pPr>
      <w:r>
        <w:t xml:space="preserve">(5)</w:t>
      </w:r>
      <w:r>
        <w:t xml:space="preserve"> </w:t>
      </w:r>
      <w:r>
        <w:t xml:space="preserve">	</w:t>
      </w:r>
      <w:r>
        <w:t xml:space="preserve">Youn, J. H.; McDonough, A. A. Recent</w:t>
      </w:r>
      <w:r>
        <w:t xml:space="preserve"> </w:t>
      </w:r>
      <w:r>
        <w:t xml:space="preserve">Advances</w:t>
      </w:r>
      <w:r>
        <w:t xml:space="preserve"> </w:t>
      </w:r>
      <w:r>
        <w:t xml:space="preserve">in</w:t>
      </w:r>
      <w:r>
        <w:t xml:space="preserve"> </w:t>
      </w:r>
      <w:r>
        <w:t xml:space="preserve">Understanding</w:t>
      </w:r>
      <w:r>
        <w:t xml:space="preserve"> </w:t>
      </w:r>
      <w:r>
        <w:t xml:space="preserve">Integrative</w:t>
      </w:r>
      <w:r>
        <w:t xml:space="preserve"> </w:t>
      </w:r>
      <w:r>
        <w:t xml:space="preserve">Control</w:t>
      </w:r>
      <w:r>
        <w:t xml:space="preserve"> </w:t>
      </w:r>
      <w:r>
        <w:t xml:space="preserve">of</w:t>
      </w:r>
      <w:r>
        <w:t xml:space="preserve"> </w:t>
      </w:r>
      <w:r>
        <w:t xml:space="preserve">Potassium</w:t>
      </w:r>
      <w:r>
        <w:t xml:space="preserve"> </w:t>
      </w:r>
      <w:r>
        <w:t xml:space="preserve">Homeostasis</w:t>
      </w:r>
      <w:r>
        <w:t xml:space="preserve">.</w:t>
      </w:r>
      <w:r>
        <w:t xml:space="preserve"> </w:t>
      </w:r>
      <w:r>
        <w:rPr>
          <w:iCs/>
          <w:i/>
        </w:rPr>
        <w:t xml:space="preserve">Annual Review of Physiology</w:t>
      </w:r>
      <w:r>
        <w:t xml:space="preserve"> </w:t>
      </w:r>
      <w:r>
        <w:rPr>
          <w:bCs/>
          <w:b/>
        </w:rPr>
        <w:t xml:space="preserve">2009</w:t>
      </w:r>
      <w:r>
        <w:t xml:space="preserve">,</w:t>
      </w:r>
      <w:r>
        <w:t xml:space="preserve"> </w:t>
      </w:r>
      <w:r>
        <w:rPr>
          <w:iCs/>
          <w:i/>
        </w:rPr>
        <w:t xml:space="preserve">71</w:t>
      </w:r>
      <w:r>
        <w:t xml:space="preserve"> </w:t>
      </w:r>
      <w:r>
        <w:t xml:space="preserve">(1), 381–401. https://doi.org/</w:t>
      </w:r>
      <w:hyperlink r:id="rId42">
        <w:r>
          <w:rPr>
            <w:rStyle w:val="Hyperlink"/>
          </w:rPr>
          <w:t xml:space="preserve">10.1146/annurev.physiol.010908.163241</w:t>
        </w:r>
      </w:hyperlink>
      <w:r>
        <w:t xml:space="preserve">.</w:t>
      </w:r>
    </w:p>
    <w:bookmarkEnd w:id="43"/>
    <w:bookmarkStart w:id="45" w:name="ref-torlen_serum_2012"/>
    <w:p>
      <w:pPr>
        <w:pStyle w:val="Bibliography"/>
      </w:pPr>
      <w:r>
        <w:t xml:space="preserve">(6)</w:t>
      </w:r>
      <w:r>
        <w:t xml:space="preserve"> </w:t>
      </w:r>
      <w:r>
        <w:t xml:space="preserve">	</w:t>
      </w:r>
      <w:r>
        <w:t xml:space="preserve">Torlén, K.; Kalantar-Zadeh, K.; Molnar, M. Z.; Vashistha, T.; Mehrotra, R. Serum</w:t>
      </w:r>
      <w:r>
        <w:t xml:space="preserve"> </w:t>
      </w:r>
      <w:r>
        <w:t xml:space="preserve">Potassium</w:t>
      </w:r>
      <w:r>
        <w:t xml:space="preserve"> </w:t>
      </w:r>
      <w:r>
        <w:t xml:space="preserve">and</w:t>
      </w:r>
      <w:r>
        <w:t xml:space="preserve"> </w:t>
      </w:r>
      <w:r>
        <w:t xml:space="preserve">Cause</w:t>
      </w:r>
      <w:r>
        <w:t xml:space="preserve">-</w:t>
      </w:r>
      <w:r>
        <w:t xml:space="preserve">Specific</w:t>
      </w:r>
      <w:r>
        <w:t xml:space="preserve"> </w:t>
      </w:r>
      <w:r>
        <w:t xml:space="preserve">Mortality</w:t>
      </w:r>
      <w:r>
        <w:t xml:space="preserve"> </w:t>
      </w:r>
      <w:r>
        <w:t xml:space="preserve">in a</w:t>
      </w:r>
      <w:r>
        <w:t xml:space="preserve"> </w:t>
      </w:r>
      <w:r>
        <w:t xml:space="preserve">Large</w:t>
      </w:r>
      <w:r>
        <w:t xml:space="preserve"> </w:t>
      </w:r>
      <w:r>
        <w:t xml:space="preserve">Peritoneal</w:t>
      </w:r>
      <w:r>
        <w:t xml:space="preserve"> </w:t>
      </w:r>
      <w:r>
        <w:t xml:space="preserve">Dialysis</w:t>
      </w:r>
      <w:r>
        <w:t xml:space="preserve"> </w:t>
      </w:r>
      <w:r>
        <w:t xml:space="preserve">Cohort</w:t>
      </w:r>
      <w:r>
        <w:t xml:space="preserve">.</w:t>
      </w:r>
      <w:r>
        <w:t xml:space="preserve"> </w:t>
      </w:r>
      <w:r>
        <w:rPr>
          <w:iCs/>
          <w:i/>
        </w:rPr>
        <w:t xml:space="preserve">Clinical Journal of the American Society of Nephrology</w:t>
      </w:r>
      <w:r>
        <w:t xml:space="preserve"> </w:t>
      </w:r>
      <w:r>
        <w:rPr>
          <w:bCs/>
          <w:b/>
        </w:rPr>
        <w:t xml:space="preserve">2012</w:t>
      </w:r>
      <w:r>
        <w:t xml:space="preserve">,</w:t>
      </w:r>
      <w:r>
        <w:t xml:space="preserve"> </w:t>
      </w:r>
      <w:r>
        <w:rPr>
          <w:iCs/>
          <w:i/>
        </w:rPr>
        <w:t xml:space="preserve">7</w:t>
      </w:r>
      <w:r>
        <w:t xml:space="preserve"> </w:t>
      </w:r>
      <w:r>
        <w:t xml:space="preserve">(8), 1272–1284. https://doi.org/</w:t>
      </w:r>
      <w:hyperlink r:id="rId44">
        <w:r>
          <w:rPr>
            <w:rStyle w:val="Hyperlink"/>
          </w:rPr>
          <w:t xml:space="preserve">10.2215/CJN.00960112</w:t>
        </w:r>
      </w:hyperlink>
      <w:r>
        <w:t xml:space="preserve">.</w:t>
      </w:r>
    </w:p>
    <w:bookmarkEnd w:id="45"/>
    <w:bookmarkStart w:id="47" w:name="ref-goyal_serum_2012"/>
    <w:p>
      <w:pPr>
        <w:pStyle w:val="Bibliography"/>
      </w:pPr>
      <w:r>
        <w:t xml:space="preserve">(7)</w:t>
      </w:r>
      <w:r>
        <w:t xml:space="preserve"> </w:t>
      </w:r>
      <w:r>
        <w:t xml:space="preserve">	</w:t>
      </w:r>
      <w:r>
        <w:t xml:space="preserve">Goyal, A.; Spertus, J. A.; Gosch, K.; Venkitachalam, L.; Jones, P. G.; Van den Berghe, G.; Kosiborod, M. Serum</w:t>
      </w:r>
      <w:r>
        <w:t xml:space="preserve"> </w:t>
      </w:r>
      <w:r>
        <w:t xml:space="preserve">Potassium</w:t>
      </w:r>
      <w:r>
        <w:t xml:space="preserve"> </w:t>
      </w:r>
      <w:r>
        <w:t xml:space="preserve">Levels</w:t>
      </w:r>
      <w:r>
        <w:t xml:space="preserve"> </w:t>
      </w:r>
      <w:r>
        <w:t xml:space="preserve">and</w:t>
      </w:r>
      <w:r>
        <w:t xml:space="preserve"> </w:t>
      </w:r>
      <w:r>
        <w:t xml:space="preserve">Mortality</w:t>
      </w:r>
      <w:r>
        <w:t xml:space="preserve"> </w:t>
      </w:r>
      <w:r>
        <w:t xml:space="preserve">in</w:t>
      </w:r>
      <w:r>
        <w:t xml:space="preserve"> </w:t>
      </w:r>
      <w:r>
        <w:t xml:space="preserve">Acute</w:t>
      </w:r>
      <w:r>
        <w:t xml:space="preserve"> </w:t>
      </w:r>
      <w:r>
        <w:t xml:space="preserve">Myocardial</w:t>
      </w:r>
      <w:r>
        <w:t xml:space="preserve"> </w:t>
      </w:r>
      <w:r>
        <w:t xml:space="preserve">Infarction</w:t>
      </w:r>
      <w:r>
        <w:t xml:space="preserve">.</w:t>
      </w:r>
      <w:r>
        <w:t xml:space="preserve"> </w:t>
      </w:r>
      <w:r>
        <w:rPr>
          <w:iCs/>
          <w:i/>
        </w:rPr>
        <w:t xml:space="preserve">JAMA</w:t>
      </w:r>
      <w:r>
        <w:t xml:space="preserve"> </w:t>
      </w:r>
      <w:r>
        <w:rPr>
          <w:bCs/>
          <w:b/>
        </w:rPr>
        <w:t xml:space="preserve">2012</w:t>
      </w:r>
      <w:r>
        <w:t xml:space="preserve">,</w:t>
      </w:r>
      <w:r>
        <w:t xml:space="preserve"> </w:t>
      </w:r>
      <w:r>
        <w:rPr>
          <w:iCs/>
          <w:i/>
        </w:rPr>
        <w:t xml:space="preserve">307</w:t>
      </w:r>
      <w:r>
        <w:t xml:space="preserve"> </w:t>
      </w:r>
      <w:r>
        <w:t xml:space="preserve">(2), 157–164. https://doi.org/</w:t>
      </w:r>
      <w:hyperlink r:id="rId46">
        <w:r>
          <w:rPr>
            <w:rStyle w:val="Hyperlink"/>
          </w:rPr>
          <w:t xml:space="preserve">10.1001/jama.2011.1967</w:t>
        </w:r>
      </w:hyperlink>
      <w:r>
        <w:t xml:space="preserve">.</w:t>
      </w:r>
    </w:p>
    <w:bookmarkEnd w:id="47"/>
    <w:bookmarkStart w:id="49" w:name="ref-barlow_effect_1994"/>
    <w:p>
      <w:pPr>
        <w:pStyle w:val="Bibliography"/>
      </w:pPr>
      <w:r>
        <w:t xml:space="preserve">(8)</w:t>
      </w:r>
      <w:r>
        <w:t xml:space="preserve"> </w:t>
      </w:r>
      <w:r>
        <w:t xml:space="preserve">	</w:t>
      </w:r>
      <w:r>
        <w:t xml:space="preserve">Barlow, C. W.; Qayyum, M. S.; Davey, P. P.; Paterson, D. J.; Robbins, P. A. Effect of Hypoxia on Arterial Potassium Concentration at Rest and During Exercise in Man.</w:t>
      </w:r>
      <w:r>
        <w:t xml:space="preserve"> </w:t>
      </w:r>
      <w:r>
        <w:rPr>
          <w:iCs/>
          <w:i/>
        </w:rPr>
        <w:t xml:space="preserve">Exp Physiol</w:t>
      </w:r>
      <w:r>
        <w:t xml:space="preserve"> </w:t>
      </w:r>
      <w:r>
        <w:rPr>
          <w:bCs/>
          <w:b/>
        </w:rPr>
        <w:t xml:space="preserve">1994</w:t>
      </w:r>
      <w:r>
        <w:t xml:space="preserve">,</w:t>
      </w:r>
      <w:r>
        <w:t xml:space="preserve"> </w:t>
      </w:r>
      <w:r>
        <w:rPr>
          <w:iCs/>
          <w:i/>
        </w:rPr>
        <w:t xml:space="preserve">79</w:t>
      </w:r>
      <w:r>
        <w:t xml:space="preserve"> </w:t>
      </w:r>
      <w:r>
        <w:t xml:space="preserve">(2), 257–260. https://doi.org/</w:t>
      </w:r>
      <w:hyperlink r:id="rId48">
        <w:r>
          <w:rPr>
            <w:rStyle w:val="Hyperlink"/>
          </w:rPr>
          <w:t xml:space="preserve">10.1113/expphysiol.1994.sp003759</w:t>
        </w:r>
      </w:hyperlink>
      <w:r>
        <w:t xml:space="preserve">.</w:t>
      </w:r>
    </w:p>
    <w:bookmarkEnd w:id="49"/>
    <w:bookmarkStart w:id="50" w:name="ref-moon_hyperbaric_2019"/>
    <w:p>
      <w:pPr>
        <w:pStyle w:val="Bibliography"/>
      </w:pPr>
      <w:r>
        <w:t xml:space="preserve">(9)</w:t>
      </w:r>
      <w:r>
        <w:t xml:space="preserve"> </w:t>
      </w:r>
      <w:r>
        <w:t xml:space="preserve">	</w:t>
      </w:r>
      <w:r>
        <w:rPr>
          <w:iCs/>
          <w:i/>
        </w:rPr>
        <w:t xml:space="preserve">Hyperbaric</w:t>
      </w:r>
      <w:r>
        <w:rPr>
          <w:iCs/>
          <w:i/>
        </w:rPr>
        <w:t xml:space="preserve"> </w:t>
      </w:r>
      <w:r>
        <w:rPr>
          <w:iCs/>
          <w:i/>
        </w:rPr>
        <w:t xml:space="preserve">Oxygen</w:t>
      </w:r>
      <w:r>
        <w:rPr>
          <w:iCs/>
          <w:i/>
        </w:rPr>
        <w:t xml:space="preserve"> </w:t>
      </w:r>
      <w:r>
        <w:rPr>
          <w:iCs/>
          <w:i/>
        </w:rPr>
        <w:t xml:space="preserve">Therapy</w:t>
      </w:r>
      <w:r>
        <w:rPr>
          <w:iCs/>
          <w:i/>
        </w:rPr>
        <w:t xml:space="preserve"> </w:t>
      </w:r>
      <w:r>
        <w:rPr>
          <w:iCs/>
          <w:i/>
        </w:rPr>
        <w:t xml:space="preserve">Indications</w:t>
      </w:r>
      <w:r>
        <w:t xml:space="preserve">; Moon, R. E., Ed.; Undersea; Hyperbaric Medical Society, 2019; Vol. 14th.</w:t>
      </w:r>
    </w:p>
    <w:bookmarkEnd w:id="50"/>
    <w:bookmarkStart w:id="52" w:name="ref-fraley_isohydric_1976"/>
    <w:p>
      <w:pPr>
        <w:pStyle w:val="Bibliography"/>
      </w:pPr>
      <w:r>
        <w:t xml:space="preserve">(10)</w:t>
      </w:r>
      <w:r>
        <w:t xml:space="preserve"> </w:t>
      </w:r>
      <w:r>
        <w:t xml:space="preserve">	</w:t>
      </w:r>
      <w:r>
        <w:t xml:space="preserve">Fraley, D. S.; Adler, S. Isohydric Regulation of Plasma Potassium by Bicarbonate in the Rat.</w:t>
      </w:r>
      <w:r>
        <w:t xml:space="preserve"> </w:t>
      </w:r>
      <w:r>
        <w:rPr>
          <w:iCs/>
          <w:i/>
        </w:rPr>
        <w:t xml:space="preserve">Kidney International</w:t>
      </w:r>
      <w:r>
        <w:t xml:space="preserve"> </w:t>
      </w:r>
      <w:r>
        <w:rPr>
          <w:bCs/>
          <w:b/>
        </w:rPr>
        <w:t xml:space="preserve">1976</w:t>
      </w:r>
      <w:r>
        <w:t xml:space="preserve">,</w:t>
      </w:r>
      <w:r>
        <w:t xml:space="preserve"> </w:t>
      </w:r>
      <w:r>
        <w:rPr>
          <w:iCs/>
          <w:i/>
        </w:rPr>
        <w:t xml:space="preserve">9</w:t>
      </w:r>
      <w:r>
        <w:t xml:space="preserve"> </w:t>
      </w:r>
      <w:r>
        <w:t xml:space="preserve">(4), 333–343. https://doi.org/</w:t>
      </w:r>
      <w:hyperlink r:id="rId51">
        <w:r>
          <w:rPr>
            <w:rStyle w:val="Hyperlink"/>
          </w:rPr>
          <w:t xml:space="preserve">10.1038/ki.1976.39</w:t>
        </w:r>
      </w:hyperlink>
      <w:r>
        <w:t xml:space="preserve">.</w:t>
      </w:r>
    </w:p>
    <w:bookmarkEnd w:id="52"/>
    <w:bookmarkStart w:id="54" w:name="ref-zyrianova_k2p21_2020"/>
    <w:p>
      <w:pPr>
        <w:pStyle w:val="Bibliography"/>
      </w:pPr>
      <w:r>
        <w:t xml:space="preserve">(11)</w:t>
      </w:r>
      <w:r>
        <w:t xml:space="preserve"> </w:t>
      </w:r>
      <w:r>
        <w:t xml:space="preserve">	</w:t>
      </w:r>
      <w:r>
        <w:t xml:space="preserve">Zyrianova, T.; Lopez, B.; Olcese, R.; Belperio, J.; Waters, C. M.; Wong, L.; Nguyen, V.; Talapaneni, S.; Schwingshackl, A.</w:t>
      </w:r>
      <w:r>
        <w:t xml:space="preserve"> </w:t>
      </w:r>
      <w:r>
        <w:t xml:space="preserve">K2p2</w:t>
      </w:r>
      <w:r>
        <w:t xml:space="preserve">.1 (</w:t>
      </w:r>
      <w:r>
        <w:t xml:space="preserve">TREK</w:t>
      </w:r>
      <w:r>
        <w:t xml:space="preserve">-1) Potassium Channel Activation Protects Against Hyperoxia-Induced Lung Injury.</w:t>
      </w:r>
      <w:r>
        <w:t xml:space="preserve"> </w:t>
      </w:r>
      <w:r>
        <w:rPr>
          <w:iCs/>
          <w:i/>
        </w:rPr>
        <w:t xml:space="preserve">Scientific Reports</w:t>
      </w:r>
      <w:r>
        <w:t xml:space="preserve"> </w:t>
      </w:r>
      <w:r>
        <w:rPr>
          <w:bCs/>
          <w:b/>
        </w:rPr>
        <w:t xml:space="preserve">2020</w:t>
      </w:r>
      <w:r>
        <w:t xml:space="preserve">,</w:t>
      </w:r>
      <w:r>
        <w:t xml:space="preserve"> </w:t>
      </w:r>
      <w:r>
        <w:rPr>
          <w:iCs/>
          <w:i/>
        </w:rPr>
        <w:t xml:space="preserve">10</w:t>
      </w:r>
      <w:r>
        <w:t xml:space="preserve"> </w:t>
      </w:r>
      <w:r>
        <w:t xml:space="preserve">(1), 22011. https://doi.org/</w:t>
      </w:r>
      <w:hyperlink r:id="rId53">
        <w:r>
          <w:rPr>
            <w:rStyle w:val="Hyperlink"/>
          </w:rPr>
          <w:t xml:space="preserve">10.1038/s41598-020-78886-y</w:t>
        </w:r>
      </w:hyperlink>
      <w:r>
        <w:t xml:space="preserve">.</w:t>
      </w:r>
    </w:p>
    <w:bookmarkEnd w:id="54"/>
    <w:bookmarkStart w:id="56" w:name="ref-schwingshackl_regulation_2012"/>
    <w:p>
      <w:pPr>
        <w:pStyle w:val="Bibliography"/>
      </w:pPr>
      <w:r>
        <w:t xml:space="preserve">(12)</w:t>
      </w:r>
      <w:r>
        <w:t xml:space="preserve"> </w:t>
      </w:r>
      <w:r>
        <w:t xml:space="preserve">	</w:t>
      </w:r>
      <w:r>
        <w:t xml:space="preserve">Schwingshackl, A.; Teng, B.; Ghosh, M.; West, A. N.; Makena, P.; Gorantla, V.; Sinclair, S. E.; Waters, C. M. Regulation and Function of the Two-Pore-Domain (</w:t>
      </w:r>
      <w:r>
        <w:t xml:space="preserve">K2p</w:t>
      </w:r>
      <w:r>
        <w:t xml:space="preserve">) Potassium Channel</w:t>
      </w:r>
      <w:r>
        <w:t xml:space="preserve"> </w:t>
      </w:r>
      <w:r>
        <w:t xml:space="preserve">Trek</w:t>
      </w:r>
      <w:r>
        <w:t xml:space="preserve">-1 in Alveolar Epithelial Cells.</w:t>
      </w:r>
      <w:r>
        <w:t xml:space="preserve"> </w:t>
      </w:r>
      <w:r>
        <w:rPr>
          <w:iCs/>
          <w:i/>
        </w:rPr>
        <w:t xml:space="preserve">American Journal of Physiology-Lung Cellular and Molecular Physiology</w:t>
      </w:r>
      <w:r>
        <w:t xml:space="preserve"> </w:t>
      </w:r>
      <w:r>
        <w:rPr>
          <w:bCs/>
          <w:b/>
        </w:rPr>
        <w:t xml:space="preserve">2012</w:t>
      </w:r>
      <w:r>
        <w:t xml:space="preserve">,</w:t>
      </w:r>
      <w:r>
        <w:t xml:space="preserve"> </w:t>
      </w:r>
      <w:r>
        <w:rPr>
          <w:iCs/>
          <w:i/>
        </w:rPr>
        <w:t xml:space="preserve">302</w:t>
      </w:r>
      <w:r>
        <w:t xml:space="preserve"> </w:t>
      </w:r>
      <w:r>
        <w:t xml:space="preserve">(1), L93–L102. https://doi.org/</w:t>
      </w:r>
      <w:hyperlink r:id="rId55">
        <w:r>
          <w:rPr>
            <w:rStyle w:val="Hyperlink"/>
          </w:rPr>
          <w:t xml:space="preserve">10.1152/ajplung.00078.2011</w:t>
        </w:r>
      </w:hyperlink>
      <w:r>
        <w:t xml:space="preserve">.</w:t>
      </w:r>
    </w:p>
    <w:bookmarkEnd w:id="56"/>
    <w:bookmarkStart w:id="58" w:name="ref-chapalamadugu_high_2015"/>
    <w:p>
      <w:pPr>
        <w:pStyle w:val="Bibliography"/>
      </w:pPr>
      <w:r>
        <w:t xml:space="preserve">(13)</w:t>
      </w:r>
      <w:r>
        <w:t xml:space="preserve"> </w:t>
      </w:r>
      <w:r>
        <w:t xml:space="preserve">	</w:t>
      </w:r>
      <w:r>
        <w:t xml:space="preserve">Chapalamadugu, K. C.; Panguluri, S. K.; Bennett, E. S.; Kolliputi, N.; Tipparaju, S. M. High Level of Oxygen Treatment Causes Cardiotoxicity with Arrhythmias and Redox Modulation.</w:t>
      </w:r>
      <w:r>
        <w:t xml:space="preserve"> </w:t>
      </w:r>
      <w:r>
        <w:rPr>
          <w:iCs/>
          <w:i/>
        </w:rPr>
        <w:t xml:space="preserve">Toxicology and Applied Pharmacology</w:t>
      </w:r>
      <w:r>
        <w:t xml:space="preserve"> </w:t>
      </w:r>
      <w:r>
        <w:rPr>
          <w:bCs/>
          <w:b/>
        </w:rPr>
        <w:t xml:space="preserve">2015</w:t>
      </w:r>
      <w:r>
        <w:t xml:space="preserve">,</w:t>
      </w:r>
      <w:r>
        <w:t xml:space="preserve"> </w:t>
      </w:r>
      <w:r>
        <w:rPr>
          <w:iCs/>
          <w:i/>
        </w:rPr>
        <w:t xml:space="preserve">282</w:t>
      </w:r>
      <w:r>
        <w:t xml:space="preserve"> </w:t>
      </w:r>
      <w:r>
        <w:t xml:space="preserve">(1), 100–107. https://doi.org/</w:t>
      </w:r>
      <w:hyperlink r:id="rId57">
        <w:r>
          <w:rPr>
            <w:rStyle w:val="Hyperlink"/>
          </w:rPr>
          <w:t xml:space="preserve">10.1016/j.taap.2014.10.019</w:t>
        </w:r>
      </w:hyperlink>
      <w:r>
        <w:t xml:space="preserve">.</w:t>
      </w:r>
    </w:p>
    <w:bookmarkEnd w:id="58"/>
    <w:bookmarkStart w:id="60" w:name="ref-whitman_endothelin-1_2008"/>
    <w:p>
      <w:pPr>
        <w:pStyle w:val="Bibliography"/>
      </w:pPr>
      <w:r>
        <w:t xml:space="preserve">(14)</w:t>
      </w:r>
      <w:r>
        <w:t xml:space="preserve"> </w:t>
      </w:r>
      <w:r>
        <w:t xml:space="preserve">	</w:t>
      </w:r>
      <w:r>
        <w:t xml:space="preserve">Whitman, E. M.; Pisarcik, S.; Luke, T.; Fallon, M.; Wang, J.; Sylvester, J. T.; Semenza, G. L.; Shimoda, L. A. Endothelin-1 Mediates Hypoxia-Induced Inhibition of Voltage-Gated</w:t>
      </w:r>
      <w:r>
        <w:t xml:space="preserve"> </w:t>
      </w:r>
      <w:r>
        <w:t xml:space="preserve">K</w:t>
      </w:r>
      <w:r>
        <w:t xml:space="preserve">+ Channel Expression in Pulmonary Arterial Myocytes.</w:t>
      </w:r>
      <w:r>
        <w:t xml:space="preserve"> </w:t>
      </w:r>
      <w:r>
        <w:rPr>
          <w:iCs/>
          <w:i/>
        </w:rPr>
        <w:t xml:space="preserve">American Journal of Physiology-Lung Cellular and Molecular Physiology</w:t>
      </w:r>
      <w:r>
        <w:t xml:space="preserve"> </w:t>
      </w:r>
      <w:r>
        <w:rPr>
          <w:bCs/>
          <w:b/>
        </w:rPr>
        <w:t xml:space="preserve">2008</w:t>
      </w:r>
      <w:r>
        <w:t xml:space="preserve">,</w:t>
      </w:r>
      <w:r>
        <w:t xml:space="preserve"> </w:t>
      </w:r>
      <w:r>
        <w:rPr>
          <w:iCs/>
          <w:i/>
        </w:rPr>
        <w:t xml:space="preserve">294</w:t>
      </w:r>
      <w:r>
        <w:t xml:space="preserve"> </w:t>
      </w:r>
      <w:r>
        <w:t xml:space="preserve">(2), L309–L318. https://doi.org/</w:t>
      </w:r>
      <w:hyperlink r:id="rId59">
        <w:r>
          <w:rPr>
            <w:rStyle w:val="Hyperlink"/>
          </w:rPr>
          <w:t xml:space="preserve">10.1152/ajplung.00091.2007</w:t>
        </w:r>
      </w:hyperlink>
      <w:r>
        <w:t xml:space="preserve">.</w:t>
      </w:r>
    </w:p>
    <w:bookmarkEnd w:id="60"/>
    <w:bookmarkStart w:id="62" w:name="ref-dong_hypoxia_2012"/>
    <w:p>
      <w:pPr>
        <w:pStyle w:val="Bibliography"/>
      </w:pPr>
      <w:r>
        <w:t xml:space="preserve">(15)</w:t>
      </w:r>
      <w:r>
        <w:t xml:space="preserve"> </w:t>
      </w:r>
      <w:r>
        <w:t xml:space="preserve">	</w:t>
      </w:r>
      <w:r>
        <w:t xml:space="preserve">Dong, Q.; Zhao, N.; Xia, C. K.; Du, L. L.; Fu, X. X.; Du, Y. M. Hypoxia Induces Voltage-Gated</w:t>
      </w:r>
      <w:r>
        <w:t xml:space="preserve"> </w:t>
      </w:r>
      <w:r>
        <w:t xml:space="preserve">K</w:t>
      </w:r>
      <w:r>
        <w:t xml:space="preserve">+ (</w:t>
      </w:r>
      <w:r>
        <w:t xml:space="preserve">Kv</w:t>
      </w:r>
      <w:r>
        <w:t xml:space="preserve">) Channel Expression in Pulmonary Arterial Smooth Muscle Cells Through Hypoxia-Inducible Factor-1 (</w:t>
      </w:r>
      <w:r>
        <w:t xml:space="preserve">HIF</w:t>
      </w:r>
      <w:r>
        <w:t xml:space="preserve">-1).</w:t>
      </w:r>
      <w:r>
        <w:t xml:space="preserve"> </w:t>
      </w:r>
      <w:r>
        <w:rPr>
          <w:iCs/>
          <w:i/>
        </w:rPr>
        <w:t xml:space="preserve">Bosn J Basic Med Sci</w:t>
      </w:r>
      <w:r>
        <w:t xml:space="preserve"> </w:t>
      </w:r>
      <w:r>
        <w:rPr>
          <w:bCs/>
          <w:b/>
        </w:rPr>
        <w:t xml:space="preserve">2012</w:t>
      </w:r>
      <w:r>
        <w:t xml:space="preserve">,</w:t>
      </w:r>
      <w:r>
        <w:t xml:space="preserve"> </w:t>
      </w:r>
      <w:r>
        <w:rPr>
          <w:iCs/>
          <w:i/>
        </w:rPr>
        <w:t xml:space="preserve">12</w:t>
      </w:r>
      <w:r>
        <w:t xml:space="preserve"> </w:t>
      </w:r>
      <w:r>
        <w:t xml:space="preserve">(3), 158–163. https://doi.org/</w:t>
      </w:r>
      <w:hyperlink r:id="rId61">
        <w:r>
          <w:rPr>
            <w:rStyle w:val="Hyperlink"/>
          </w:rPr>
          <w:t xml:space="preserve">10.17305/bjbms.2012.2463</w:t>
        </w:r>
      </w:hyperlink>
      <w:r>
        <w:t xml:space="preserve">.</w:t>
      </w:r>
    </w:p>
    <w:bookmarkEnd w:id="62"/>
    <w:bookmarkStart w:id="64" w:name="ref-semenza_regulation_2009"/>
    <w:p>
      <w:pPr>
        <w:pStyle w:val="Bibliography"/>
      </w:pPr>
      <w:r>
        <w:t xml:space="preserve">(16)</w:t>
      </w:r>
      <w:r>
        <w:t xml:space="preserve"> </w:t>
      </w:r>
      <w:r>
        <w:t xml:space="preserve">	</w:t>
      </w:r>
      <w:r>
        <w:t xml:space="preserve">Semenza, G. L. Regulation of</w:t>
      </w:r>
      <w:r>
        <w:t xml:space="preserve"> </w:t>
      </w:r>
      <w:r>
        <w:t xml:space="preserve">Oxygen</w:t>
      </w:r>
      <w:r>
        <w:t xml:space="preserve"> </w:t>
      </w:r>
      <w:r>
        <w:t xml:space="preserve">Homeostasis</w:t>
      </w:r>
      <w:r>
        <w:t xml:space="preserve"> </w:t>
      </w:r>
      <w:r>
        <w:t xml:space="preserve">by</w:t>
      </w:r>
      <w:r>
        <w:t xml:space="preserve"> </w:t>
      </w:r>
      <w:r>
        <w:t xml:space="preserve">Hypoxia</w:t>
      </w:r>
      <w:r>
        <w:t xml:space="preserve">-</w:t>
      </w:r>
      <w:r>
        <w:t xml:space="preserve">Inducible</w:t>
      </w:r>
      <w:r>
        <w:t xml:space="preserve"> </w:t>
      </w:r>
      <w:r>
        <w:t xml:space="preserve">Factor</w:t>
      </w:r>
      <w:r>
        <w:t xml:space="preserve"> </w:t>
      </w:r>
      <w:r>
        <w:t xml:space="preserve">1.</w:t>
      </w:r>
      <w:r>
        <w:t xml:space="preserve"> </w:t>
      </w:r>
      <w:r>
        <w:rPr>
          <w:iCs/>
          <w:i/>
        </w:rPr>
        <w:t xml:space="preserve">Physiology</w:t>
      </w:r>
      <w:r>
        <w:t xml:space="preserve"> </w:t>
      </w:r>
      <w:r>
        <w:rPr>
          <w:bCs/>
          <w:b/>
        </w:rPr>
        <w:t xml:space="preserve">2009</w:t>
      </w:r>
      <w:r>
        <w:t xml:space="preserve">. https://doi.org/</w:t>
      </w:r>
      <w:hyperlink r:id="rId63">
        <w:r>
          <w:rPr>
            <w:rStyle w:val="Hyperlink"/>
          </w:rPr>
          <w:t xml:space="preserve">10.1152/physiol.00045.2008</w:t>
        </w:r>
      </w:hyperlink>
      <w:r>
        <w:t xml:space="preserve">.</w:t>
      </w:r>
    </w:p>
    <w:bookmarkEnd w:id="64"/>
    <w:bookmarkStart w:id="66" w:name="ref-perng_effect_2004"/>
    <w:p>
      <w:pPr>
        <w:pStyle w:val="Bibliography"/>
      </w:pPr>
      <w:r>
        <w:t xml:space="preserve">(17)</w:t>
      </w:r>
      <w:r>
        <w:t xml:space="preserve"> </w:t>
      </w:r>
      <w:r>
        <w:t xml:space="preserve">	</w:t>
      </w:r>
      <w:r>
        <w:t xml:space="preserve">Perng, W.-C.; Wu, C.-P.; Chu, S.-J.; Kang, B.-H.; Huang, K.-L.</w:t>
      </w:r>
      <w:r>
        <w:t xml:space="preserve"> </w:t>
      </w:r>
      <w:hyperlink r:id="rId65">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HYPERBARIC</w:t>
        </w:r>
        <w:r>
          <w:rPr>
            <w:rStyle w:val="Hyperlink"/>
          </w:rPr>
          <w:t xml:space="preserve"> </w:t>
        </w:r>
        <w:r>
          <w:rPr>
            <w:rStyle w:val="Hyperlink"/>
          </w:rPr>
          <w:t xml:space="preserve">OXYGEN</w:t>
        </w:r>
        <w:r>
          <w:rPr>
            <w:rStyle w:val="Hyperlink"/>
          </w:rPr>
          <w:t xml:space="preserve"> </w:t>
        </w:r>
        <w:r>
          <w:rPr>
            <w:rStyle w:val="Hyperlink"/>
          </w:rPr>
          <w:t xml:space="preserve">ON</w:t>
        </w:r>
        <w:r>
          <w:rPr>
            <w:rStyle w:val="Hyperlink"/>
          </w:rPr>
          <w:t xml:space="preserve"> </w:t>
        </w:r>
        <w:r>
          <w:rPr>
            <w:rStyle w:val="Hyperlink"/>
          </w:rPr>
          <w:t xml:space="preserve">ENDOTOXIN</w:t>
        </w:r>
        <w:r>
          <w:rPr>
            <w:rStyle w:val="Hyperlink"/>
          </w:rPr>
          <w:t xml:space="preserve">-</w:t>
        </w:r>
        <w:r>
          <w:rPr>
            <w:rStyle w:val="Hyperlink"/>
          </w:rPr>
          <w:t xml:space="preserve">INDUCED</w:t>
        </w:r>
        <w:r>
          <w:rPr>
            <w:rStyle w:val="Hyperlink"/>
          </w:rPr>
          <w:t xml:space="preserve"> </w:t>
        </w:r>
        <w:r>
          <w:rPr>
            <w:rStyle w:val="Hyperlink"/>
          </w:rPr>
          <w:t xml:space="preserve">LUNG</w:t>
        </w:r>
        <w:r>
          <w:rPr>
            <w:rStyle w:val="Hyperlink"/>
          </w:rPr>
          <w:t xml:space="preserve"> </w:t>
        </w:r>
        <w:r>
          <w:rPr>
            <w:rStyle w:val="Hyperlink"/>
          </w:rPr>
          <w:t xml:space="preserve">INJURY</w:t>
        </w:r>
        <w:r>
          <w:rPr>
            <w:rStyle w:val="Hyperlink"/>
          </w:rPr>
          <w:t xml:space="preserve"> </w:t>
        </w:r>
        <w:r>
          <w:rPr>
            <w:rStyle w:val="Hyperlink"/>
          </w:rPr>
          <w:t xml:space="preserve">IN</w:t>
        </w:r>
        <w:r>
          <w:rPr>
            <w:rStyle w:val="Hyperlink"/>
          </w:rPr>
          <w:t xml:space="preserve"> </w:t>
        </w:r>
        <w:r>
          <w:rPr>
            <w:rStyle w:val="Hyperlink"/>
          </w:rPr>
          <w:t xml:space="preserve">RATS</w:t>
        </w:r>
      </w:hyperlink>
      <w:r>
        <w:t xml:space="preserve">.</w:t>
      </w:r>
      <w:r>
        <w:t xml:space="preserve"> </w:t>
      </w:r>
      <w:r>
        <w:rPr>
          <w:iCs/>
          <w:i/>
        </w:rPr>
        <w:t xml:space="preserve">Shock</w:t>
      </w:r>
      <w:r>
        <w:t xml:space="preserve"> </w:t>
      </w:r>
      <w:r>
        <w:rPr>
          <w:bCs/>
          <w:b/>
        </w:rPr>
        <w:t xml:space="preserve">2004</w:t>
      </w:r>
      <w:r>
        <w:t xml:space="preserve">,</w:t>
      </w:r>
      <w:r>
        <w:t xml:space="preserve"> </w:t>
      </w:r>
      <w:r>
        <w:rPr>
          <w:iCs/>
          <w:i/>
        </w:rPr>
        <w:t xml:space="preserve">21</w:t>
      </w:r>
      <w:r>
        <w:t xml:space="preserve"> </w:t>
      </w:r>
      <w:r>
        <w:t xml:space="preserve">(4), 370–375.</w:t>
      </w:r>
    </w:p>
    <w:bookmarkEnd w:id="66"/>
    <w:bookmarkStart w:id="68" w:name="ref-harris_hyperbaric_1996"/>
    <w:p>
      <w:pPr>
        <w:pStyle w:val="Bibliography"/>
      </w:pPr>
      <w:r>
        <w:t xml:space="preserve">(18)</w:t>
      </w:r>
      <w:r>
        <w:t xml:space="preserve"> </w:t>
      </w:r>
      <w:r>
        <w:t xml:space="preserve">	</w:t>
      </w:r>
      <w:r>
        <w:t xml:space="preserve">Harris, Z. L.; Ridge, K. M.; Gonzalez-Flecha, B.; Gottlieb, L.; Zucker, A.; Sznajder, J. I. Hyperbaric Oxygenation Upregulates Rat Lung</w:t>
      </w:r>
      <w:r>
        <w:t xml:space="preserve"> </w:t>
      </w:r>
      <w:r>
        <w:t xml:space="preserve">Na</w:t>
      </w:r>
      <w:r>
        <w:t xml:space="preserve">,</w:t>
      </w:r>
      <w:r>
        <w:t xml:space="preserve">K</w:t>
      </w:r>
      <w:r>
        <w:t xml:space="preserve">-</w:t>
      </w:r>
      <w:r>
        <w:t xml:space="preserve">ATPase</w:t>
      </w:r>
      <w:r>
        <w:t xml:space="preserve">.</w:t>
      </w:r>
      <w:r>
        <w:t xml:space="preserve"> </w:t>
      </w:r>
      <w:r>
        <w:rPr>
          <w:iCs/>
          <w:i/>
        </w:rPr>
        <w:t xml:space="preserve">European Respiratory Journal</w:t>
      </w:r>
      <w:r>
        <w:t xml:space="preserve"> </w:t>
      </w:r>
      <w:r>
        <w:rPr>
          <w:bCs/>
          <w:b/>
        </w:rPr>
        <w:t xml:space="preserve">1996</w:t>
      </w:r>
      <w:r>
        <w:t xml:space="preserve">,</w:t>
      </w:r>
      <w:r>
        <w:t xml:space="preserve"> </w:t>
      </w:r>
      <w:r>
        <w:rPr>
          <w:iCs/>
          <w:i/>
        </w:rPr>
        <w:t xml:space="preserve">9</w:t>
      </w:r>
      <w:r>
        <w:t xml:space="preserve"> </w:t>
      </w:r>
      <w:r>
        <w:t xml:space="preserve">(3), 472–477. https://doi.org/</w:t>
      </w:r>
      <w:hyperlink r:id="rId67">
        <w:r>
          <w:rPr>
            <w:rStyle w:val="Hyperlink"/>
          </w:rPr>
          <w:t xml:space="preserve">10.1183/09031936.96.09030472</w:t>
        </w:r>
      </w:hyperlink>
      <w:r>
        <w:t xml:space="preserve">.</w:t>
      </w:r>
    </w:p>
    <w:bookmarkEnd w:id="68"/>
    <w:bookmarkStart w:id="70" w:name="ref-feldman_plasma_2017"/>
    <w:p>
      <w:pPr>
        <w:pStyle w:val="Bibliography"/>
      </w:pPr>
      <w:r>
        <w:t xml:space="preserve">(19)</w:t>
      </w:r>
      <w:r>
        <w:t xml:space="preserve"> </w:t>
      </w:r>
      <w:r>
        <w:t xml:space="preserve">	</w:t>
      </w:r>
      <w:r>
        <w:t xml:space="preserve">Feldman, M.; Dickson, B. Plasma</w:t>
      </w:r>
      <w:r>
        <w:t xml:space="preserve"> </w:t>
      </w:r>
      <w:r>
        <w:t xml:space="preserve">Electrolyte</w:t>
      </w:r>
      <w:r>
        <w:t xml:space="preserve"> </w:t>
      </w:r>
      <w:r>
        <w:t xml:space="preserve">Distributions</w:t>
      </w:r>
      <w:r>
        <w:t xml:space="preserve"> </w:t>
      </w:r>
      <w:r>
        <w:t xml:space="preserve">in</w:t>
      </w:r>
      <w:r>
        <w:t xml:space="preserve"> </w:t>
      </w:r>
      <w:r>
        <w:t xml:space="preserve">Humans</w:t>
      </w:r>
      <w:r>
        <w:t xml:space="preserve">—</w:t>
      </w:r>
      <w:r>
        <w:t xml:space="preserve">Normal</w:t>
      </w:r>
      <w:r>
        <w:t xml:space="preserve"> </w:t>
      </w:r>
      <w:r>
        <w:t xml:space="preserve">or</w:t>
      </w:r>
      <w:r>
        <w:t xml:space="preserve"> </w:t>
      </w:r>
      <w:r>
        <w:t xml:space="preserve">Skewed</w:t>
      </w:r>
      <w:r>
        <w:t xml:space="preserve">?</w:t>
      </w:r>
      <w:r>
        <w:t xml:space="preserve"> </w:t>
      </w:r>
      <w:r>
        <w:rPr>
          <w:iCs/>
          <w:i/>
        </w:rPr>
        <w:t xml:space="preserve">The American Journal of the Medical Sciences</w:t>
      </w:r>
      <w:r>
        <w:t xml:space="preserve"> </w:t>
      </w:r>
      <w:r>
        <w:rPr>
          <w:bCs/>
          <w:b/>
        </w:rPr>
        <w:t xml:space="preserve">2017</w:t>
      </w:r>
      <w:r>
        <w:t xml:space="preserve">,</w:t>
      </w:r>
      <w:r>
        <w:t xml:space="preserve"> </w:t>
      </w:r>
      <w:r>
        <w:rPr>
          <w:iCs/>
          <w:i/>
        </w:rPr>
        <w:t xml:space="preserve">354</w:t>
      </w:r>
      <w:r>
        <w:t xml:space="preserve"> </w:t>
      </w:r>
      <w:r>
        <w:t xml:space="preserve">(5), 453–457. https://doi.org/</w:t>
      </w:r>
      <w:hyperlink r:id="rId69">
        <w:r>
          <w:rPr>
            <w:rStyle w:val="Hyperlink"/>
          </w:rPr>
          <w:t xml:space="preserve">10.1016/j.amjms.2017.07.012</w:t>
        </w:r>
      </w:hyperlink>
      <w:r>
        <w:t xml:space="preserve">.</w:t>
      </w:r>
    </w:p>
    <w:bookmarkEnd w:id="70"/>
    <w:bookmarkStart w:id="72" w:name="ref-hadanny_hyperoxic-hypoxic_2020"/>
    <w:p>
      <w:pPr>
        <w:pStyle w:val="Bibliography"/>
      </w:pPr>
      <w:r>
        <w:t xml:space="preserve">(20)</w:t>
      </w:r>
      <w:r>
        <w:t xml:space="preserve"> </w:t>
      </w:r>
      <w:r>
        <w:t xml:space="preserve">	</w:t>
      </w:r>
      <w:r>
        <w:t xml:space="preserve">Hadanny, A.; Efrati, S. The</w:t>
      </w:r>
      <w:r>
        <w:t xml:space="preserve"> </w:t>
      </w:r>
      <w:r>
        <w:t xml:space="preserve">Hyperoxic</w:t>
      </w:r>
      <w:r>
        <w:t xml:space="preserve">-</w:t>
      </w:r>
      <w:r>
        <w:t xml:space="preserve">Hypoxic</w:t>
      </w:r>
      <w:r>
        <w:t xml:space="preserve"> </w:t>
      </w:r>
      <w:r>
        <w:t xml:space="preserve">Paradox</w:t>
      </w:r>
      <w:r>
        <w:t xml:space="preserve">.</w:t>
      </w:r>
      <w:r>
        <w:t xml:space="preserve"> </w:t>
      </w:r>
      <w:r>
        <w:rPr>
          <w:iCs/>
          <w:i/>
        </w:rPr>
        <w:t xml:space="preserve">Biomolecules</w:t>
      </w:r>
      <w:r>
        <w:t xml:space="preserve"> </w:t>
      </w:r>
      <w:r>
        <w:rPr>
          <w:bCs/>
          <w:b/>
        </w:rPr>
        <w:t xml:space="preserve">2020</w:t>
      </w:r>
      <w:r>
        <w:t xml:space="preserve">,</w:t>
      </w:r>
      <w:r>
        <w:t xml:space="preserve"> </w:t>
      </w:r>
      <w:r>
        <w:rPr>
          <w:iCs/>
          <w:i/>
        </w:rPr>
        <w:t xml:space="preserve">10</w:t>
      </w:r>
      <w:r>
        <w:t xml:space="preserve"> </w:t>
      </w:r>
      <w:r>
        <w:t xml:space="preserve">(6), 958. https://doi.org/</w:t>
      </w:r>
      <w:hyperlink r:id="rId71">
        <w:r>
          <w:rPr>
            <w:rStyle w:val="Hyperlink"/>
          </w:rPr>
          <w:t xml:space="preserve">10.3390/biom10060958</w:t>
        </w:r>
      </w:hyperlink>
      <w:r>
        <w:t xml:space="preserve">.</w:t>
      </w:r>
    </w:p>
    <w:bookmarkEnd w:id="72"/>
    <w:bookmarkStart w:id="74" w:name="ref-semenza_hif-1_2001"/>
    <w:p>
      <w:pPr>
        <w:pStyle w:val="Bibliography"/>
      </w:pPr>
      <w:r>
        <w:t xml:space="preserve">(21)</w:t>
      </w:r>
      <w:r>
        <w:t xml:space="preserve"> </w:t>
      </w:r>
      <w:r>
        <w:t xml:space="preserve">	</w:t>
      </w:r>
      <w:r>
        <w:t xml:space="preserve">Semenza, G. L.</w:t>
      </w:r>
      <w:r>
        <w:t xml:space="preserve"> </w:t>
      </w:r>
      <w:r>
        <w:t xml:space="preserve">HIF</w:t>
      </w:r>
      <w:r>
        <w:t xml:space="preserve">-1 and Mechanisms of Hypoxia Sensing.</w:t>
      </w:r>
      <w:r>
        <w:t xml:space="preserve"> </w:t>
      </w:r>
      <w:r>
        <w:rPr>
          <w:iCs/>
          <w:i/>
        </w:rPr>
        <w:t xml:space="preserve">Current Opinion in Cell Biology</w:t>
      </w:r>
      <w:r>
        <w:t xml:space="preserve"> </w:t>
      </w:r>
      <w:r>
        <w:rPr>
          <w:bCs/>
          <w:b/>
        </w:rPr>
        <w:t xml:space="preserve">2001</w:t>
      </w:r>
      <w:r>
        <w:t xml:space="preserve">,</w:t>
      </w:r>
      <w:r>
        <w:t xml:space="preserve"> </w:t>
      </w:r>
      <w:r>
        <w:rPr>
          <w:iCs/>
          <w:i/>
        </w:rPr>
        <w:t xml:space="preserve">13</w:t>
      </w:r>
      <w:r>
        <w:t xml:space="preserve"> </w:t>
      </w:r>
      <w:r>
        <w:t xml:space="preserve">(2), 167–171. https://doi.org/</w:t>
      </w:r>
      <w:hyperlink r:id="rId73">
        <w:r>
          <w:rPr>
            <w:rStyle w:val="Hyperlink"/>
          </w:rPr>
          <w:t xml:space="preserve">10.1016/S0955-0674(00)00194-0</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9" Target="media/rId29.jpg" /><Relationship Type="http://schemas.openxmlformats.org/officeDocument/2006/relationships/image" Id="rId26" Target="media/rId26.jpg" /><Relationship Type="http://schemas.openxmlformats.org/officeDocument/2006/relationships/hyperlink" Id="rId46" Target="https://doi.org/10.1001/jama.2011.1967" TargetMode="External" /><Relationship Type="http://schemas.openxmlformats.org/officeDocument/2006/relationships/hyperlink" Id="rId36" Target="https://doi.org/10.1016/0002-9343(81)90182-0" TargetMode="External" /><Relationship Type="http://schemas.openxmlformats.org/officeDocument/2006/relationships/hyperlink" Id="rId73" Target="https://doi.org/10.1016/S0955-0674(00)00194-0" TargetMode="External" /><Relationship Type="http://schemas.openxmlformats.org/officeDocument/2006/relationships/hyperlink" Id="rId69" Target="https://doi.org/10.1016/j.amjms.2017.07.012" TargetMode="External" /><Relationship Type="http://schemas.openxmlformats.org/officeDocument/2006/relationships/hyperlink" Id="rId40" Target="https://doi.org/10.1016/j.amjms.2017.08.025" TargetMode="External" /><Relationship Type="http://schemas.openxmlformats.org/officeDocument/2006/relationships/hyperlink" Id="rId57" Target="https://doi.org/10.1016/j.taap.2014.10.019" TargetMode="External" /><Relationship Type="http://schemas.openxmlformats.org/officeDocument/2006/relationships/hyperlink" Id="rId51" Target="https://doi.org/10.1038/ki.1976.39" TargetMode="External" /><Relationship Type="http://schemas.openxmlformats.org/officeDocument/2006/relationships/hyperlink" Id="rId53" Target="https://doi.org/10.1038/s41598-020-78886-y" TargetMode="External" /><Relationship Type="http://schemas.openxmlformats.org/officeDocument/2006/relationships/hyperlink" Id="rId38" Target="https://doi.org/10.1056/NEJMra1313341" TargetMode="External" /><Relationship Type="http://schemas.openxmlformats.org/officeDocument/2006/relationships/hyperlink" Id="rId48" Target="https://doi.org/10.1113/expphysiol.1994.sp003759" TargetMode="External" /><Relationship Type="http://schemas.openxmlformats.org/officeDocument/2006/relationships/hyperlink" Id="rId42" Target="https://doi.org/10.1146/annurev.physiol.010908.163241" TargetMode="External" /><Relationship Type="http://schemas.openxmlformats.org/officeDocument/2006/relationships/hyperlink" Id="rId55" Target="https://doi.org/10.1152/ajplung.00078.2011" TargetMode="External" /><Relationship Type="http://schemas.openxmlformats.org/officeDocument/2006/relationships/hyperlink" Id="rId59" Target="https://doi.org/10.1152/ajplung.00091.2007" TargetMode="External" /><Relationship Type="http://schemas.openxmlformats.org/officeDocument/2006/relationships/hyperlink" Id="rId63" Target="https://doi.org/10.1152/physiol.00045.2008" TargetMode="External" /><Relationship Type="http://schemas.openxmlformats.org/officeDocument/2006/relationships/hyperlink" Id="rId67" Target="https://doi.org/10.1183/09031936.96.09030472" TargetMode="External" /><Relationship Type="http://schemas.openxmlformats.org/officeDocument/2006/relationships/hyperlink" Id="rId61" Target="https://doi.org/10.17305/bjbms.2012.2463" TargetMode="External" /><Relationship Type="http://schemas.openxmlformats.org/officeDocument/2006/relationships/hyperlink" Id="rId44" Target="https://doi.org/10.2215/CJN.00960112" TargetMode="External" /><Relationship Type="http://schemas.openxmlformats.org/officeDocument/2006/relationships/hyperlink" Id="rId71" Target="https://doi.org/10.3390/biom10060958" TargetMode="External" /><Relationship Type="http://schemas.openxmlformats.org/officeDocument/2006/relationships/hyperlink" Id="rId34" Target="https://jasn.asnjournals.org/content/jnephrol/22/11/1981.full.pdf" TargetMode="External" /><Relationship Type="http://schemas.openxmlformats.org/officeDocument/2006/relationships/hyperlink" Id="rId65" Target="https://journals.lww.com/shockjournal/Fulltext/2004/04000/Inhibition_by_Terbutaline_of_Nitric_Oxide_and.00013.aspx"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1/jama.2011.1967" TargetMode="External" /><Relationship Type="http://schemas.openxmlformats.org/officeDocument/2006/relationships/hyperlink" Id="rId36" Target="https://doi.org/10.1016/0002-9343(81)90182-0" TargetMode="External" /><Relationship Type="http://schemas.openxmlformats.org/officeDocument/2006/relationships/hyperlink" Id="rId73" Target="https://doi.org/10.1016/S0955-0674(00)00194-0" TargetMode="External" /><Relationship Type="http://schemas.openxmlformats.org/officeDocument/2006/relationships/hyperlink" Id="rId69" Target="https://doi.org/10.1016/j.amjms.2017.07.012" TargetMode="External" /><Relationship Type="http://schemas.openxmlformats.org/officeDocument/2006/relationships/hyperlink" Id="rId40" Target="https://doi.org/10.1016/j.amjms.2017.08.025" TargetMode="External" /><Relationship Type="http://schemas.openxmlformats.org/officeDocument/2006/relationships/hyperlink" Id="rId57" Target="https://doi.org/10.1016/j.taap.2014.10.019" TargetMode="External" /><Relationship Type="http://schemas.openxmlformats.org/officeDocument/2006/relationships/hyperlink" Id="rId51" Target="https://doi.org/10.1038/ki.1976.39" TargetMode="External" /><Relationship Type="http://schemas.openxmlformats.org/officeDocument/2006/relationships/hyperlink" Id="rId53" Target="https://doi.org/10.1038/s41598-020-78886-y" TargetMode="External" /><Relationship Type="http://schemas.openxmlformats.org/officeDocument/2006/relationships/hyperlink" Id="rId38" Target="https://doi.org/10.1056/NEJMra1313341" TargetMode="External" /><Relationship Type="http://schemas.openxmlformats.org/officeDocument/2006/relationships/hyperlink" Id="rId48" Target="https://doi.org/10.1113/expphysiol.1994.sp003759" TargetMode="External" /><Relationship Type="http://schemas.openxmlformats.org/officeDocument/2006/relationships/hyperlink" Id="rId42" Target="https://doi.org/10.1146/annurev.physiol.010908.163241" TargetMode="External" /><Relationship Type="http://schemas.openxmlformats.org/officeDocument/2006/relationships/hyperlink" Id="rId55" Target="https://doi.org/10.1152/ajplung.00078.2011" TargetMode="External" /><Relationship Type="http://schemas.openxmlformats.org/officeDocument/2006/relationships/hyperlink" Id="rId59" Target="https://doi.org/10.1152/ajplung.00091.2007" TargetMode="External" /><Relationship Type="http://schemas.openxmlformats.org/officeDocument/2006/relationships/hyperlink" Id="rId63" Target="https://doi.org/10.1152/physiol.00045.2008" TargetMode="External" /><Relationship Type="http://schemas.openxmlformats.org/officeDocument/2006/relationships/hyperlink" Id="rId67" Target="https://doi.org/10.1183/09031936.96.09030472" TargetMode="External" /><Relationship Type="http://schemas.openxmlformats.org/officeDocument/2006/relationships/hyperlink" Id="rId61" Target="https://doi.org/10.17305/bjbms.2012.2463" TargetMode="External" /><Relationship Type="http://schemas.openxmlformats.org/officeDocument/2006/relationships/hyperlink" Id="rId44" Target="https://doi.org/10.2215/CJN.00960112" TargetMode="External" /><Relationship Type="http://schemas.openxmlformats.org/officeDocument/2006/relationships/hyperlink" Id="rId71" Target="https://doi.org/10.3390/biom10060958" TargetMode="External" /><Relationship Type="http://schemas.openxmlformats.org/officeDocument/2006/relationships/hyperlink" Id="rId34" Target="https://jasn.asnjournals.org/content/jnephrol/22/11/1981.full.pdf" TargetMode="External" /><Relationship Type="http://schemas.openxmlformats.org/officeDocument/2006/relationships/hyperlink" Id="rId65" Target="https://journals.lww.com/shockjournal/Fulltext/2004/04000/Inhibition_by_Terbutaline_of_Nitric_Oxide_and.0001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Increase in venous [K+] During Hyperbaric Exposure Independent of Changes in pH or O2 Concentration</dc:title>
  <dc:creator>Jacob Lamers,; Matthew Marcou, ; Kent MacLaughlin, ; Rudolf Braun, ; Marlowe Eldridge</dc:creator>
  <cp:keywords/>
  <dcterms:created xsi:type="dcterms:W3CDTF">2022-06-10T20:33:44Z</dcterms:created>
  <dcterms:modified xsi:type="dcterms:W3CDTF">2022-06-10T20:33:44Z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american-chemical-society.csl</vt:lpwstr>
  </property>
  <property fmtid="{D5CDD505-2E9C-101B-9397-08002B2CF9AE}" pid="4" name="documentclass">
    <vt:lpwstr>report</vt:lpwstr>
  </property>
  <property fmtid="{D5CDD505-2E9C-101B-9397-08002B2CF9AE}" pid="5" name="output">
    <vt:lpwstr>pdf_document</vt:lpwstr>
  </property>
</Properties>
</file>