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val="0"/>
        <w:pageBreakBefore w:val="0"/>
        <w:widowControl/>
        <w:kinsoku/>
        <w:wordWrap/>
        <w:overflowPunct/>
        <w:topLinePunct w:val="0"/>
        <w:autoSpaceDE/>
        <w:autoSpaceDN/>
        <w:bidi w:val="0"/>
        <w:adjustRightInd/>
        <w:snapToGrid w:val="0"/>
        <w:spacing w:before="0" w:after="0" w:line="360" w:lineRule="auto"/>
        <w:jc w:val="center"/>
        <w:textAlignment w:val="auto"/>
      </w:pPr>
      <w:r>
        <w:rPr>
          <w:rFonts w:hint="eastAsia" w:ascii="黑体" w:hAnsi="宋体" w:eastAsia="黑体" w:cs="Calibri"/>
          <w:b w:val="0"/>
          <w:color w:val="000000"/>
          <w:kern w:val="44"/>
          <w:sz w:val="36"/>
          <w:szCs w:val="36"/>
          <w:lang w:val="en-US" w:eastAsia="zh-CN"/>
        </w:rPr>
        <w:t>智能化的to C财税培训平台</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黑体" w:hAnsi="黑体" w:eastAsia="黑体" w:cs="黑体"/>
          <w:b w:val="0"/>
          <w:bCs w:val="0"/>
          <w:i w:val="0"/>
          <w:strike w:val="0"/>
          <w:color w:val="000000"/>
          <w:sz w:val="28"/>
          <w:u w:val="none"/>
        </w:rPr>
      </w:pPr>
      <w:r>
        <w:rPr>
          <w:rFonts w:hint="eastAsia" w:ascii="黑体" w:hAnsi="黑体" w:eastAsia="黑体" w:cs="黑体"/>
          <w:b w:val="0"/>
          <w:bCs w:val="0"/>
          <w:i w:val="0"/>
          <w:strike w:val="0"/>
          <w:color w:val="000000"/>
          <w:sz w:val="28"/>
          <w:u w:val="none"/>
        </w:rPr>
        <w:t>0、命题企业介绍</w:t>
      </w:r>
    </w:p>
    <w:p>
      <w:pPr>
        <w:snapToGrid/>
        <w:spacing w:before="0" w:after="0" w:line="300" w:lineRule="auto"/>
        <w:ind w:left="0" w:right="0" w:firstLine="420"/>
        <w:rPr>
          <w:rFonts w:ascii="仿宋" w:hAnsi="仿宋" w:eastAsia="仿宋" w:cs="仿宋"/>
          <w:i w:val="0"/>
          <w:strike w:val="0"/>
          <w:color w:val="000000"/>
          <w:sz w:val="28"/>
          <w:u w:val="none"/>
        </w:rPr>
      </w:pPr>
      <w:r>
        <w:rPr>
          <w:rFonts w:ascii="仿宋" w:hAnsi="仿宋" w:eastAsia="仿宋" w:cs="仿宋"/>
          <w:i w:val="0"/>
          <w:strike w:val="0"/>
          <w:color w:val="000000"/>
          <w:sz w:val="28"/>
          <w:u w:val="none"/>
        </w:rPr>
        <w:t>【公司介绍】</w:t>
      </w:r>
    </w:p>
    <w:p>
      <w:pPr>
        <w:snapToGrid/>
        <w:spacing w:before="0" w:after="0" w:line="300" w:lineRule="auto"/>
        <w:ind w:left="0" w:right="0" w:firstLineChars="200"/>
        <w:rPr>
          <w:rFonts w:hint="eastAsia" w:ascii="仿宋" w:hAnsi="仿宋" w:eastAsia="仿宋" w:cs="仿宋"/>
          <w:i w:val="0"/>
          <w:strike w:val="0"/>
          <w:color w:val="000000"/>
          <w:sz w:val="28"/>
          <w:u w:val="none"/>
        </w:rPr>
      </w:pPr>
      <w:r>
        <w:rPr>
          <w:rFonts w:hint="eastAsia" w:ascii="仿宋" w:hAnsi="仿宋" w:eastAsia="仿宋" w:cs="仿宋"/>
          <w:i w:val="0"/>
          <w:strike w:val="0"/>
          <w:color w:val="000000"/>
          <w:sz w:val="28"/>
          <w:u w:val="none"/>
        </w:rPr>
        <w:t>税友软件集团股份有限公司（603171.SH）是中国领先的政务数字化系统建设商及财税人资SaaS服务提供商，成立于1999年。公司为税务机关提供税费治理数字化的开发和服务，为企事业单位提供财税和人资数智化服务，在北京、上海、广东、河北、新疆、四川等20余个省市拥有分支机构，致力于通过提供数字化服务助力数字中国的建设。</w:t>
      </w:r>
    </w:p>
    <w:p>
      <w:pPr>
        <w:snapToGrid/>
        <w:spacing w:before="0" w:after="0" w:line="300" w:lineRule="auto"/>
        <w:ind w:left="0" w:right="0" w:firstLineChars="200"/>
        <w:rPr>
          <w:rFonts w:hint="eastAsia" w:ascii="仿宋" w:hAnsi="仿宋" w:eastAsia="仿宋" w:cs="仿宋"/>
          <w:i w:val="0"/>
          <w:strike w:val="0"/>
          <w:color w:val="000000"/>
          <w:sz w:val="28"/>
          <w:u w:val="none"/>
        </w:rPr>
      </w:pPr>
      <w:r>
        <w:rPr>
          <w:rFonts w:hint="eastAsia" w:ascii="仿宋" w:hAnsi="仿宋" w:eastAsia="仿宋" w:cs="仿宋"/>
          <w:i w:val="0"/>
          <w:strike w:val="0"/>
          <w:color w:val="000000"/>
          <w:sz w:val="28"/>
          <w:u w:val="none"/>
        </w:rPr>
        <w:t>——国家税务总局重点工程（金税三期、金税四期）核心工程承建商</w:t>
      </w:r>
    </w:p>
    <w:p>
      <w:pPr>
        <w:snapToGrid/>
        <w:spacing w:before="0" w:after="0" w:line="300" w:lineRule="auto"/>
        <w:ind w:left="0" w:right="0" w:firstLineChars="200"/>
        <w:rPr>
          <w:rFonts w:hint="eastAsia" w:ascii="仿宋" w:hAnsi="仿宋" w:eastAsia="仿宋" w:cs="仿宋"/>
          <w:i w:val="0"/>
          <w:strike w:val="0"/>
          <w:color w:val="000000"/>
          <w:sz w:val="28"/>
          <w:u w:val="none"/>
        </w:rPr>
      </w:pPr>
      <w:r>
        <w:rPr>
          <w:rFonts w:hint="eastAsia" w:ascii="仿宋" w:hAnsi="仿宋" w:eastAsia="仿宋" w:cs="仿宋"/>
          <w:i w:val="0"/>
          <w:strike w:val="0"/>
          <w:color w:val="000000"/>
          <w:sz w:val="28"/>
          <w:u w:val="none"/>
        </w:rPr>
        <w:t>——新时代税费治理现代化和税务生态圈的引领者</w:t>
      </w:r>
    </w:p>
    <w:p>
      <w:pPr>
        <w:snapToGrid/>
        <w:spacing w:before="0" w:after="0" w:line="300" w:lineRule="auto"/>
        <w:ind w:left="0" w:right="0" w:firstLineChars="200"/>
        <w:rPr>
          <w:rFonts w:hint="eastAsia" w:ascii="仿宋" w:hAnsi="仿宋" w:eastAsia="仿宋" w:cs="仿宋"/>
          <w:i w:val="0"/>
          <w:strike w:val="0"/>
          <w:color w:val="000000"/>
          <w:sz w:val="28"/>
          <w:u w:val="none"/>
        </w:rPr>
      </w:pPr>
      <w:r>
        <w:rPr>
          <w:rFonts w:hint="eastAsia" w:ascii="仿宋" w:hAnsi="仿宋" w:eastAsia="仿宋" w:cs="仿宋"/>
          <w:i w:val="0"/>
          <w:strike w:val="0"/>
          <w:color w:val="000000"/>
          <w:sz w:val="28"/>
          <w:u w:val="none"/>
        </w:rPr>
        <w:t>——中国式数字经济的先行者</w:t>
      </w:r>
    </w:p>
    <w:p>
      <w:pPr>
        <w:spacing w:line="240" w:lineRule="auto"/>
        <w:rPr>
          <w:rFonts w:ascii="仿宋" w:hAnsi="仿宋" w:eastAsia="仿宋" w:cs="仿宋"/>
          <w:sz w:val="24"/>
          <w:szCs w:val="24"/>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黑体" w:hAnsi="黑体" w:eastAsia="黑体" w:cs="黑体"/>
          <w:b w:val="0"/>
          <w:bCs w:val="0"/>
          <w:i w:val="0"/>
          <w:strike w:val="0"/>
          <w:color w:val="000000"/>
          <w:sz w:val="28"/>
          <w:u w:val="none"/>
        </w:rPr>
      </w:pPr>
      <w:r>
        <w:rPr>
          <w:rFonts w:hint="eastAsia" w:ascii="黑体" w:hAnsi="黑体" w:eastAsia="黑体" w:cs="黑体"/>
          <w:b w:val="0"/>
          <w:bCs w:val="0"/>
          <w:i w:val="0"/>
          <w:strike w:val="0"/>
          <w:color w:val="000000"/>
          <w:sz w:val="28"/>
          <w:u w:val="none"/>
        </w:rPr>
        <w:t>1、背景说明</w:t>
      </w:r>
    </w:p>
    <w:p>
      <w:pPr>
        <w:pBdr>
          <w:bottom w:val="none" w:color="auto" w:sz="0" w:space="0"/>
        </w:pBdr>
        <w:snapToGrid/>
        <w:spacing w:before="0" w:after="0" w:line="300" w:lineRule="auto"/>
        <w:ind w:left="0" w:right="0" w:firstLine="420"/>
        <w:rPr>
          <w:rFonts w:hint="eastAsia" w:ascii="宋体" w:hAnsi="宋体" w:eastAsia="宋体" w:cs="宋体"/>
          <w:b/>
          <w:sz w:val="28"/>
        </w:rPr>
      </w:pPr>
      <w:r>
        <w:rPr>
          <w:rFonts w:hint="eastAsia" w:ascii="宋体" w:hAnsi="宋体" w:eastAsia="宋体" w:cs="宋体"/>
          <w:b/>
          <w:i w:val="0"/>
          <w:strike w:val="0"/>
          <w:color w:val="000000"/>
          <w:sz w:val="28"/>
          <w:u w:val="none"/>
        </w:rPr>
        <w:t>【项目的行业背景】</w:t>
      </w:r>
    </w:p>
    <w:p>
      <w:pPr>
        <w:snapToGrid/>
        <w:spacing w:before="0" w:after="0" w:line="300" w:lineRule="auto"/>
        <w:ind w:left="0" w:right="0" w:firstLineChars="200"/>
        <w:rPr>
          <w:rFonts w:ascii="仿宋" w:hAnsi="仿宋" w:eastAsia="仿宋" w:cs="仿宋"/>
          <w:i w:val="0"/>
          <w:strike w:val="0"/>
          <w:color w:val="000000"/>
          <w:sz w:val="28"/>
          <w:u w:val="none"/>
        </w:rPr>
      </w:pPr>
      <w:r>
        <w:rPr>
          <w:rFonts w:ascii="仿宋" w:hAnsi="仿宋" w:eastAsia="仿宋" w:cs="仿宋"/>
          <w:i w:val="0"/>
          <w:strike w:val="0"/>
          <w:color w:val="000000"/>
          <w:sz w:val="28"/>
          <w:u w:val="none"/>
        </w:rPr>
        <w:t>近年来，中国财税培训行业迎来显著发展。首先，得益于中国经济飞速发展，企业对财务人才的需求大增，"十四五"规划会计人员将在2025年达到1200多万。其次，财经教育的大规模扩招和同质化教育，引发毕业生竞争激烈。众多学生和从业者争相向高端岗位转型，相关职业资格考试如注册会计师考试的报名人数每年超过百万。</w:t>
      </w:r>
    </w:p>
    <w:p>
      <w:pPr>
        <w:snapToGrid/>
        <w:spacing w:before="0" w:after="0" w:line="300" w:lineRule="auto"/>
        <w:ind w:left="0" w:right="0" w:firstLineChars="200"/>
        <w:rPr>
          <w:rFonts w:ascii="仿宋" w:hAnsi="仿宋" w:eastAsia="仿宋" w:cs="仿宋"/>
          <w:i w:val="0"/>
          <w:strike w:val="0"/>
          <w:color w:val="000000"/>
          <w:sz w:val="28"/>
          <w:u w:val="none"/>
        </w:rPr>
      </w:pPr>
      <w:r>
        <w:rPr>
          <w:rFonts w:ascii="仿宋" w:hAnsi="仿宋" w:eastAsia="仿宋" w:cs="仿宋"/>
          <w:i w:val="0"/>
          <w:strike w:val="0"/>
          <w:color w:val="000000"/>
          <w:sz w:val="28"/>
          <w:u w:val="none"/>
        </w:rPr>
        <w:t>未来财税培训行业市场空间有望进一步拓宽。由于中国经济的持续发展和财经专业毕业生数量的不断攀升，预计专业财务人才的需求和对高端岗位的追求将持续增长，有望推动财税培训行业进一步壮大。</w:t>
      </w:r>
    </w:p>
    <w:p>
      <w:pPr>
        <w:spacing w:line="240" w:lineRule="auto"/>
        <w:rPr>
          <w:rFonts w:ascii="仿宋" w:hAnsi="仿宋" w:eastAsia="仿宋" w:cs="仿宋"/>
          <w:sz w:val="24"/>
          <w:szCs w:val="24"/>
        </w:rPr>
      </w:pPr>
    </w:p>
    <w:p>
      <w:pPr>
        <w:pBdr>
          <w:bottom w:val="none" w:color="auto" w:sz="0" w:space="0"/>
        </w:pBdr>
        <w:snapToGrid/>
        <w:spacing w:before="0" w:after="0" w:line="300" w:lineRule="auto"/>
        <w:ind w:left="0" w:right="0" w:firstLine="420"/>
        <w:rPr>
          <w:rFonts w:hint="eastAsia" w:ascii="宋体" w:hAnsi="宋体" w:eastAsia="宋体" w:cs="宋体"/>
          <w:b/>
          <w:i w:val="0"/>
          <w:strike w:val="0"/>
          <w:color w:val="000000"/>
          <w:sz w:val="28"/>
          <w:u w:val="none"/>
        </w:rPr>
      </w:pPr>
      <w:r>
        <w:rPr>
          <w:rFonts w:hint="eastAsia" w:ascii="宋体" w:hAnsi="宋体" w:eastAsia="宋体" w:cs="宋体"/>
          <w:b/>
          <w:i w:val="0"/>
          <w:strike w:val="0"/>
          <w:color w:val="000000"/>
          <w:sz w:val="28"/>
          <w:u w:val="none"/>
        </w:rPr>
        <w:t>【项目的客户背景】</w:t>
      </w:r>
    </w:p>
    <w:p>
      <w:pPr>
        <w:snapToGrid/>
        <w:spacing w:before="0" w:after="0" w:line="300" w:lineRule="auto"/>
        <w:ind w:left="0" w:right="0" w:firstLineChars="200"/>
        <w:rPr>
          <w:rFonts w:ascii="仿宋" w:hAnsi="仿宋" w:eastAsia="仿宋" w:cs="仿宋"/>
          <w:i w:val="0"/>
          <w:strike w:val="0"/>
          <w:color w:val="000000"/>
          <w:sz w:val="28"/>
          <w:u w:val="none"/>
        </w:rPr>
      </w:pPr>
      <w:r>
        <w:rPr>
          <w:rFonts w:ascii="仿宋" w:hAnsi="仿宋" w:eastAsia="仿宋" w:cs="仿宋"/>
          <w:i w:val="0"/>
          <w:strike w:val="0"/>
          <w:color w:val="000000"/>
          <w:sz w:val="28"/>
          <w:u w:val="none"/>
        </w:rPr>
        <w:t>亿企赢网络科技有限公司由税友集团于2016年创立。是一个致力于向全国千万企业和财税人士提供企业财税综合服务和个人职业成长服务的专业平台。</w:t>
      </w:r>
    </w:p>
    <w:p>
      <w:pPr>
        <w:snapToGrid/>
        <w:spacing w:before="0" w:after="0" w:line="300" w:lineRule="auto"/>
        <w:ind w:left="0" w:right="0" w:firstLineChars="200"/>
        <w:rPr>
          <w:rFonts w:ascii="仿宋" w:hAnsi="仿宋" w:eastAsia="仿宋" w:cs="仿宋"/>
          <w:i w:val="0"/>
          <w:strike w:val="0"/>
          <w:color w:val="000000"/>
          <w:sz w:val="28"/>
          <w:u w:val="none"/>
        </w:rPr>
      </w:pPr>
      <w:r>
        <w:rPr>
          <w:rFonts w:ascii="仿宋" w:hAnsi="仿宋" w:eastAsia="仿宋" w:cs="仿宋"/>
          <w:i w:val="0"/>
          <w:strike w:val="0"/>
          <w:color w:val="000000"/>
          <w:sz w:val="28"/>
          <w:u w:val="none"/>
        </w:rPr>
        <w:t>亿企赢以“共创财税价值”为使命，围绕财税代理、中小企业、企业集团等三大客群的业财税等管理需求，利用大数据、云计算、人工智能、知识图谱等技术，依托SaaS云平台，结合对财税业务的深刻理解，打造智能化效率工具和数据服务，帮助企业融合业财税，实现效率提升、业务合规和优财惠税；以培训赋能和知识服务提升财税从业者的业务能力，助力新时代财税人员从业务处理型职员升级转型为管理型人才。</w:t>
      </w:r>
    </w:p>
    <w:p>
      <w:pPr>
        <w:pBdr>
          <w:bottom w:val="none" w:color="auto" w:sz="0" w:space="0"/>
        </w:pBdr>
        <w:snapToGrid w:val="0"/>
        <w:spacing w:before="60" w:after="60" w:line="312" w:lineRule="auto"/>
        <w:rPr>
          <w:rFonts w:ascii="仿宋" w:hAnsi="仿宋" w:eastAsia="仿宋" w:cs="仿宋"/>
          <w:sz w:val="26"/>
        </w:rPr>
      </w:pPr>
      <w:r>
        <w:rPr>
          <w:rFonts w:hint="eastAsia" w:ascii="仿宋" w:hAnsi="仿宋" w:eastAsia="仿宋" w:cs="仿宋"/>
          <w:sz w:val="26"/>
          <w:lang w:val="en-US" w:eastAsia="zh-CN"/>
        </w:rPr>
        <w:t xml:space="preserve">    </w:t>
      </w:r>
      <w:r>
        <w:rPr>
          <w:rFonts w:ascii="仿宋" w:hAnsi="仿宋" w:eastAsia="仿宋" w:cs="仿宋"/>
          <w:sz w:val="24"/>
        </w:rPr>
        <w:t>注释：“</w:t>
      </w:r>
      <w:r>
        <w:rPr>
          <w:rFonts w:ascii="仿宋" w:hAnsi="仿宋" w:eastAsia="仿宋" w:cs="仿宋"/>
          <w:b w:val="0"/>
          <w:i w:val="0"/>
          <w:strike w:val="0"/>
          <w:spacing w:val="0"/>
          <w:sz w:val="24"/>
          <w:u w:val="none"/>
        </w:rPr>
        <w:t>业财税”指的是业务财务税务一体化，是将企业经营的业务流程、财务会计流程、管理流程3大流程有机融合，实现业务财务税务融合及管控一体化。财务系统通过与业务系统的集成，实现核算数据自动归集和生成。同时，系统支持各分支模块数据的报表查询。解决数据不及时、数据不连贯、数据不准确等问题，实现业务数据和财务数据同步、同源、统一。</w:t>
      </w:r>
    </w:p>
    <w:p>
      <w:pPr>
        <w:spacing w:line="240" w:lineRule="auto"/>
        <w:rPr>
          <w:rFonts w:ascii="仿宋" w:hAnsi="仿宋" w:eastAsia="仿宋" w:cs="仿宋"/>
          <w:sz w:val="24"/>
          <w:szCs w:val="24"/>
        </w:rPr>
      </w:pPr>
    </w:p>
    <w:p>
      <w:pPr>
        <w:pBdr>
          <w:bottom w:val="none" w:color="auto" w:sz="0" w:space="0"/>
        </w:pBdr>
        <w:snapToGrid/>
        <w:spacing w:before="0" w:after="0" w:line="300" w:lineRule="auto"/>
        <w:ind w:left="0" w:right="0" w:firstLine="420"/>
        <w:rPr>
          <w:rFonts w:hint="eastAsia" w:ascii="宋体" w:hAnsi="宋体" w:eastAsia="宋体" w:cs="宋体"/>
          <w:b/>
          <w:i w:val="0"/>
          <w:strike w:val="0"/>
          <w:color w:val="000000"/>
          <w:sz w:val="28"/>
          <w:u w:val="none"/>
        </w:rPr>
      </w:pPr>
      <w:r>
        <w:rPr>
          <w:rFonts w:hint="eastAsia" w:ascii="宋体" w:hAnsi="宋体" w:eastAsia="宋体" w:cs="宋体"/>
          <w:b/>
          <w:i w:val="0"/>
          <w:strike w:val="0"/>
          <w:color w:val="000000"/>
          <w:sz w:val="28"/>
          <w:u w:val="none"/>
        </w:rPr>
        <w:t>【项目的业务背景】</w:t>
      </w:r>
    </w:p>
    <w:p>
      <w:pPr>
        <w:snapToGrid/>
        <w:spacing w:before="0" w:after="0" w:line="300" w:lineRule="auto"/>
        <w:ind w:left="0" w:right="0" w:firstLineChars="200"/>
        <w:rPr>
          <w:rFonts w:ascii="仿宋" w:hAnsi="仿宋" w:eastAsia="仿宋" w:cs="仿宋"/>
          <w:i w:val="0"/>
          <w:strike w:val="0"/>
          <w:color w:val="000000"/>
          <w:sz w:val="28"/>
          <w:u w:val="none"/>
        </w:rPr>
      </w:pPr>
      <w:r>
        <w:rPr>
          <w:rFonts w:ascii="仿宋" w:hAnsi="仿宋" w:eastAsia="仿宋" w:cs="仿宋"/>
          <w:i w:val="0"/>
          <w:strike w:val="0"/>
          <w:color w:val="000000"/>
          <w:sz w:val="28"/>
          <w:u w:val="none"/>
        </w:rPr>
        <w:t xml:space="preserve">亿企赢立足财税行业，该公司拥有丰富的财税专业知识和经验，以及一支专业的教师团队，精心打造培训业务，满足专业财务人才成长的需求。 </w:t>
      </w:r>
    </w:p>
    <w:p>
      <w:pPr>
        <w:snapToGrid/>
        <w:spacing w:before="0" w:after="0" w:line="300" w:lineRule="auto"/>
        <w:ind w:left="0" w:right="0" w:firstLineChars="200"/>
        <w:rPr>
          <w:rFonts w:ascii="仿宋" w:hAnsi="仿宋" w:eastAsia="仿宋" w:cs="仿宋"/>
          <w:i w:val="0"/>
          <w:strike w:val="0"/>
          <w:color w:val="000000"/>
          <w:sz w:val="28"/>
          <w:u w:val="none"/>
        </w:rPr>
      </w:pPr>
      <w:r>
        <w:rPr>
          <w:rFonts w:ascii="仿宋" w:hAnsi="仿宋" w:eastAsia="仿宋" w:cs="仿宋"/>
          <w:i w:val="0"/>
          <w:strike w:val="0"/>
          <w:color w:val="000000"/>
          <w:sz w:val="28"/>
          <w:u w:val="none"/>
        </w:rPr>
        <w:t>该项目拟构建一个面向财税专业人员的线上财税培训平台，包括录播课程、直播课程等多种形式。希望通过有效的数字化、智能化手段，</w:t>
      </w:r>
      <w:r>
        <w:rPr>
          <w:rFonts w:ascii="仿宋" w:hAnsi="仿宋" w:eastAsia="仿宋" w:cs="仿宋"/>
          <w:b/>
          <w:bCs/>
          <w:i w:val="0"/>
          <w:strike w:val="0"/>
          <w:color w:val="FF0000"/>
          <w:sz w:val="28"/>
          <w:u w:val="none"/>
        </w:rPr>
        <w:t>为受训者提供更新颖的培训体验，提高培训效果</w:t>
      </w:r>
      <w:r>
        <w:rPr>
          <w:rFonts w:ascii="仿宋" w:hAnsi="仿宋" w:eastAsia="仿宋" w:cs="仿宋"/>
          <w:i w:val="0"/>
          <w:strike w:val="0"/>
          <w:color w:val="000000"/>
          <w:sz w:val="28"/>
          <w:u w:val="none"/>
        </w:rPr>
        <w:t>。</w:t>
      </w:r>
    </w:p>
    <w:p>
      <w:pPr>
        <w:spacing w:line="240" w:lineRule="auto"/>
        <w:rPr>
          <w:rFonts w:ascii="仿宋" w:hAnsi="仿宋" w:eastAsia="仿宋" w:cs="仿宋"/>
          <w:sz w:val="24"/>
          <w:szCs w:val="24"/>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黑体" w:hAnsi="黑体" w:eastAsia="黑体" w:cs="黑体"/>
          <w:b w:val="0"/>
          <w:bCs w:val="0"/>
          <w:i w:val="0"/>
          <w:strike w:val="0"/>
          <w:color w:val="000000"/>
          <w:sz w:val="28"/>
          <w:u w:val="none"/>
        </w:rPr>
      </w:pPr>
      <w:r>
        <w:rPr>
          <w:rFonts w:hint="eastAsia" w:ascii="黑体" w:hAnsi="黑体" w:eastAsia="黑体" w:cs="黑体"/>
          <w:b w:val="0"/>
          <w:bCs w:val="0"/>
          <w:i w:val="0"/>
          <w:strike w:val="0"/>
          <w:color w:val="000000"/>
          <w:sz w:val="28"/>
          <w:u w:val="none"/>
        </w:rPr>
        <w:t>2、项目说明</w:t>
      </w:r>
    </w:p>
    <w:p>
      <w:pPr>
        <w:pBdr>
          <w:bottom w:val="none" w:color="auto" w:sz="0" w:space="0"/>
        </w:pBdr>
        <w:snapToGrid/>
        <w:spacing w:before="0" w:after="0" w:line="300" w:lineRule="auto"/>
        <w:ind w:left="0" w:right="0" w:firstLine="420"/>
        <w:rPr>
          <w:rFonts w:hint="eastAsia" w:ascii="宋体" w:hAnsi="宋体" w:eastAsia="宋体" w:cs="宋体"/>
          <w:b/>
          <w:i w:val="0"/>
          <w:strike w:val="0"/>
          <w:color w:val="000000"/>
          <w:sz w:val="28"/>
          <w:u w:val="none"/>
        </w:rPr>
      </w:pPr>
      <w:r>
        <w:rPr>
          <w:rFonts w:hint="eastAsia" w:ascii="宋体" w:hAnsi="宋体" w:eastAsia="宋体" w:cs="宋体"/>
          <w:b/>
          <w:i w:val="0"/>
          <w:strike w:val="0"/>
          <w:color w:val="000000"/>
          <w:sz w:val="28"/>
          <w:u w:val="none"/>
        </w:rPr>
        <w:t>【问题说明】</w:t>
      </w:r>
    </w:p>
    <w:p>
      <w:pPr>
        <w:snapToGrid/>
        <w:spacing w:before="0" w:after="0" w:line="300" w:lineRule="auto"/>
        <w:ind w:left="0" w:right="0" w:firstLineChars="200"/>
        <w:rPr>
          <w:rFonts w:ascii="仿宋" w:hAnsi="仿宋" w:eastAsia="仿宋" w:cs="仿宋"/>
          <w:i w:val="0"/>
          <w:strike w:val="0"/>
          <w:color w:val="000000"/>
          <w:sz w:val="28"/>
          <w:u w:val="none"/>
        </w:rPr>
      </w:pPr>
      <w:r>
        <w:rPr>
          <w:rFonts w:ascii="仿宋" w:hAnsi="仿宋" w:eastAsia="仿宋" w:cs="仿宋"/>
          <w:i w:val="0"/>
          <w:strike w:val="0"/>
          <w:color w:val="000000"/>
          <w:sz w:val="28"/>
          <w:u w:val="none"/>
        </w:rPr>
        <w:t>由于在线平台缺少足够的学习管理机制，学生自我驱动性不强，学生可能会缺乏动力去完成课程，对学习现状不了解，效率不高。</w:t>
      </w:r>
    </w:p>
    <w:p>
      <w:pPr>
        <w:pBdr>
          <w:bottom w:val="none" w:color="auto" w:sz="0" w:space="0"/>
        </w:pBdr>
        <w:snapToGrid/>
        <w:spacing w:before="0" w:after="0" w:line="300" w:lineRule="auto"/>
        <w:ind w:left="0" w:leftChars="0" w:right="0" w:firstLineChars="200"/>
        <w:rPr>
          <w:rFonts w:ascii="仿宋" w:hAnsi="仿宋" w:eastAsia="仿宋" w:cs="仿宋"/>
          <w:i w:val="0"/>
          <w:strike w:val="0"/>
          <w:color w:val="000000"/>
          <w:sz w:val="28"/>
          <w:u w:val="none"/>
        </w:rPr>
      </w:pPr>
      <w:r>
        <w:rPr>
          <w:rFonts w:ascii="仿宋" w:hAnsi="仿宋" w:eastAsia="仿宋" w:cs="仿宋"/>
          <w:i w:val="0"/>
          <w:strike w:val="0"/>
          <w:color w:val="000000"/>
          <w:sz w:val="28"/>
          <w:u w:val="none"/>
        </w:rPr>
        <w:t>而且平台没有真正需要了解学生的现状，去定制符合学生发展的课程规划，个性化不足。培训老师也不知道学生的真正需求，靠热点来生产课程，同质化高。</w:t>
      </w:r>
    </w:p>
    <w:p>
      <w:pPr>
        <w:spacing w:line="240" w:lineRule="auto"/>
        <w:rPr>
          <w:rFonts w:ascii="仿宋" w:hAnsi="仿宋" w:eastAsia="仿宋" w:cs="仿宋"/>
          <w:sz w:val="24"/>
          <w:szCs w:val="24"/>
        </w:rPr>
      </w:pPr>
    </w:p>
    <w:p>
      <w:pPr>
        <w:pBdr>
          <w:bottom w:val="none" w:color="auto" w:sz="0" w:space="0"/>
        </w:pBdr>
        <w:snapToGrid/>
        <w:spacing w:before="0" w:after="0" w:line="300" w:lineRule="auto"/>
        <w:ind w:left="0" w:right="0" w:firstLine="420"/>
        <w:rPr>
          <w:rFonts w:hint="eastAsia" w:ascii="宋体" w:hAnsi="宋体" w:eastAsia="宋体" w:cs="宋体"/>
          <w:b/>
          <w:i w:val="0"/>
          <w:strike w:val="0"/>
          <w:color w:val="000000"/>
          <w:sz w:val="28"/>
          <w:u w:val="none"/>
        </w:rPr>
      </w:pPr>
      <w:bookmarkStart w:id="0" w:name="_GoBack"/>
      <w:r>
        <w:rPr>
          <w:rFonts w:hint="eastAsia" w:ascii="宋体" w:hAnsi="宋体" w:eastAsia="宋体" w:cs="宋体"/>
          <w:b/>
          <w:i w:val="0"/>
          <w:strike w:val="0"/>
          <w:color w:val="000000"/>
          <w:sz w:val="28"/>
          <w:u w:val="none"/>
        </w:rPr>
        <w:t>【用户期望】</w:t>
      </w:r>
    </w:p>
    <w:bookmarkEnd w:id="0"/>
    <w:p>
      <w:pPr>
        <w:snapToGrid/>
        <w:spacing w:before="0" w:after="0" w:line="300" w:lineRule="auto"/>
        <w:ind w:left="0" w:right="0" w:firstLineChars="200"/>
        <w:rPr>
          <w:rFonts w:ascii="仿宋" w:hAnsi="仿宋" w:eastAsia="仿宋" w:cs="仿宋"/>
          <w:i w:val="0"/>
          <w:strike w:val="0"/>
          <w:color w:val="000000"/>
          <w:sz w:val="28"/>
          <w:u w:val="none"/>
        </w:rPr>
      </w:pPr>
      <w:r>
        <w:rPr>
          <w:rFonts w:ascii="仿宋" w:hAnsi="仿宋" w:eastAsia="仿宋" w:cs="仿宋"/>
          <w:i w:val="0"/>
          <w:strike w:val="0"/>
          <w:color w:val="000000"/>
          <w:sz w:val="28"/>
          <w:u w:val="none"/>
        </w:rPr>
        <w:t>培训平台除了在线观看直播课程以及课程回放外，还可以通过数字人助理进行全天候实时问答互动等方式增加交流，来提高整体的学习体验。</w:t>
      </w:r>
    </w:p>
    <w:p>
      <w:pPr>
        <w:snapToGrid/>
        <w:spacing w:before="0" w:after="0" w:line="300" w:lineRule="auto"/>
        <w:ind w:left="0" w:right="0" w:firstLineChars="200"/>
        <w:rPr>
          <w:rFonts w:ascii="仿宋" w:hAnsi="仿宋" w:eastAsia="仿宋" w:cs="仿宋"/>
          <w:i w:val="0"/>
          <w:strike w:val="0"/>
          <w:color w:val="000000"/>
          <w:sz w:val="28"/>
          <w:u w:val="none"/>
        </w:rPr>
      </w:pPr>
      <w:r>
        <w:rPr>
          <w:rFonts w:ascii="仿宋" w:hAnsi="仿宋" w:eastAsia="仿宋" w:cs="仿宋"/>
          <w:i w:val="0"/>
          <w:strike w:val="0"/>
          <w:color w:val="000000"/>
          <w:sz w:val="28"/>
          <w:u w:val="none"/>
        </w:rPr>
        <w:t>对学员提供个性化的学习管理功能，包括定制化课程表、课程的提醒推送、学习进度概览等提高学员的学习效率。</w:t>
      </w:r>
    </w:p>
    <w:p>
      <w:pPr>
        <w:snapToGrid/>
        <w:spacing w:before="0" w:after="0" w:line="300" w:lineRule="auto"/>
        <w:ind w:left="0" w:right="0" w:firstLineChars="200"/>
        <w:rPr>
          <w:rFonts w:ascii="仿宋" w:hAnsi="仿宋" w:eastAsia="仿宋" w:cs="仿宋"/>
          <w:i w:val="0"/>
          <w:strike w:val="0"/>
          <w:color w:val="000000"/>
          <w:sz w:val="28"/>
          <w:u w:val="none"/>
        </w:rPr>
      </w:pPr>
      <w:r>
        <w:rPr>
          <w:rFonts w:ascii="仿宋" w:hAnsi="仿宋" w:eastAsia="仿宋" w:cs="仿宋"/>
          <w:i w:val="0"/>
          <w:strike w:val="0"/>
          <w:color w:val="000000"/>
          <w:sz w:val="28"/>
          <w:u w:val="none"/>
        </w:rPr>
        <w:t>对财税培训老师而言，平台可辅助课程生产和管理，通过数据分析整体学员现状以及课程反馈信息来改进优化已有课程，提升课程质量。</w:t>
      </w:r>
    </w:p>
    <w:p>
      <w:pPr>
        <w:pBdr>
          <w:bottom w:val="none" w:color="auto" w:sz="0" w:space="0"/>
        </w:pBdr>
        <w:rPr>
          <w:rFonts w:ascii="仿宋" w:hAnsi="仿宋" w:eastAsia="仿宋" w:cs="仿宋"/>
          <w:sz w:val="28"/>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黑体" w:hAnsi="黑体" w:eastAsia="黑体" w:cs="黑体"/>
          <w:b w:val="0"/>
          <w:bCs w:val="0"/>
          <w:i w:val="0"/>
          <w:strike w:val="0"/>
          <w:color w:val="000000"/>
          <w:sz w:val="28"/>
          <w:u w:val="none"/>
        </w:rPr>
      </w:pPr>
      <w:r>
        <w:rPr>
          <w:rFonts w:hint="eastAsia" w:ascii="黑体" w:hAnsi="黑体" w:eastAsia="黑体" w:cs="黑体"/>
          <w:b w:val="0"/>
          <w:bCs w:val="0"/>
          <w:i w:val="0"/>
          <w:strike w:val="0"/>
          <w:color w:val="000000"/>
          <w:sz w:val="28"/>
          <w:u w:val="none"/>
        </w:rPr>
        <w:t>3、任务要求</w:t>
      </w:r>
    </w:p>
    <w:p>
      <w:pPr>
        <w:snapToGrid/>
        <w:spacing w:before="0" w:after="0" w:line="360" w:lineRule="auto"/>
        <w:ind w:left="0" w:right="0" w:firstLine="560" w:firstLineChars="200"/>
        <w:rPr>
          <w:rFonts w:ascii="仿宋" w:hAnsi="仿宋" w:eastAsia="仿宋" w:cs="仿宋"/>
          <w:sz w:val="28"/>
        </w:rPr>
      </w:pPr>
      <w:r>
        <w:rPr>
          <w:rFonts w:ascii="仿宋" w:hAnsi="仿宋" w:eastAsia="仿宋" w:cs="仿宋"/>
          <w:i w:val="0"/>
          <w:strike w:val="0"/>
          <w:color w:val="000000"/>
          <w:sz w:val="28"/>
          <w:u w:val="none"/>
        </w:rPr>
        <w:t>基于以上的描述，该整体解决方案包括以下要求：</w:t>
      </w:r>
    </w:p>
    <w:p>
      <w:pPr>
        <w:snapToGrid/>
        <w:spacing w:before="0" w:after="0" w:line="360" w:lineRule="auto"/>
        <w:ind w:left="840" w:right="0" w:hanging="420"/>
        <w:rPr>
          <w:rFonts w:ascii="仿宋" w:hAnsi="仿宋" w:eastAsia="仿宋" w:cs="仿宋"/>
          <w:b/>
          <w:sz w:val="28"/>
        </w:rPr>
      </w:pPr>
      <w:r>
        <w:rPr>
          <w:rFonts w:ascii="仿宋" w:hAnsi="仿宋" w:eastAsia="仿宋" w:cs="仿宋"/>
          <w:b/>
          <w:i w:val="0"/>
          <w:strike w:val="0"/>
          <w:color w:val="000000"/>
          <w:sz w:val="28"/>
          <w:u w:val="none"/>
        </w:rPr>
        <w:t>（1） 产品规划方案：</w:t>
      </w:r>
    </w:p>
    <w:p>
      <w:pPr>
        <w:numPr>
          <w:ilvl w:val="0"/>
          <w:numId w:val="1"/>
        </w:numPr>
        <w:rPr>
          <w:rFonts w:ascii="仿宋" w:hAnsi="仿宋" w:eastAsia="仿宋" w:cs="仿宋"/>
          <w:sz w:val="28"/>
        </w:rPr>
      </w:pPr>
      <w:r>
        <w:rPr>
          <w:rFonts w:ascii="仿宋" w:hAnsi="仿宋" w:eastAsia="仿宋" w:cs="仿宋"/>
          <w:sz w:val="28"/>
        </w:rPr>
        <w:t>用户及市场分析</w:t>
      </w:r>
    </w:p>
    <w:p>
      <w:pPr>
        <w:numPr>
          <w:ilvl w:val="0"/>
          <w:numId w:val="1"/>
        </w:numPr>
        <w:rPr>
          <w:rFonts w:ascii="仿宋" w:hAnsi="仿宋" w:eastAsia="仿宋" w:cs="仿宋"/>
          <w:sz w:val="28"/>
        </w:rPr>
      </w:pPr>
      <w:r>
        <w:rPr>
          <w:rFonts w:ascii="仿宋" w:hAnsi="仿宋" w:eastAsia="仿宋" w:cs="仿宋"/>
          <w:sz w:val="28"/>
        </w:rPr>
        <w:t>业务流程图</w:t>
      </w:r>
    </w:p>
    <w:p>
      <w:pPr>
        <w:numPr>
          <w:ilvl w:val="0"/>
          <w:numId w:val="1"/>
        </w:numPr>
        <w:pBdr>
          <w:bottom w:val="none" w:color="auto" w:sz="0" w:space="0"/>
        </w:pBdr>
        <w:rPr>
          <w:rFonts w:ascii="仿宋" w:hAnsi="仿宋" w:eastAsia="仿宋" w:cs="仿宋"/>
          <w:sz w:val="28"/>
        </w:rPr>
      </w:pPr>
      <w:r>
        <w:rPr>
          <w:rFonts w:ascii="仿宋" w:hAnsi="仿宋" w:eastAsia="仿宋" w:cs="仿宋"/>
          <w:sz w:val="28"/>
        </w:rPr>
        <w:t>产品/服务功能架构图</w:t>
      </w:r>
    </w:p>
    <w:p>
      <w:pPr>
        <w:snapToGrid/>
        <w:spacing w:before="0" w:after="0" w:line="360" w:lineRule="auto"/>
        <w:ind w:left="840" w:right="0" w:hanging="420"/>
        <w:rPr>
          <w:rFonts w:ascii="仿宋" w:hAnsi="仿宋" w:eastAsia="仿宋" w:cs="仿宋"/>
          <w:b/>
          <w:i w:val="0"/>
          <w:strike w:val="0"/>
          <w:color w:val="000000"/>
          <w:sz w:val="28"/>
          <w:u w:val="none"/>
        </w:rPr>
      </w:pPr>
      <w:r>
        <w:rPr>
          <w:rFonts w:ascii="仿宋" w:hAnsi="仿宋" w:eastAsia="仿宋" w:cs="仿宋"/>
          <w:b/>
          <w:i w:val="0"/>
          <w:strike w:val="0"/>
          <w:color w:val="000000"/>
          <w:sz w:val="28"/>
          <w:u w:val="none"/>
        </w:rPr>
        <w:t>（2） 功能模块包括：</w:t>
      </w:r>
    </w:p>
    <w:p>
      <w:pPr>
        <w:pBdr>
          <w:bottom w:val="none" w:color="auto" w:sz="0" w:space="0"/>
        </w:pBdr>
        <w:snapToGrid/>
        <w:spacing w:before="0" w:after="0" w:line="360" w:lineRule="auto"/>
        <w:ind w:left="420" w:right="0" w:firstLine="480"/>
        <w:rPr>
          <w:rFonts w:ascii="仿宋" w:hAnsi="仿宋" w:eastAsia="仿宋" w:cs="仿宋"/>
          <w:b/>
          <w:sz w:val="28"/>
        </w:rPr>
      </w:pPr>
      <w:r>
        <w:rPr>
          <w:rFonts w:ascii="仿宋" w:hAnsi="仿宋" w:eastAsia="仿宋" w:cs="仿宋"/>
          <w:b/>
          <w:sz w:val="28"/>
        </w:rPr>
        <w:drawing>
          <wp:inline distT="0" distB="0" distL="0" distR="0">
            <wp:extent cx="4648200" cy="3019425"/>
            <wp:effectExtent l="0" t="0" r="0" b="0"/>
            <wp:docPr id="1" name="picture" descr="descript"/>
            <wp:cNvGraphicFramePr/>
            <a:graphic xmlns:a="http://schemas.openxmlformats.org/drawingml/2006/main">
              <a:graphicData uri="http://schemas.openxmlformats.org/drawingml/2006/picture">
                <pic:pic xmlns:pic="http://schemas.openxmlformats.org/drawingml/2006/picture">
                  <pic:nvPicPr>
                    <pic:cNvPr id="1" name="picture" descr="descript"/>
                    <pic:cNvPicPr/>
                  </pic:nvPicPr>
                  <pic:blipFill>
                    <a:blip r:embed="rId6"/>
                    <a:stretch>
                      <a:fillRect/>
                    </a:stretch>
                  </pic:blipFill>
                  <pic:spPr>
                    <a:xfrm>
                      <a:off x="0" y="0"/>
                      <a:ext cx="4648200" cy="3019425"/>
                    </a:xfrm>
                    <a:prstGeom prst="rect">
                      <a:avLst/>
                    </a:prstGeom>
                  </pic:spPr>
                </pic:pic>
              </a:graphicData>
            </a:graphic>
          </wp:inline>
        </w:drawing>
      </w:r>
    </w:p>
    <w:p>
      <w:pPr>
        <w:numPr>
          <w:ilvl w:val="0"/>
          <w:numId w:val="1"/>
        </w:numPr>
        <w:rPr>
          <w:rFonts w:ascii="仿宋" w:hAnsi="仿宋" w:eastAsia="仿宋" w:cs="仿宋"/>
          <w:sz w:val="28"/>
        </w:rPr>
      </w:pPr>
      <w:r>
        <w:rPr>
          <w:rFonts w:ascii="仿宋" w:hAnsi="仿宋" w:eastAsia="仿宋" w:cs="仿宋"/>
          <w:sz w:val="28"/>
        </w:rPr>
        <w:t>用户侧分为学习管理、课程发现、学习社区、学习助理等模块   用户可以通过学习管理进行在线上课、提供课后反馈，在课程发现探索个性化课程表，在学习社区与学员和老师交流，还可以与数字人学习助理进行实时问答互动。</w:t>
      </w:r>
    </w:p>
    <w:p>
      <w:pPr>
        <w:numPr>
          <w:ilvl w:val="0"/>
          <w:numId w:val="1"/>
        </w:numPr>
        <w:pBdr>
          <w:bottom w:val="none" w:color="auto" w:sz="0" w:space="0"/>
        </w:pBdr>
        <w:rPr>
          <w:rFonts w:ascii="仿宋" w:hAnsi="仿宋" w:eastAsia="仿宋" w:cs="仿宋"/>
          <w:sz w:val="28"/>
        </w:rPr>
      </w:pPr>
      <w:r>
        <w:rPr>
          <w:rFonts w:ascii="仿宋" w:hAnsi="仿宋" w:eastAsia="仿宋" w:cs="仿宋"/>
          <w:sz w:val="28"/>
        </w:rPr>
        <w:t>财税培训老师的课程管理模块，可以进行课程的生产和管理，还可进行课程观看人数、评价等反馈数据的可视化分析等。</w:t>
      </w:r>
    </w:p>
    <w:p>
      <w:pPr>
        <w:snapToGrid/>
        <w:spacing w:before="0" w:after="0" w:line="360" w:lineRule="auto"/>
        <w:ind w:left="840" w:right="0" w:hanging="420"/>
        <w:rPr>
          <w:rFonts w:ascii="仿宋" w:hAnsi="仿宋" w:eastAsia="仿宋" w:cs="仿宋"/>
          <w:b/>
          <w:sz w:val="28"/>
        </w:rPr>
      </w:pPr>
      <w:r>
        <w:rPr>
          <w:rFonts w:ascii="仿宋" w:hAnsi="仿宋" w:eastAsia="仿宋" w:cs="仿宋"/>
          <w:b/>
          <w:i w:val="0"/>
          <w:strike w:val="0"/>
          <w:color w:val="000000"/>
          <w:sz w:val="28"/>
          <w:u w:val="none"/>
        </w:rPr>
        <w:t>（3） 技术方案及产品原型：</w:t>
      </w:r>
    </w:p>
    <w:p>
      <w:pPr>
        <w:numPr>
          <w:ilvl w:val="0"/>
          <w:numId w:val="1"/>
        </w:numPr>
        <w:rPr>
          <w:rFonts w:ascii="仿宋" w:hAnsi="仿宋" w:eastAsia="仿宋" w:cs="仿宋"/>
          <w:sz w:val="28"/>
        </w:rPr>
      </w:pPr>
      <w:r>
        <w:rPr>
          <w:rFonts w:ascii="仿宋" w:hAnsi="仿宋" w:eastAsia="仿宋" w:cs="仿宋"/>
          <w:sz w:val="28"/>
        </w:rPr>
        <w:t>基于web端系统，开发语言优先Java，Python</w:t>
      </w:r>
    </w:p>
    <w:p>
      <w:pPr>
        <w:numPr>
          <w:ilvl w:val="0"/>
          <w:numId w:val="1"/>
        </w:numPr>
        <w:rPr>
          <w:rFonts w:ascii="仿宋" w:hAnsi="仿宋" w:eastAsia="仿宋" w:cs="仿宋"/>
          <w:sz w:val="28"/>
        </w:rPr>
      </w:pPr>
      <w:r>
        <w:rPr>
          <w:rFonts w:ascii="仿宋" w:hAnsi="仿宋" w:eastAsia="仿宋" w:cs="仿宋"/>
          <w:sz w:val="28"/>
        </w:rPr>
        <w:t>提供整体技术架构解决方案，方案突出数字化和智能化的解决方案</w:t>
      </w:r>
    </w:p>
    <w:p>
      <w:pPr>
        <w:numPr>
          <w:ilvl w:val="0"/>
          <w:numId w:val="1"/>
        </w:numPr>
        <w:rPr>
          <w:rFonts w:ascii="仿宋" w:hAnsi="仿宋" w:eastAsia="仿宋" w:cs="仿宋"/>
          <w:sz w:val="28"/>
        </w:rPr>
      </w:pPr>
      <w:r>
        <w:rPr>
          <w:rFonts w:ascii="仿宋" w:hAnsi="仿宋" w:eastAsia="仿宋" w:cs="仿宋"/>
          <w:sz w:val="28"/>
        </w:rPr>
        <w:t>请实现该产品的原型系统</w:t>
      </w:r>
    </w:p>
    <w:p>
      <w:pPr>
        <w:snapToGrid/>
        <w:spacing w:before="0" w:after="0" w:line="360" w:lineRule="auto"/>
        <w:ind w:left="840" w:right="0" w:hanging="420"/>
        <w:rPr>
          <w:rFonts w:ascii="仿宋" w:hAnsi="仿宋" w:eastAsia="仿宋" w:cs="仿宋"/>
          <w:b/>
          <w:sz w:val="28"/>
        </w:rPr>
      </w:pPr>
      <w:r>
        <w:rPr>
          <w:rFonts w:ascii="仿宋" w:hAnsi="仿宋" w:eastAsia="仿宋" w:cs="仿宋"/>
          <w:b/>
          <w:i w:val="0"/>
          <w:strike w:val="0"/>
          <w:color w:val="000000"/>
          <w:sz w:val="28"/>
          <w:u w:val="none"/>
        </w:rPr>
        <w:t>（4） 实施方案：</w:t>
      </w:r>
    </w:p>
    <w:p>
      <w:pPr>
        <w:numPr>
          <w:ilvl w:val="0"/>
          <w:numId w:val="1"/>
        </w:numPr>
        <w:rPr>
          <w:rFonts w:ascii="仿宋" w:hAnsi="仿宋" w:eastAsia="仿宋" w:cs="仿宋"/>
          <w:sz w:val="28"/>
        </w:rPr>
      </w:pPr>
      <w:r>
        <w:rPr>
          <w:rFonts w:ascii="仿宋" w:hAnsi="仿宋" w:eastAsia="仿宋" w:cs="仿宋"/>
          <w:sz w:val="28"/>
        </w:rPr>
        <w:t>实施计划</w:t>
      </w:r>
    </w:p>
    <w:p>
      <w:pPr>
        <w:numPr>
          <w:ilvl w:val="0"/>
          <w:numId w:val="1"/>
        </w:numPr>
        <w:pBdr>
          <w:bottom w:val="none" w:color="auto" w:sz="0" w:space="0"/>
        </w:pBdr>
        <w:rPr>
          <w:rFonts w:ascii="仿宋" w:hAnsi="仿宋" w:eastAsia="仿宋" w:cs="仿宋"/>
          <w:sz w:val="28"/>
        </w:rPr>
      </w:pPr>
      <w:r>
        <w:rPr>
          <w:rFonts w:ascii="仿宋" w:hAnsi="仿宋" w:eastAsia="仿宋" w:cs="仿宋"/>
          <w:sz w:val="28"/>
        </w:rPr>
        <w:t>项目管理清单</w:t>
      </w:r>
    </w:p>
    <w:p>
      <w:pPr>
        <w:snapToGrid/>
        <w:spacing w:before="0" w:after="0" w:line="360" w:lineRule="auto"/>
        <w:ind w:left="840" w:right="0" w:hanging="420"/>
        <w:rPr>
          <w:rFonts w:ascii="仿宋" w:hAnsi="仿宋" w:eastAsia="仿宋" w:cs="仿宋"/>
          <w:b/>
          <w:sz w:val="28"/>
        </w:rPr>
      </w:pPr>
      <w:r>
        <w:rPr>
          <w:rFonts w:ascii="仿宋" w:hAnsi="仿宋" w:eastAsia="仿宋" w:cs="仿宋"/>
          <w:b/>
          <w:i w:val="0"/>
          <w:strike w:val="0"/>
          <w:color w:val="000000"/>
          <w:sz w:val="28"/>
          <w:u w:val="none"/>
        </w:rPr>
        <w:t>（5） 提交资料：</w:t>
      </w:r>
    </w:p>
    <w:p>
      <w:pPr>
        <w:snapToGrid/>
        <w:spacing w:before="0" w:after="0" w:line="360" w:lineRule="auto"/>
        <w:ind w:left="0" w:right="0" w:firstLine="560" w:firstLineChars="200"/>
        <w:rPr>
          <w:rFonts w:ascii="仿宋" w:hAnsi="仿宋" w:eastAsia="仿宋" w:cs="仿宋"/>
          <w:sz w:val="28"/>
        </w:rPr>
      </w:pPr>
      <w:r>
        <w:rPr>
          <w:rFonts w:ascii="仿宋" w:hAnsi="仿宋" w:eastAsia="仿宋" w:cs="仿宋"/>
          <w:sz w:val="28"/>
        </w:rPr>
        <w:t>产品规划文档、 技术架构文档、源代码、产品原型系统说明文档、实施计划及项目管理清单。</w:t>
      </w:r>
    </w:p>
    <w:p>
      <w:pPr>
        <w:pBdr>
          <w:bottom w:val="none" w:color="auto" w:sz="0" w:space="0"/>
        </w:pBdr>
        <w:snapToGrid/>
        <w:spacing w:before="0" w:after="0" w:line="240" w:lineRule="auto"/>
        <w:ind w:left="0" w:right="0" w:firstLineChars="200"/>
        <w:rPr>
          <w:rFonts w:ascii="仿宋" w:hAnsi="仿宋" w:eastAsia="仿宋" w:cs="仿宋"/>
          <w:sz w:val="28"/>
        </w:rPr>
      </w:pPr>
      <w:r>
        <w:rPr>
          <w:rFonts w:ascii="仿宋" w:hAnsi="仿宋" w:eastAsia="仿宋" w:cs="仿宋"/>
          <w:sz w:val="28"/>
        </w:rPr>
        <w:t>（</w:t>
      </w:r>
      <w:r>
        <w:rPr>
          <w:rFonts w:ascii="仿宋" w:hAnsi="仿宋" w:eastAsia="仿宋" w:cs="仿宋"/>
          <w:i w:val="0"/>
          <w:strike w:val="0"/>
          <w:color w:val="000000"/>
          <w:sz w:val="28"/>
          <w:u w:val="none"/>
        </w:rPr>
        <w:t>但不限以上资料，其他认为有必要的资料都可以递交</w:t>
      </w:r>
      <w:r>
        <w:rPr>
          <w:rFonts w:ascii="仿宋" w:hAnsi="仿宋" w:eastAsia="仿宋" w:cs="仿宋"/>
          <w:sz w:val="28"/>
        </w:rPr>
        <w:t>）</w:t>
      </w:r>
    </w:p>
    <w:p>
      <w:pPr>
        <w:spacing w:line="240" w:lineRule="auto"/>
        <w:rPr>
          <w:rFonts w:ascii="仿宋" w:hAnsi="仿宋" w:eastAsia="仿宋" w:cs="仿宋"/>
          <w:sz w:val="24"/>
          <w:szCs w:val="24"/>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黑体" w:hAnsi="黑体" w:eastAsia="黑体" w:cs="黑体"/>
          <w:b w:val="0"/>
          <w:bCs w:val="0"/>
          <w:i w:val="0"/>
          <w:strike w:val="0"/>
          <w:color w:val="000000"/>
          <w:sz w:val="28"/>
          <w:u w:val="none"/>
        </w:rPr>
      </w:pPr>
      <w:r>
        <w:rPr>
          <w:rFonts w:hint="eastAsia" w:ascii="黑体" w:hAnsi="黑体" w:eastAsia="黑体" w:cs="黑体"/>
          <w:b w:val="0"/>
          <w:bCs w:val="0"/>
          <w:i w:val="0"/>
          <w:strike w:val="0"/>
          <w:color w:val="000000"/>
          <w:sz w:val="28"/>
          <w:u w:val="none"/>
        </w:rPr>
        <w:t>4、奖励说明</w:t>
      </w:r>
    </w:p>
    <w:p>
      <w:pPr>
        <w:snapToGrid/>
        <w:spacing w:before="0" w:after="0" w:line="300" w:lineRule="auto"/>
        <w:ind w:left="0" w:right="0" w:firstLineChars="200"/>
        <w:rPr>
          <w:rFonts w:ascii="仿宋" w:hAnsi="仿宋" w:eastAsia="仿宋" w:cs="仿宋"/>
          <w:i w:val="0"/>
          <w:strike w:val="0"/>
          <w:color w:val="000000"/>
          <w:sz w:val="28"/>
          <w:u w:val="none"/>
        </w:rPr>
      </w:pPr>
      <w:r>
        <w:rPr>
          <w:rFonts w:ascii="仿宋" w:hAnsi="仿宋" w:eastAsia="仿宋" w:cs="仿宋"/>
          <w:i w:val="0"/>
          <w:strike w:val="0"/>
          <w:color w:val="000000"/>
          <w:sz w:val="28"/>
          <w:u w:val="none"/>
        </w:rPr>
        <w:t>获奖团队除了能够获得大赛设定的奖金外，还可以获得“税友关键人才招聘项目”的免笔试卡，一经录用有机会参与到公司级的战略会议和核心项目中，拥有个人制定化的培养路径，快速提升个人专业和业务能力，成为公司技术、业务专家或者优秀管理干部的后继人才。</w:t>
      </w:r>
    </w:p>
    <w:p>
      <w:pPr>
        <w:snapToGrid/>
        <w:spacing w:before="0" w:after="0" w:line="360" w:lineRule="auto"/>
        <w:ind w:left="0" w:right="0" w:firstLine="560" w:firstLineChars="200"/>
        <w:rPr>
          <w:rFonts w:ascii="仿宋" w:hAnsi="仿宋" w:eastAsia="仿宋" w:cs="仿宋"/>
          <w:sz w:val="28"/>
        </w:rPr>
      </w:pPr>
    </w:p>
    <w:sectPr>
      <w:pgSz w:w="11905" w:h="16838"/>
      <w:pgMar w:top="1440" w:right="1080" w:bottom="1440" w:left="10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1216" w:hanging="336"/>
      </w:pPr>
      <w:rPr>
        <w:rFonts w:hint="default" w:ascii="Wingdings" w:hAnsi="Wingdings" w:eastAsia="Wingdings" w:cs="Wingdings"/>
      </w:rPr>
    </w:lvl>
    <w:lvl w:ilvl="1" w:tentative="0">
      <w:start w:val="1"/>
      <w:numFmt w:val="bullet"/>
      <w:lvlText w:val="¡"/>
      <w:lvlJc w:val="left"/>
      <w:pPr>
        <w:ind w:left="1656" w:hanging="336"/>
      </w:pPr>
      <w:rPr>
        <w:rFonts w:hint="default" w:ascii="Wingdings" w:hAnsi="Wingdings" w:eastAsia="Wingdings" w:cs="Wingdings"/>
      </w:rPr>
    </w:lvl>
    <w:lvl w:ilvl="2" w:tentative="0">
      <w:start w:val="1"/>
      <w:numFmt w:val="bullet"/>
      <w:lvlText w:val=""/>
      <w:lvlJc w:val="left"/>
      <w:pPr>
        <w:ind w:left="2096" w:hanging="336"/>
      </w:pPr>
      <w:rPr>
        <w:rFonts w:hint="default" w:ascii="Wingdings" w:hAnsi="Wingdings" w:eastAsia="Wingdings" w:cs="Wingdings"/>
      </w:rPr>
    </w:lvl>
    <w:lvl w:ilvl="3" w:tentative="0">
      <w:start w:val="1"/>
      <w:numFmt w:val="bullet"/>
      <w:lvlText w:val=""/>
      <w:lvlJc w:val="left"/>
      <w:pPr>
        <w:ind w:left="2536" w:hanging="336"/>
      </w:pPr>
      <w:rPr>
        <w:rFonts w:hint="default" w:ascii="Wingdings" w:hAnsi="Wingdings" w:eastAsia="Wingdings" w:cs="Wingdings"/>
      </w:rPr>
    </w:lvl>
    <w:lvl w:ilvl="4" w:tentative="0">
      <w:start w:val="1"/>
      <w:numFmt w:val="bullet"/>
      <w:lvlText w:val="¡"/>
      <w:lvlJc w:val="left"/>
      <w:pPr>
        <w:ind w:left="2976" w:hanging="336"/>
      </w:pPr>
      <w:rPr>
        <w:rFonts w:hint="default" w:ascii="Wingdings" w:hAnsi="Wingdings" w:eastAsia="Wingdings" w:cs="Wingdings"/>
      </w:rPr>
    </w:lvl>
    <w:lvl w:ilvl="5" w:tentative="0">
      <w:start w:val="1"/>
      <w:numFmt w:val="bullet"/>
      <w:lvlText w:val=""/>
      <w:lvlJc w:val="left"/>
      <w:pPr>
        <w:ind w:left="3416" w:hanging="336"/>
      </w:pPr>
      <w:rPr>
        <w:rFonts w:hint="default" w:ascii="Wingdings" w:hAnsi="Wingdings" w:eastAsia="Wingdings" w:cs="Wingdings"/>
      </w:rPr>
    </w:lvl>
    <w:lvl w:ilvl="6" w:tentative="0">
      <w:start w:val="1"/>
      <w:numFmt w:val="bullet"/>
      <w:lvlText w:val=""/>
      <w:lvlJc w:val="left"/>
      <w:pPr>
        <w:ind w:left="3856" w:hanging="336"/>
      </w:pPr>
      <w:rPr>
        <w:rFonts w:hint="default" w:ascii="Wingdings" w:hAnsi="Wingdings" w:eastAsia="Wingdings" w:cs="Wingdings"/>
      </w:rPr>
    </w:lvl>
    <w:lvl w:ilvl="7" w:tentative="0">
      <w:start w:val="1"/>
      <w:numFmt w:val="bullet"/>
      <w:lvlText w:val="¡"/>
      <w:lvlJc w:val="left"/>
      <w:pPr>
        <w:ind w:left="4296" w:hanging="336"/>
      </w:pPr>
      <w:rPr>
        <w:rFonts w:hint="default" w:ascii="Wingdings" w:hAnsi="Wingdings" w:eastAsia="Wingdings" w:cs="Wingdings"/>
      </w:rPr>
    </w:lvl>
    <w:lvl w:ilvl="8" w:tentative="0">
      <w:start w:val="1"/>
      <w:numFmt w:val="bullet"/>
      <w:lvlText w:val=""/>
      <w:lvlJc w:val="left"/>
      <w:pPr>
        <w:ind w:left="4736" w:hanging="336"/>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MwYTk1MzhkOTYxN2EzMTAzZTViN2U1NGNmYjc5NTcifQ=="/>
  </w:docVars>
  <w:rsids>
    <w:rsidRoot w:val="00000000"/>
    <w:rsid w:val="01EE268C"/>
    <w:rsid w:val="0FB77B24"/>
    <w:rsid w:val="11BF5BDC"/>
    <w:rsid w:val="157B044F"/>
    <w:rsid w:val="242328C0"/>
    <w:rsid w:val="2892648B"/>
    <w:rsid w:val="3E8E18CB"/>
    <w:rsid w:val="445E6363"/>
    <w:rsid w:val="680D0731"/>
    <w:rsid w:val="7A6D60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3"/>
    <w:basedOn w:val="1"/>
    <w:next w:val="1"/>
    <w:qFormat/>
    <w:uiPriority w:val="9"/>
    <w:pPr>
      <w:keepNext/>
      <w:keepLines/>
      <w:spacing w:before="0" w:after="0" w:line="408" w:lineRule="auto"/>
      <w:outlineLvl w:val="2"/>
    </w:pPr>
    <w:rPr>
      <w:b/>
      <w:bCs/>
      <w:color w:val="1A1A1A"/>
      <w:sz w:val="28"/>
      <w:szCs w:val="28"/>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Title"/>
    <w:basedOn w:val="1"/>
    <w:next w:val="1"/>
    <w:qFormat/>
    <w:uiPriority w:val="9"/>
    <w:pPr>
      <w:keepNext/>
      <w:keepLines/>
      <w:spacing w:before="0" w:after="0" w:line="408" w:lineRule="auto"/>
      <w:jc w:val="center"/>
      <w:outlineLvl w:val="0"/>
    </w:pPr>
    <w:rPr>
      <w:b/>
      <w:bCs/>
      <w:color w:val="1A1A1A"/>
      <w:sz w:val="48"/>
      <w:szCs w:val="48"/>
    </w:rPr>
  </w:style>
  <w:style w:type="table" w:styleId="6">
    <w:name w:val="Table Grid"/>
    <w:basedOn w:val="5"/>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1880</Words>
  <Characters>1918</Characters>
  <TotalTime>38</TotalTime>
  <ScaleCrop>false</ScaleCrop>
  <LinksUpToDate>false</LinksUpToDate>
  <CharactersWithSpaces>1933</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2023-06-14T09:42:00Z</dcterms:created>
  <dc:creator>Administrator</dc:creator>
  <cp:lastModifiedBy>Administrator</cp:lastModifiedBy>
  <dcterms:modified xsi:type="dcterms:W3CDTF">2023-07-06T10:06:39Z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E615FBCE5EF64AFAA34AD4BEA8CC3CEB_12</vt:lpwstr>
  </property>
</Properties>
</file>