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240817" w14:textId="30E5619A" w:rsidR="009338B1" w:rsidRPr="002B59BF" w:rsidRDefault="002B59BF" w:rsidP="002B59BF">
      <w:pPr>
        <w:jc w:val="center"/>
        <w:rPr>
          <w:rFonts w:ascii="Times New Roman" w:hAnsi="Times New Roman" w:cs="Times New Roman"/>
          <w:sz w:val="24"/>
          <w:szCs w:val="24"/>
        </w:rPr>
      </w:pPr>
      <w:r w:rsidRPr="002B59BF">
        <w:rPr>
          <w:rFonts w:ascii="Times New Roman" w:hAnsi="Times New Roman" w:cs="Times New Roman"/>
          <w:sz w:val="24"/>
          <w:szCs w:val="24"/>
        </w:rPr>
        <w:t xml:space="preserve">Regulatory Analytical Paper </w:t>
      </w:r>
    </w:p>
    <w:p w14:paraId="67A937DD" w14:textId="34DB5D84" w:rsidR="002B59BF" w:rsidRPr="002B59BF" w:rsidRDefault="002B59BF" w:rsidP="002B59BF">
      <w:pPr>
        <w:jc w:val="center"/>
        <w:rPr>
          <w:rFonts w:ascii="Times New Roman" w:hAnsi="Times New Roman" w:cs="Times New Roman"/>
          <w:sz w:val="24"/>
          <w:szCs w:val="24"/>
        </w:rPr>
      </w:pPr>
      <w:r w:rsidRPr="002B59BF">
        <w:rPr>
          <w:rFonts w:ascii="Times New Roman" w:hAnsi="Times New Roman" w:cs="Times New Roman"/>
          <w:sz w:val="24"/>
          <w:szCs w:val="24"/>
        </w:rPr>
        <w:t>E</w:t>
      </w:r>
      <w:r w:rsidR="00C21C0A">
        <w:rPr>
          <w:rFonts w:ascii="Times New Roman" w:hAnsi="Times New Roman" w:cs="Times New Roman"/>
          <w:sz w:val="24"/>
          <w:szCs w:val="24"/>
        </w:rPr>
        <w:t>CO</w:t>
      </w:r>
      <w:r w:rsidRPr="002B59BF">
        <w:rPr>
          <w:rFonts w:ascii="Times New Roman" w:hAnsi="Times New Roman" w:cs="Times New Roman"/>
          <w:sz w:val="24"/>
          <w:szCs w:val="24"/>
        </w:rPr>
        <w:t>- 540</w:t>
      </w:r>
    </w:p>
    <w:p w14:paraId="3BDC4330" w14:textId="0F31F5AA" w:rsidR="002B59BF" w:rsidRPr="002B59BF" w:rsidRDefault="002B59BF" w:rsidP="002B59BF">
      <w:pPr>
        <w:jc w:val="center"/>
        <w:rPr>
          <w:rFonts w:ascii="Times New Roman" w:hAnsi="Times New Roman" w:cs="Times New Roman"/>
          <w:sz w:val="24"/>
          <w:szCs w:val="24"/>
        </w:rPr>
      </w:pPr>
      <w:r w:rsidRPr="002B59BF">
        <w:rPr>
          <w:rFonts w:ascii="Times New Roman" w:hAnsi="Times New Roman" w:cs="Times New Roman"/>
          <w:sz w:val="24"/>
          <w:szCs w:val="24"/>
        </w:rPr>
        <w:t xml:space="preserve">Dr. Edwards </w:t>
      </w:r>
    </w:p>
    <w:p w14:paraId="4062E6F3" w14:textId="24557452" w:rsidR="002B59BF" w:rsidRDefault="002B59BF" w:rsidP="002B59BF">
      <w:pPr>
        <w:jc w:val="center"/>
        <w:rPr>
          <w:rFonts w:ascii="Times New Roman" w:hAnsi="Times New Roman" w:cs="Times New Roman"/>
          <w:sz w:val="24"/>
          <w:szCs w:val="24"/>
        </w:rPr>
      </w:pPr>
      <w:r w:rsidRPr="002B59BF">
        <w:rPr>
          <w:rFonts w:ascii="Times New Roman" w:hAnsi="Times New Roman" w:cs="Times New Roman"/>
          <w:sz w:val="24"/>
          <w:szCs w:val="24"/>
        </w:rPr>
        <w:t>12/22/24</w:t>
      </w:r>
    </w:p>
    <w:p w14:paraId="2060CAB3" w14:textId="77777777" w:rsidR="002B59BF" w:rsidRDefault="002B59BF" w:rsidP="002B59BF">
      <w:pPr>
        <w:jc w:val="center"/>
        <w:rPr>
          <w:rFonts w:ascii="Times New Roman" w:hAnsi="Times New Roman" w:cs="Times New Roman"/>
          <w:sz w:val="24"/>
          <w:szCs w:val="24"/>
        </w:rPr>
      </w:pPr>
    </w:p>
    <w:p w14:paraId="6DD6AAA7" w14:textId="77777777" w:rsidR="002B59BF" w:rsidRDefault="002B59BF" w:rsidP="002B59BF">
      <w:pPr>
        <w:jc w:val="center"/>
        <w:rPr>
          <w:rFonts w:ascii="Times New Roman" w:hAnsi="Times New Roman" w:cs="Times New Roman"/>
          <w:sz w:val="24"/>
          <w:szCs w:val="24"/>
        </w:rPr>
      </w:pPr>
    </w:p>
    <w:p w14:paraId="2A96F447" w14:textId="77777777" w:rsidR="002B59BF" w:rsidRDefault="002B59BF" w:rsidP="002B59BF">
      <w:pPr>
        <w:jc w:val="center"/>
        <w:rPr>
          <w:rFonts w:ascii="Times New Roman" w:hAnsi="Times New Roman" w:cs="Times New Roman"/>
          <w:sz w:val="24"/>
          <w:szCs w:val="24"/>
        </w:rPr>
      </w:pPr>
    </w:p>
    <w:p w14:paraId="5E3E3183" w14:textId="77777777" w:rsidR="002B59BF" w:rsidRDefault="002B59BF" w:rsidP="002B59BF">
      <w:pPr>
        <w:jc w:val="center"/>
        <w:rPr>
          <w:rFonts w:ascii="Times New Roman" w:hAnsi="Times New Roman" w:cs="Times New Roman"/>
          <w:sz w:val="24"/>
          <w:szCs w:val="24"/>
        </w:rPr>
      </w:pPr>
    </w:p>
    <w:p w14:paraId="43F909EC" w14:textId="77777777" w:rsidR="002B59BF" w:rsidRDefault="002B59BF" w:rsidP="002B59BF">
      <w:pPr>
        <w:jc w:val="center"/>
        <w:rPr>
          <w:rFonts w:ascii="Times New Roman" w:hAnsi="Times New Roman" w:cs="Times New Roman"/>
          <w:sz w:val="24"/>
          <w:szCs w:val="24"/>
        </w:rPr>
      </w:pPr>
    </w:p>
    <w:p w14:paraId="13267A49" w14:textId="77777777" w:rsidR="002B59BF" w:rsidRDefault="002B59BF" w:rsidP="002B59BF">
      <w:pPr>
        <w:jc w:val="center"/>
        <w:rPr>
          <w:rFonts w:ascii="Times New Roman" w:hAnsi="Times New Roman" w:cs="Times New Roman"/>
          <w:sz w:val="24"/>
          <w:szCs w:val="24"/>
        </w:rPr>
      </w:pPr>
    </w:p>
    <w:p w14:paraId="6FBE2137" w14:textId="77777777" w:rsidR="002B59BF" w:rsidRDefault="002B59BF" w:rsidP="002B59BF">
      <w:pPr>
        <w:jc w:val="center"/>
        <w:rPr>
          <w:rFonts w:ascii="Times New Roman" w:hAnsi="Times New Roman" w:cs="Times New Roman"/>
          <w:sz w:val="24"/>
          <w:szCs w:val="24"/>
        </w:rPr>
      </w:pPr>
    </w:p>
    <w:p w14:paraId="50D86083" w14:textId="77777777" w:rsidR="002B59BF" w:rsidRDefault="002B59BF" w:rsidP="002B59BF">
      <w:pPr>
        <w:jc w:val="center"/>
        <w:rPr>
          <w:rFonts w:ascii="Times New Roman" w:hAnsi="Times New Roman" w:cs="Times New Roman"/>
          <w:sz w:val="24"/>
          <w:szCs w:val="24"/>
        </w:rPr>
      </w:pPr>
    </w:p>
    <w:p w14:paraId="230044D7" w14:textId="77777777" w:rsidR="002B59BF" w:rsidRDefault="002B59BF" w:rsidP="002B59BF">
      <w:pPr>
        <w:jc w:val="center"/>
        <w:rPr>
          <w:rFonts w:ascii="Times New Roman" w:hAnsi="Times New Roman" w:cs="Times New Roman"/>
          <w:sz w:val="24"/>
          <w:szCs w:val="24"/>
        </w:rPr>
      </w:pPr>
    </w:p>
    <w:p w14:paraId="10079A10" w14:textId="77777777" w:rsidR="002B59BF" w:rsidRDefault="002B59BF" w:rsidP="002B59BF">
      <w:pPr>
        <w:jc w:val="center"/>
        <w:rPr>
          <w:rFonts w:ascii="Times New Roman" w:hAnsi="Times New Roman" w:cs="Times New Roman"/>
          <w:sz w:val="24"/>
          <w:szCs w:val="24"/>
        </w:rPr>
      </w:pPr>
    </w:p>
    <w:p w14:paraId="447878A0" w14:textId="77777777" w:rsidR="002B59BF" w:rsidRDefault="002B59BF" w:rsidP="002B59BF">
      <w:pPr>
        <w:jc w:val="center"/>
        <w:rPr>
          <w:rFonts w:ascii="Times New Roman" w:hAnsi="Times New Roman" w:cs="Times New Roman"/>
          <w:sz w:val="24"/>
          <w:szCs w:val="24"/>
        </w:rPr>
      </w:pPr>
    </w:p>
    <w:p w14:paraId="2B09E948" w14:textId="77777777" w:rsidR="002B59BF" w:rsidRDefault="002B59BF" w:rsidP="002B59BF">
      <w:pPr>
        <w:jc w:val="center"/>
        <w:rPr>
          <w:rFonts w:ascii="Times New Roman" w:hAnsi="Times New Roman" w:cs="Times New Roman"/>
          <w:sz w:val="24"/>
          <w:szCs w:val="24"/>
        </w:rPr>
      </w:pPr>
    </w:p>
    <w:p w14:paraId="665840DC" w14:textId="77777777" w:rsidR="002B59BF" w:rsidRDefault="002B59BF" w:rsidP="002B59BF">
      <w:pPr>
        <w:jc w:val="center"/>
        <w:rPr>
          <w:rFonts w:ascii="Times New Roman" w:hAnsi="Times New Roman" w:cs="Times New Roman"/>
          <w:sz w:val="24"/>
          <w:szCs w:val="24"/>
        </w:rPr>
      </w:pPr>
    </w:p>
    <w:p w14:paraId="0E9DC6A1" w14:textId="77777777" w:rsidR="002B59BF" w:rsidRDefault="002B59BF" w:rsidP="002B59BF">
      <w:pPr>
        <w:jc w:val="center"/>
        <w:rPr>
          <w:rFonts w:ascii="Times New Roman" w:hAnsi="Times New Roman" w:cs="Times New Roman"/>
          <w:sz w:val="24"/>
          <w:szCs w:val="24"/>
        </w:rPr>
      </w:pPr>
    </w:p>
    <w:p w14:paraId="2026590F" w14:textId="77777777" w:rsidR="002B59BF" w:rsidRDefault="002B59BF" w:rsidP="002B59BF">
      <w:pPr>
        <w:jc w:val="center"/>
        <w:rPr>
          <w:rFonts w:ascii="Times New Roman" w:hAnsi="Times New Roman" w:cs="Times New Roman"/>
          <w:sz w:val="24"/>
          <w:szCs w:val="24"/>
        </w:rPr>
      </w:pPr>
    </w:p>
    <w:p w14:paraId="1BF9652B" w14:textId="77777777" w:rsidR="002B59BF" w:rsidRDefault="002B59BF" w:rsidP="002B59BF">
      <w:pPr>
        <w:jc w:val="center"/>
        <w:rPr>
          <w:rFonts w:ascii="Times New Roman" w:hAnsi="Times New Roman" w:cs="Times New Roman"/>
          <w:sz w:val="24"/>
          <w:szCs w:val="24"/>
        </w:rPr>
      </w:pPr>
    </w:p>
    <w:p w14:paraId="3D932456" w14:textId="77777777" w:rsidR="002B59BF" w:rsidRDefault="002B59BF" w:rsidP="002B59BF">
      <w:pPr>
        <w:jc w:val="center"/>
        <w:rPr>
          <w:rFonts w:ascii="Times New Roman" w:hAnsi="Times New Roman" w:cs="Times New Roman"/>
          <w:sz w:val="24"/>
          <w:szCs w:val="24"/>
        </w:rPr>
      </w:pPr>
    </w:p>
    <w:p w14:paraId="1A28B499" w14:textId="77777777" w:rsidR="002B59BF" w:rsidRDefault="002B59BF" w:rsidP="002B59BF">
      <w:pPr>
        <w:jc w:val="center"/>
        <w:rPr>
          <w:rFonts w:ascii="Times New Roman" w:hAnsi="Times New Roman" w:cs="Times New Roman"/>
          <w:sz w:val="24"/>
          <w:szCs w:val="24"/>
        </w:rPr>
      </w:pPr>
    </w:p>
    <w:p w14:paraId="26C23F77" w14:textId="77777777" w:rsidR="002B59BF" w:rsidRDefault="002B59BF" w:rsidP="002B59BF">
      <w:pPr>
        <w:jc w:val="center"/>
        <w:rPr>
          <w:rFonts w:ascii="Times New Roman" w:hAnsi="Times New Roman" w:cs="Times New Roman"/>
          <w:sz w:val="24"/>
          <w:szCs w:val="24"/>
        </w:rPr>
      </w:pPr>
    </w:p>
    <w:p w14:paraId="569B033C" w14:textId="77777777" w:rsidR="002B59BF" w:rsidRDefault="002B59BF" w:rsidP="002B59BF">
      <w:pPr>
        <w:jc w:val="center"/>
        <w:rPr>
          <w:rFonts w:ascii="Times New Roman" w:hAnsi="Times New Roman" w:cs="Times New Roman"/>
          <w:sz w:val="24"/>
          <w:szCs w:val="24"/>
        </w:rPr>
      </w:pPr>
    </w:p>
    <w:p w14:paraId="5E18B2D1" w14:textId="77777777" w:rsidR="002B59BF" w:rsidRDefault="002B59BF" w:rsidP="002B59BF">
      <w:pPr>
        <w:jc w:val="center"/>
        <w:rPr>
          <w:rFonts w:ascii="Times New Roman" w:hAnsi="Times New Roman" w:cs="Times New Roman"/>
          <w:sz w:val="24"/>
          <w:szCs w:val="24"/>
        </w:rPr>
      </w:pPr>
    </w:p>
    <w:p w14:paraId="74F24006" w14:textId="77777777" w:rsidR="002B59BF" w:rsidRDefault="002B59BF" w:rsidP="002B59BF">
      <w:pPr>
        <w:jc w:val="center"/>
        <w:rPr>
          <w:rFonts w:ascii="Times New Roman" w:hAnsi="Times New Roman" w:cs="Times New Roman"/>
          <w:sz w:val="24"/>
          <w:szCs w:val="24"/>
        </w:rPr>
      </w:pPr>
    </w:p>
    <w:p w14:paraId="6BB1C47C" w14:textId="77777777" w:rsidR="002B59BF" w:rsidRDefault="002B59BF" w:rsidP="002B59BF">
      <w:pPr>
        <w:jc w:val="center"/>
        <w:rPr>
          <w:rFonts w:ascii="Times New Roman" w:hAnsi="Times New Roman" w:cs="Times New Roman"/>
          <w:sz w:val="24"/>
          <w:szCs w:val="24"/>
        </w:rPr>
      </w:pPr>
    </w:p>
    <w:p w14:paraId="290C4697" w14:textId="77777777" w:rsidR="002B59BF" w:rsidRDefault="002B59BF" w:rsidP="002B59BF">
      <w:pPr>
        <w:jc w:val="center"/>
        <w:rPr>
          <w:rFonts w:ascii="Times New Roman" w:hAnsi="Times New Roman" w:cs="Times New Roman"/>
          <w:sz w:val="24"/>
          <w:szCs w:val="24"/>
        </w:rPr>
      </w:pPr>
    </w:p>
    <w:p w14:paraId="7D76ACC0" w14:textId="46D65644" w:rsidR="001850BD" w:rsidRPr="001850BD" w:rsidRDefault="001850BD" w:rsidP="00C14C23">
      <w:pPr>
        <w:spacing w:line="480" w:lineRule="auto"/>
        <w:rPr>
          <w:rFonts w:ascii="Times New Roman" w:hAnsi="Times New Roman" w:cs="Times New Roman"/>
          <w:b/>
          <w:bCs/>
          <w:sz w:val="24"/>
          <w:szCs w:val="24"/>
        </w:rPr>
      </w:pPr>
      <w:r w:rsidRPr="001850BD">
        <w:rPr>
          <w:rFonts w:ascii="Times New Roman" w:hAnsi="Times New Roman" w:cs="Times New Roman"/>
          <w:b/>
          <w:bCs/>
          <w:sz w:val="24"/>
          <w:szCs w:val="24"/>
        </w:rPr>
        <w:lastRenderedPageBreak/>
        <w:t xml:space="preserve">Historical Background </w:t>
      </w:r>
    </w:p>
    <w:p w14:paraId="3B6A1506" w14:textId="15681C9C" w:rsidR="002B59BF" w:rsidRDefault="002B4213" w:rsidP="00C14C23">
      <w:pPr>
        <w:spacing w:line="480" w:lineRule="auto"/>
        <w:rPr>
          <w:rFonts w:ascii="Times New Roman" w:hAnsi="Times New Roman" w:cs="Times New Roman"/>
          <w:sz w:val="24"/>
          <w:szCs w:val="24"/>
        </w:rPr>
      </w:pPr>
      <w:r>
        <w:rPr>
          <w:rFonts w:ascii="Times New Roman" w:hAnsi="Times New Roman" w:cs="Times New Roman"/>
          <w:sz w:val="24"/>
          <w:szCs w:val="24"/>
        </w:rPr>
        <w:t xml:space="preserve">The </w:t>
      </w:r>
      <w:r w:rsidRPr="002B4213">
        <w:rPr>
          <w:rFonts w:ascii="Times New Roman" w:hAnsi="Times New Roman" w:cs="Times New Roman"/>
          <w:sz w:val="24"/>
          <w:szCs w:val="24"/>
        </w:rPr>
        <w:t xml:space="preserve">U.S. Department of Justice </w:t>
      </w:r>
      <w:r>
        <w:rPr>
          <w:rFonts w:ascii="Times New Roman" w:hAnsi="Times New Roman" w:cs="Times New Roman"/>
          <w:sz w:val="24"/>
          <w:szCs w:val="24"/>
        </w:rPr>
        <w:t>DOJ was founded in 1870</w:t>
      </w:r>
      <w:r w:rsidR="00C14C23">
        <w:rPr>
          <w:rFonts w:ascii="Times New Roman" w:hAnsi="Times New Roman" w:cs="Times New Roman"/>
          <w:sz w:val="24"/>
          <w:szCs w:val="24"/>
        </w:rPr>
        <w:t xml:space="preserve"> and serves as an executive department responsible for ensuring public safety though its enforcement of laws and actions.  Within the DOJ lies the Antitrust Division.  Established in 1933, this division’s sole purpose is to promote economic competition </w:t>
      </w:r>
      <w:r w:rsidR="00C21C0A">
        <w:rPr>
          <w:rFonts w:ascii="Times New Roman" w:hAnsi="Times New Roman" w:cs="Times New Roman"/>
          <w:sz w:val="24"/>
          <w:szCs w:val="24"/>
        </w:rPr>
        <w:t>through</w:t>
      </w:r>
      <w:r w:rsidR="00C14C23">
        <w:rPr>
          <w:rFonts w:ascii="Times New Roman" w:hAnsi="Times New Roman" w:cs="Times New Roman"/>
          <w:sz w:val="24"/>
          <w:szCs w:val="24"/>
        </w:rPr>
        <w:t xml:space="preserve"> enforcement of antitrust laws and is rooted </w:t>
      </w:r>
      <w:r w:rsidR="003C1B7B">
        <w:rPr>
          <w:rFonts w:ascii="Times New Roman" w:hAnsi="Times New Roman" w:cs="Times New Roman"/>
          <w:sz w:val="24"/>
          <w:szCs w:val="24"/>
        </w:rPr>
        <w:t xml:space="preserve">in </w:t>
      </w:r>
      <w:r w:rsidR="00C14C23">
        <w:rPr>
          <w:rFonts w:ascii="Times New Roman" w:hAnsi="Times New Roman" w:cs="Times New Roman"/>
          <w:sz w:val="24"/>
          <w:szCs w:val="24"/>
        </w:rPr>
        <w:t xml:space="preserve">preventing monopolistic practices though legislation and action.  Primary among these include the Sherman Act of 1890 as well as the Clayton Act of 1914. </w:t>
      </w:r>
      <w:r w:rsidR="00D85274">
        <w:rPr>
          <w:rFonts w:ascii="Times New Roman" w:hAnsi="Times New Roman" w:cs="Times New Roman"/>
          <w:sz w:val="24"/>
          <w:szCs w:val="24"/>
        </w:rPr>
        <w:t>The</w:t>
      </w:r>
      <w:r w:rsidR="00C14C23">
        <w:rPr>
          <w:rFonts w:ascii="Times New Roman" w:hAnsi="Times New Roman" w:cs="Times New Roman"/>
          <w:sz w:val="24"/>
          <w:szCs w:val="24"/>
        </w:rPr>
        <w:t xml:space="preserve"> primary action in this case is to a</w:t>
      </w:r>
      <w:r w:rsidR="003C1B7B">
        <w:rPr>
          <w:rFonts w:ascii="Times New Roman" w:hAnsi="Times New Roman" w:cs="Times New Roman"/>
          <w:sz w:val="24"/>
          <w:szCs w:val="24"/>
        </w:rPr>
        <w:t>ss</w:t>
      </w:r>
      <w:r w:rsidR="00C14C23">
        <w:rPr>
          <w:rFonts w:ascii="Times New Roman" w:hAnsi="Times New Roman" w:cs="Times New Roman"/>
          <w:sz w:val="24"/>
          <w:szCs w:val="24"/>
        </w:rPr>
        <w:t xml:space="preserve">ess and prevent any merger or consolidations that could disrupt competition or </w:t>
      </w:r>
      <w:r w:rsidR="003C1B7B">
        <w:rPr>
          <w:rFonts w:ascii="Times New Roman" w:hAnsi="Times New Roman" w:cs="Times New Roman"/>
          <w:sz w:val="24"/>
          <w:szCs w:val="24"/>
        </w:rPr>
        <w:t>lie</w:t>
      </w:r>
      <w:r w:rsidR="00C14C23">
        <w:rPr>
          <w:rFonts w:ascii="Times New Roman" w:hAnsi="Times New Roman" w:cs="Times New Roman"/>
          <w:sz w:val="24"/>
          <w:szCs w:val="24"/>
        </w:rPr>
        <w:t xml:space="preserve"> in violation of section 7 of the Clayton Act of 1914. The scope of this mission is found in the analytical tools such as HHI</w:t>
      </w:r>
      <w:r w:rsidR="00D85274">
        <w:rPr>
          <w:rFonts w:ascii="Times New Roman" w:hAnsi="Times New Roman" w:cs="Times New Roman"/>
          <w:sz w:val="24"/>
          <w:szCs w:val="24"/>
        </w:rPr>
        <w:t xml:space="preserve">, potential anti-competitive effects as well as accessing the implementation of economical models to determine competitive outcomes.  </w:t>
      </w:r>
      <w:r w:rsidR="003254C0" w:rsidRPr="003254C0">
        <w:rPr>
          <w:rFonts w:ascii="Times New Roman" w:hAnsi="Times New Roman" w:cs="Times New Roman"/>
          <w:sz w:val="24"/>
          <w:szCs w:val="24"/>
        </w:rPr>
        <w:t>(U.S. Department of Justice, n.d.-a)</w:t>
      </w:r>
      <w:r w:rsidR="003254C0">
        <w:rPr>
          <w:rFonts w:ascii="Times New Roman" w:hAnsi="Times New Roman" w:cs="Times New Roman"/>
          <w:sz w:val="24"/>
          <w:szCs w:val="24"/>
        </w:rPr>
        <w:t xml:space="preserve"> </w:t>
      </w:r>
      <w:r w:rsidR="003254C0" w:rsidRPr="003254C0">
        <w:rPr>
          <w:rFonts w:ascii="Times New Roman" w:hAnsi="Times New Roman" w:cs="Times New Roman"/>
          <w:sz w:val="24"/>
          <w:szCs w:val="24"/>
        </w:rPr>
        <w:t>(U.S. Department of Justice, n.d.-</w:t>
      </w:r>
      <w:r w:rsidR="003254C0">
        <w:rPr>
          <w:rFonts w:ascii="Times New Roman" w:hAnsi="Times New Roman" w:cs="Times New Roman"/>
          <w:sz w:val="24"/>
          <w:szCs w:val="24"/>
        </w:rPr>
        <w:t>b</w:t>
      </w:r>
      <w:r w:rsidR="003254C0" w:rsidRPr="003254C0">
        <w:rPr>
          <w:rFonts w:ascii="Times New Roman" w:hAnsi="Times New Roman" w:cs="Times New Roman"/>
          <w:sz w:val="24"/>
          <w:szCs w:val="24"/>
        </w:rPr>
        <w:t>)</w:t>
      </w:r>
      <w:r w:rsidR="003254C0">
        <w:rPr>
          <w:rFonts w:ascii="Times New Roman" w:hAnsi="Times New Roman" w:cs="Times New Roman"/>
          <w:sz w:val="24"/>
          <w:szCs w:val="24"/>
        </w:rPr>
        <w:t xml:space="preserve"> </w:t>
      </w:r>
      <w:r w:rsidR="003254C0" w:rsidRPr="003254C0">
        <w:rPr>
          <w:rFonts w:ascii="Times New Roman" w:hAnsi="Times New Roman" w:cs="Times New Roman"/>
          <w:sz w:val="24"/>
          <w:szCs w:val="24"/>
        </w:rPr>
        <w:t>(U.S. Department of Justice, n.d.-c)</w:t>
      </w:r>
    </w:p>
    <w:p w14:paraId="52C85BA0" w14:textId="7CACEFB4" w:rsidR="002B59BF" w:rsidRDefault="00D85274" w:rsidP="00793F08">
      <w:pPr>
        <w:spacing w:line="480" w:lineRule="auto"/>
        <w:rPr>
          <w:rFonts w:ascii="Times New Roman" w:hAnsi="Times New Roman" w:cs="Times New Roman"/>
          <w:sz w:val="24"/>
          <w:szCs w:val="24"/>
        </w:rPr>
      </w:pPr>
      <w:r>
        <w:rPr>
          <w:rFonts w:ascii="Times New Roman" w:hAnsi="Times New Roman" w:cs="Times New Roman"/>
          <w:sz w:val="24"/>
          <w:szCs w:val="24"/>
        </w:rPr>
        <w:tab/>
        <w:t>With this</w:t>
      </w:r>
      <w:r w:rsidR="003C1B7B">
        <w:rPr>
          <w:rFonts w:ascii="Times New Roman" w:hAnsi="Times New Roman" w:cs="Times New Roman"/>
          <w:sz w:val="24"/>
          <w:szCs w:val="24"/>
        </w:rPr>
        <w:t>,</w:t>
      </w:r>
      <w:r>
        <w:rPr>
          <w:rFonts w:ascii="Times New Roman" w:hAnsi="Times New Roman" w:cs="Times New Roman"/>
          <w:sz w:val="24"/>
          <w:szCs w:val="24"/>
        </w:rPr>
        <w:t xml:space="preserve"> there have been significant changes to the calculation and determination of horizontal merger guidelines that have included support from the Federal Trade Commission that includes unilateral and coordinated effects of merger situations.  In addition, case specific analysis and customer substitution patterns have also been added to provide a modern economic scope to address anticompetitive behaviors in markets. (</w:t>
      </w:r>
      <w:r w:rsidRPr="00D85274">
        <w:rPr>
          <w:rFonts w:ascii="Times New Roman" w:hAnsi="Times New Roman" w:cs="Times New Roman"/>
          <w:sz w:val="24"/>
          <w:szCs w:val="24"/>
        </w:rPr>
        <w:t>Peters and Wilder</w:t>
      </w:r>
      <w:r>
        <w:rPr>
          <w:rFonts w:ascii="Times New Roman" w:hAnsi="Times New Roman" w:cs="Times New Roman"/>
          <w:sz w:val="24"/>
          <w:szCs w:val="24"/>
        </w:rPr>
        <w:t xml:space="preserve">, </w:t>
      </w:r>
      <w:r w:rsidRPr="00D85274">
        <w:rPr>
          <w:rFonts w:ascii="Times New Roman" w:hAnsi="Times New Roman" w:cs="Times New Roman"/>
          <w:sz w:val="24"/>
          <w:szCs w:val="24"/>
        </w:rPr>
        <w:t>2021)</w:t>
      </w:r>
      <w:r>
        <w:rPr>
          <w:rFonts w:ascii="Times New Roman" w:hAnsi="Times New Roman" w:cs="Times New Roman"/>
          <w:sz w:val="24"/>
          <w:szCs w:val="24"/>
        </w:rPr>
        <w:t xml:space="preserve"> Additionally there have been </w:t>
      </w:r>
      <w:r w:rsidR="00C20D41">
        <w:rPr>
          <w:rFonts w:ascii="Times New Roman" w:hAnsi="Times New Roman" w:cs="Times New Roman"/>
          <w:sz w:val="24"/>
          <w:szCs w:val="24"/>
        </w:rPr>
        <w:t xml:space="preserve">great scrutiny in dealing with vertical merger situations at differencing supply chains.  In general, this </w:t>
      </w:r>
      <w:r w:rsidR="00985392">
        <w:rPr>
          <w:rFonts w:ascii="Times New Roman" w:hAnsi="Times New Roman" w:cs="Times New Roman"/>
          <w:sz w:val="24"/>
          <w:szCs w:val="24"/>
        </w:rPr>
        <w:t>has</w:t>
      </w:r>
      <w:r w:rsidR="00C20D41">
        <w:rPr>
          <w:rFonts w:ascii="Times New Roman" w:hAnsi="Times New Roman" w:cs="Times New Roman"/>
          <w:sz w:val="24"/>
          <w:szCs w:val="24"/>
        </w:rPr>
        <w:t xml:space="preserve"> come under some inspection from authors like </w:t>
      </w:r>
      <w:r w:rsidR="00C20D41" w:rsidRPr="00C20D41">
        <w:rPr>
          <w:rFonts w:ascii="Times New Roman" w:hAnsi="Times New Roman" w:cs="Times New Roman"/>
          <w:sz w:val="24"/>
          <w:szCs w:val="24"/>
        </w:rPr>
        <w:t xml:space="preserve">Salop and Culley </w:t>
      </w:r>
      <w:r w:rsidR="00C20D41">
        <w:rPr>
          <w:rFonts w:ascii="Times New Roman" w:hAnsi="Times New Roman" w:cs="Times New Roman"/>
          <w:sz w:val="24"/>
          <w:szCs w:val="24"/>
        </w:rPr>
        <w:t>which state that overreliance on behavioral remedies such as commitments to fair practices have outshined divestitures and other structural remedies found to be more effective at the preservation of competition. (</w:t>
      </w:r>
      <w:r w:rsidR="00C20D41" w:rsidRPr="00C20D41">
        <w:rPr>
          <w:rFonts w:ascii="Times New Roman" w:hAnsi="Times New Roman" w:cs="Times New Roman"/>
          <w:sz w:val="24"/>
          <w:szCs w:val="24"/>
        </w:rPr>
        <w:t>Salop and Culley</w:t>
      </w:r>
      <w:r w:rsidR="00C20D41">
        <w:rPr>
          <w:rFonts w:ascii="Times New Roman" w:hAnsi="Times New Roman" w:cs="Times New Roman"/>
          <w:sz w:val="24"/>
          <w:szCs w:val="24"/>
        </w:rPr>
        <w:t xml:space="preserve">, </w:t>
      </w:r>
      <w:r w:rsidR="00C20D41" w:rsidRPr="00C20D41">
        <w:rPr>
          <w:rFonts w:ascii="Times New Roman" w:hAnsi="Times New Roman" w:cs="Times New Roman"/>
          <w:sz w:val="24"/>
          <w:szCs w:val="24"/>
        </w:rPr>
        <w:t>2020)</w:t>
      </w:r>
      <w:r w:rsidR="00C20D41">
        <w:rPr>
          <w:rFonts w:ascii="Times New Roman" w:hAnsi="Times New Roman" w:cs="Times New Roman"/>
          <w:sz w:val="24"/>
          <w:szCs w:val="24"/>
        </w:rPr>
        <w:t xml:space="preserve"> Additionally, some have seen these significant changes in policy implementation as more interventionist, citing </w:t>
      </w:r>
      <w:r w:rsidR="00985392">
        <w:rPr>
          <w:rFonts w:ascii="Times New Roman" w:hAnsi="Times New Roman" w:cs="Times New Roman"/>
          <w:sz w:val="24"/>
          <w:szCs w:val="24"/>
        </w:rPr>
        <w:t xml:space="preserve">those theories of </w:t>
      </w:r>
      <w:r w:rsidR="00985392">
        <w:rPr>
          <w:rFonts w:ascii="Times New Roman" w:hAnsi="Times New Roman" w:cs="Times New Roman"/>
          <w:sz w:val="24"/>
          <w:szCs w:val="24"/>
        </w:rPr>
        <w:lastRenderedPageBreak/>
        <w:t>harm</w:t>
      </w:r>
      <w:r w:rsidR="00C20D41">
        <w:rPr>
          <w:rFonts w:ascii="Times New Roman" w:hAnsi="Times New Roman" w:cs="Times New Roman"/>
          <w:sz w:val="24"/>
          <w:szCs w:val="24"/>
        </w:rPr>
        <w:t xml:space="preserve"> both in terms of the DOJ’s failure to account for dynamic markets in terms of technology and innovation as well as </w:t>
      </w:r>
      <w:r w:rsidR="00985392">
        <w:rPr>
          <w:rFonts w:ascii="Times New Roman" w:hAnsi="Times New Roman" w:cs="Times New Roman"/>
          <w:sz w:val="24"/>
          <w:szCs w:val="24"/>
        </w:rPr>
        <w:t xml:space="preserve">understated effects of vertical integration deals and their potential efficiencies. </w:t>
      </w:r>
      <w:r w:rsidR="003979F9" w:rsidRPr="003979F9">
        <w:rPr>
          <w:rFonts w:ascii="Times New Roman" w:hAnsi="Times New Roman" w:cs="Times New Roman"/>
          <w:sz w:val="24"/>
          <w:szCs w:val="24"/>
        </w:rPr>
        <w:t>(Manne &amp; Stout, 2020)</w:t>
      </w:r>
      <w:r w:rsidR="003979F9">
        <w:rPr>
          <w:rFonts w:ascii="Times New Roman" w:hAnsi="Times New Roman" w:cs="Times New Roman"/>
          <w:sz w:val="24"/>
          <w:szCs w:val="24"/>
        </w:rPr>
        <w:t xml:space="preserve"> </w:t>
      </w:r>
      <w:r w:rsidR="00A856A6">
        <w:rPr>
          <w:rFonts w:ascii="Times New Roman" w:hAnsi="Times New Roman" w:cs="Times New Roman"/>
          <w:sz w:val="24"/>
          <w:szCs w:val="24"/>
        </w:rPr>
        <w:t xml:space="preserve">This is also sympathized somewhat by </w:t>
      </w:r>
      <w:r w:rsidR="00A856A6" w:rsidRPr="00A856A6">
        <w:rPr>
          <w:rFonts w:ascii="Times New Roman" w:hAnsi="Times New Roman" w:cs="Times New Roman"/>
          <w:sz w:val="24"/>
          <w:szCs w:val="24"/>
        </w:rPr>
        <w:t>A. Douglas Melamed</w:t>
      </w:r>
      <w:r w:rsidR="00A856A6">
        <w:rPr>
          <w:rFonts w:ascii="Times New Roman" w:hAnsi="Times New Roman" w:cs="Times New Roman"/>
          <w:sz w:val="24"/>
          <w:szCs w:val="24"/>
        </w:rPr>
        <w:t xml:space="preserve"> expanding his criticisms of antitrust law as too limited in its focus on consumer welfare as opposed to labor markets or innovations. Additionally, complex theory’s he states provide many defendants to find holes in theories and dispute claims. </w:t>
      </w:r>
      <w:r w:rsidR="00A856A6" w:rsidRPr="00A856A6">
        <w:rPr>
          <w:rFonts w:ascii="Times New Roman" w:hAnsi="Times New Roman" w:cs="Times New Roman"/>
          <w:sz w:val="24"/>
          <w:szCs w:val="24"/>
        </w:rPr>
        <w:t>(Melamed, 2020)</w:t>
      </w:r>
      <w:r w:rsidR="00A856A6">
        <w:rPr>
          <w:rFonts w:ascii="Times New Roman" w:hAnsi="Times New Roman" w:cs="Times New Roman"/>
          <w:sz w:val="24"/>
          <w:szCs w:val="24"/>
        </w:rPr>
        <w:t xml:space="preserve"> </w:t>
      </w:r>
      <w:r w:rsidR="00985392">
        <w:rPr>
          <w:rFonts w:ascii="Times New Roman" w:hAnsi="Times New Roman" w:cs="Times New Roman"/>
          <w:sz w:val="24"/>
          <w:szCs w:val="24"/>
        </w:rPr>
        <w:t xml:space="preserve">Some view these analytical tools </w:t>
      </w:r>
      <w:r w:rsidR="00793F08">
        <w:rPr>
          <w:rFonts w:ascii="Times New Roman" w:hAnsi="Times New Roman" w:cs="Times New Roman"/>
          <w:sz w:val="24"/>
          <w:szCs w:val="24"/>
        </w:rPr>
        <w:t xml:space="preserve">with great flexibility, seeing the DOJ as now having the ability to tackle and delineate violations and circumstances with greater breadth and range. </w:t>
      </w:r>
      <w:r w:rsidR="00793F08" w:rsidRPr="00793F08">
        <w:rPr>
          <w:rFonts w:ascii="Times New Roman" w:hAnsi="Times New Roman" w:cs="Times New Roman"/>
          <w:sz w:val="24"/>
          <w:szCs w:val="24"/>
        </w:rPr>
        <w:t xml:space="preserve"> (George Mason Law Review, 2023)</w:t>
      </w:r>
    </w:p>
    <w:p w14:paraId="5765AF58" w14:textId="356A797F" w:rsidR="00793F08" w:rsidRPr="00793F08" w:rsidRDefault="00793F08" w:rsidP="00793F08">
      <w:pPr>
        <w:spacing w:line="480" w:lineRule="auto"/>
        <w:rPr>
          <w:rFonts w:ascii="Times New Roman" w:hAnsi="Times New Roman" w:cs="Times New Roman"/>
          <w:b/>
          <w:bCs/>
          <w:sz w:val="24"/>
          <w:szCs w:val="24"/>
        </w:rPr>
      </w:pPr>
      <w:r w:rsidRPr="00793F08">
        <w:rPr>
          <w:rFonts w:ascii="Times New Roman" w:hAnsi="Times New Roman" w:cs="Times New Roman"/>
          <w:b/>
          <w:bCs/>
          <w:sz w:val="24"/>
          <w:szCs w:val="24"/>
        </w:rPr>
        <w:t xml:space="preserve">Key Issues </w:t>
      </w:r>
    </w:p>
    <w:p w14:paraId="04BEDF20" w14:textId="6E630810" w:rsidR="00793F08" w:rsidRDefault="00793F08" w:rsidP="00793F08">
      <w:pPr>
        <w:spacing w:line="480" w:lineRule="auto"/>
        <w:rPr>
          <w:rFonts w:ascii="Times New Roman" w:hAnsi="Times New Roman" w:cs="Times New Roman"/>
          <w:sz w:val="24"/>
          <w:szCs w:val="24"/>
        </w:rPr>
      </w:pPr>
      <w:r>
        <w:rPr>
          <w:rFonts w:ascii="Times New Roman" w:hAnsi="Times New Roman" w:cs="Times New Roman"/>
          <w:sz w:val="24"/>
          <w:szCs w:val="24"/>
        </w:rPr>
        <w:t xml:space="preserve">The key </w:t>
      </w:r>
      <w:r w:rsidR="00AC22A2">
        <w:rPr>
          <w:rFonts w:ascii="Times New Roman" w:hAnsi="Times New Roman" w:cs="Times New Roman"/>
          <w:sz w:val="24"/>
          <w:szCs w:val="24"/>
        </w:rPr>
        <w:t>salient</w:t>
      </w:r>
      <w:r>
        <w:rPr>
          <w:rFonts w:ascii="Times New Roman" w:hAnsi="Times New Roman" w:cs="Times New Roman"/>
          <w:sz w:val="24"/>
          <w:szCs w:val="24"/>
        </w:rPr>
        <w:t xml:space="preserve"> issues that pertain to the DOJ </w:t>
      </w:r>
      <w:r w:rsidR="00AC22A2">
        <w:rPr>
          <w:rFonts w:ascii="Times New Roman" w:hAnsi="Times New Roman" w:cs="Times New Roman"/>
          <w:sz w:val="24"/>
          <w:szCs w:val="24"/>
        </w:rPr>
        <w:t>regarding</w:t>
      </w:r>
      <w:r>
        <w:rPr>
          <w:rFonts w:ascii="Times New Roman" w:hAnsi="Times New Roman" w:cs="Times New Roman"/>
          <w:sz w:val="24"/>
          <w:szCs w:val="24"/>
        </w:rPr>
        <w:t xml:space="preserve"> this merger include marketing concentrations and the </w:t>
      </w:r>
      <w:r w:rsidR="00AC22A2">
        <w:rPr>
          <w:rFonts w:ascii="Times New Roman" w:hAnsi="Times New Roman" w:cs="Times New Roman"/>
          <w:sz w:val="24"/>
          <w:szCs w:val="24"/>
        </w:rPr>
        <w:t>reduction</w:t>
      </w:r>
      <w:r>
        <w:rPr>
          <w:rFonts w:ascii="Times New Roman" w:hAnsi="Times New Roman" w:cs="Times New Roman"/>
          <w:sz w:val="24"/>
          <w:szCs w:val="24"/>
        </w:rPr>
        <w:t xml:space="preserve"> of competition. In addition, issues such as slot dominance</w:t>
      </w:r>
      <w:r w:rsidR="00AC22A2">
        <w:rPr>
          <w:rFonts w:ascii="Times New Roman" w:hAnsi="Times New Roman" w:cs="Times New Roman"/>
          <w:sz w:val="24"/>
          <w:szCs w:val="24"/>
        </w:rPr>
        <w:t>, coordinated</w:t>
      </w:r>
      <w:r>
        <w:rPr>
          <w:rFonts w:ascii="Times New Roman" w:hAnsi="Times New Roman" w:cs="Times New Roman"/>
          <w:sz w:val="24"/>
          <w:szCs w:val="24"/>
        </w:rPr>
        <w:t xml:space="preserve"> behaviors </w:t>
      </w:r>
      <w:r w:rsidR="00AC22A2">
        <w:rPr>
          <w:rFonts w:ascii="Times New Roman" w:hAnsi="Times New Roman" w:cs="Times New Roman"/>
          <w:sz w:val="24"/>
          <w:szCs w:val="24"/>
        </w:rPr>
        <w:t>as well as their impact on customer fares and surplus</w:t>
      </w:r>
      <w:r w:rsidR="003C1B7B">
        <w:rPr>
          <w:rFonts w:ascii="Times New Roman" w:hAnsi="Times New Roman" w:cs="Times New Roman"/>
          <w:sz w:val="24"/>
          <w:szCs w:val="24"/>
        </w:rPr>
        <w:t>es</w:t>
      </w:r>
      <w:r w:rsidR="00AC22A2">
        <w:rPr>
          <w:rFonts w:ascii="Times New Roman" w:hAnsi="Times New Roman" w:cs="Times New Roman"/>
          <w:sz w:val="24"/>
          <w:szCs w:val="24"/>
        </w:rPr>
        <w:t xml:space="preserve"> are crucial</w:t>
      </w:r>
      <w:r>
        <w:rPr>
          <w:rFonts w:ascii="Times New Roman" w:hAnsi="Times New Roman" w:cs="Times New Roman"/>
          <w:sz w:val="24"/>
          <w:szCs w:val="24"/>
        </w:rPr>
        <w:t xml:space="preserve"> for the DOJ. </w:t>
      </w:r>
      <w:r w:rsidR="00AC22A2">
        <w:rPr>
          <w:rFonts w:ascii="Times New Roman" w:hAnsi="Times New Roman" w:cs="Times New Roman"/>
          <w:sz w:val="24"/>
          <w:szCs w:val="24"/>
        </w:rPr>
        <w:t>For example, the Government Accountability Office had noticed the behaviors of such airlines mergers and predicted that control of substantial shares of the airline industry market would lead to higher fares and decreased competitive pressures. Also, slot dominance was of primary concern especially at Regan National Airport where it controls a significant takeoff and landing slots. (</w:t>
      </w:r>
      <w:r w:rsidR="00AC22A2" w:rsidRPr="00AC22A2">
        <w:rPr>
          <w:rFonts w:ascii="Times New Roman" w:hAnsi="Times New Roman" w:cs="Times New Roman"/>
          <w:sz w:val="24"/>
          <w:szCs w:val="24"/>
        </w:rPr>
        <w:t>Government Accountability Office</w:t>
      </w:r>
      <w:r w:rsidR="00AC22A2">
        <w:rPr>
          <w:rFonts w:ascii="Times New Roman" w:hAnsi="Times New Roman" w:cs="Times New Roman"/>
          <w:sz w:val="24"/>
          <w:szCs w:val="24"/>
        </w:rPr>
        <w:t xml:space="preserve">, </w:t>
      </w:r>
      <w:r w:rsidR="00AC22A2" w:rsidRPr="00AC22A2">
        <w:rPr>
          <w:rFonts w:ascii="Times New Roman" w:hAnsi="Times New Roman" w:cs="Times New Roman"/>
          <w:sz w:val="24"/>
          <w:szCs w:val="24"/>
        </w:rPr>
        <w:t>2013).</w:t>
      </w:r>
      <w:r w:rsidR="00AC22A2">
        <w:rPr>
          <w:rFonts w:ascii="Times New Roman" w:hAnsi="Times New Roman" w:cs="Times New Roman"/>
          <w:sz w:val="24"/>
          <w:szCs w:val="24"/>
        </w:rPr>
        <w:t xml:space="preserve"> This was substantiated by Douglas Turners evaluation of the merger situation citing that before the merger situation, US Airways route structure proved a deterrent to collusion but due to the homogeneity </w:t>
      </w:r>
      <w:r w:rsidR="003D6F35">
        <w:rPr>
          <w:rFonts w:ascii="Times New Roman" w:hAnsi="Times New Roman" w:cs="Times New Roman"/>
          <w:sz w:val="24"/>
          <w:szCs w:val="24"/>
        </w:rPr>
        <w:t>post-merger</w:t>
      </w:r>
      <w:r w:rsidR="00AC22A2">
        <w:rPr>
          <w:rFonts w:ascii="Times New Roman" w:hAnsi="Times New Roman" w:cs="Times New Roman"/>
          <w:sz w:val="24"/>
          <w:szCs w:val="24"/>
        </w:rPr>
        <w:t xml:space="preserve">, coordinated prices could be vastly more plausible thus harming consumers though higher fares. </w:t>
      </w:r>
      <w:r w:rsidR="003D6F35" w:rsidRPr="003D6F35">
        <w:rPr>
          <w:rFonts w:ascii="Times New Roman" w:hAnsi="Times New Roman" w:cs="Times New Roman"/>
          <w:sz w:val="24"/>
          <w:szCs w:val="24"/>
        </w:rPr>
        <w:t>(Turner, 2022)</w:t>
      </w:r>
      <w:r w:rsidR="003D6F35">
        <w:rPr>
          <w:rFonts w:ascii="Times New Roman" w:hAnsi="Times New Roman" w:cs="Times New Roman"/>
          <w:sz w:val="24"/>
          <w:szCs w:val="24"/>
        </w:rPr>
        <w:t xml:space="preserve"> Lastly, empirical analysis done by </w:t>
      </w:r>
      <w:r w:rsidR="003D6F35" w:rsidRPr="003D6F35">
        <w:rPr>
          <w:rFonts w:ascii="Times New Roman" w:hAnsi="Times New Roman" w:cs="Times New Roman"/>
          <w:sz w:val="24"/>
          <w:szCs w:val="24"/>
        </w:rPr>
        <w:t>Wharff, M. (2023)</w:t>
      </w:r>
      <w:r w:rsidR="003D6F35">
        <w:rPr>
          <w:rFonts w:ascii="Times New Roman" w:hAnsi="Times New Roman" w:cs="Times New Roman"/>
          <w:sz w:val="24"/>
          <w:szCs w:val="24"/>
        </w:rPr>
        <w:t xml:space="preserve"> used differences in differences approach to look at the domestic pricing effects.  He found small but significant fare </w:t>
      </w:r>
      <w:r w:rsidR="003D6F35">
        <w:rPr>
          <w:rFonts w:ascii="Times New Roman" w:hAnsi="Times New Roman" w:cs="Times New Roman"/>
          <w:sz w:val="24"/>
          <w:szCs w:val="24"/>
        </w:rPr>
        <w:lastRenderedPageBreak/>
        <w:t>increases in markets effected by the merger. However, overall consumer welfare remains ambiguous in the study and retained that while some customer may have seen pricing increases, others may have benefited from expanded networks and improved services post-merger. (</w:t>
      </w:r>
      <w:r w:rsidR="003D6F35" w:rsidRPr="003D6F35">
        <w:rPr>
          <w:rFonts w:ascii="Times New Roman" w:hAnsi="Times New Roman" w:cs="Times New Roman"/>
          <w:sz w:val="24"/>
          <w:szCs w:val="24"/>
        </w:rPr>
        <w:t>Wharff</w:t>
      </w:r>
      <w:r w:rsidR="003D6F35">
        <w:rPr>
          <w:rFonts w:ascii="Times New Roman" w:hAnsi="Times New Roman" w:cs="Times New Roman"/>
          <w:sz w:val="24"/>
          <w:szCs w:val="24"/>
        </w:rPr>
        <w:t xml:space="preserve"> ,</w:t>
      </w:r>
      <w:r w:rsidR="003D6F35" w:rsidRPr="003D6F35">
        <w:rPr>
          <w:rFonts w:ascii="Times New Roman" w:hAnsi="Times New Roman" w:cs="Times New Roman"/>
          <w:sz w:val="24"/>
          <w:szCs w:val="24"/>
        </w:rPr>
        <w:t>2023).</w:t>
      </w:r>
    </w:p>
    <w:p w14:paraId="655EDBAC" w14:textId="561E5BB8" w:rsidR="001850BD" w:rsidRDefault="001850BD" w:rsidP="00793F08">
      <w:pPr>
        <w:spacing w:line="480" w:lineRule="auto"/>
        <w:rPr>
          <w:rFonts w:ascii="Times New Roman" w:hAnsi="Times New Roman" w:cs="Times New Roman"/>
          <w:b/>
          <w:bCs/>
          <w:sz w:val="24"/>
          <w:szCs w:val="24"/>
        </w:rPr>
      </w:pPr>
      <w:r w:rsidRPr="001850BD">
        <w:rPr>
          <w:rFonts w:ascii="Times New Roman" w:hAnsi="Times New Roman" w:cs="Times New Roman"/>
          <w:b/>
          <w:bCs/>
          <w:sz w:val="24"/>
          <w:szCs w:val="24"/>
        </w:rPr>
        <w:t xml:space="preserve">HHI Concentration </w:t>
      </w:r>
      <w:r w:rsidR="00854C39">
        <w:rPr>
          <w:rFonts w:ascii="Times New Roman" w:hAnsi="Times New Roman" w:cs="Times New Roman"/>
          <w:b/>
          <w:bCs/>
          <w:sz w:val="24"/>
          <w:szCs w:val="24"/>
        </w:rPr>
        <w:t xml:space="preserve">for Top 10 Markets </w:t>
      </w:r>
    </w:p>
    <w:p w14:paraId="0A2F12DF" w14:textId="25B37A02" w:rsidR="00854C39" w:rsidRPr="00655209" w:rsidRDefault="00854C39" w:rsidP="00854C39">
      <w:pPr>
        <w:spacing w:line="480" w:lineRule="auto"/>
        <w:rPr>
          <w:rFonts w:ascii="Times New Roman" w:hAnsi="Times New Roman" w:cs="Times New Roman"/>
          <w:b/>
          <w:bCs/>
          <w:sz w:val="24"/>
          <w:szCs w:val="24"/>
        </w:rPr>
      </w:pPr>
      <w:r w:rsidRPr="00655209">
        <w:rPr>
          <w:rFonts w:ascii="Times New Roman" w:hAnsi="Times New Roman" w:cs="Times New Roman"/>
          <w:b/>
          <w:bCs/>
          <w:sz w:val="24"/>
          <w:szCs w:val="24"/>
        </w:rPr>
        <w:t xml:space="preserve">Mathematical Steps for Calculations for City Pairs </w:t>
      </w:r>
    </w:p>
    <w:p w14:paraId="4AF3AEEE" w14:textId="06BF0291" w:rsidR="00854C39" w:rsidRDefault="00854C39" w:rsidP="00854C39">
      <w:pPr>
        <w:spacing w:line="480" w:lineRule="auto"/>
        <w:rPr>
          <w:rFonts w:ascii="Times New Roman" w:hAnsi="Times New Roman" w:cs="Times New Roman"/>
          <w:b/>
          <w:bCs/>
          <w:sz w:val="24"/>
          <w:szCs w:val="24"/>
        </w:rPr>
      </w:pPr>
      <w:r>
        <w:rPr>
          <w:rFonts w:ascii="Times New Roman" w:hAnsi="Times New Roman" w:cs="Times New Roman"/>
          <w:sz w:val="24"/>
          <w:szCs w:val="24"/>
        </w:rPr>
        <w:t>For the calculations for city pairs and output tables presented in this paper, I applied the following mathematical procedures.  Firstly, I had to break down the data file in the T-100 using the following parameters of carrier</w:t>
      </w:r>
      <w:r w:rsidRPr="003C1B7B">
        <w:rPr>
          <w:rFonts w:ascii="Times New Roman" w:hAnsi="Times New Roman" w:cs="Times New Roman"/>
          <w:sz w:val="24"/>
          <w:szCs w:val="24"/>
        </w:rPr>
        <w:t xml:space="preserve">.  </w:t>
      </w:r>
      <w:r w:rsidR="003C1B7B" w:rsidRPr="003C1B7B">
        <w:rPr>
          <w:rFonts w:ascii="Times New Roman" w:hAnsi="Times New Roman" w:cs="Times New Roman"/>
          <w:sz w:val="24"/>
          <w:szCs w:val="24"/>
        </w:rPr>
        <w:t>(Bureau of Transportation Statistics,2012).</w:t>
      </w:r>
      <w:r>
        <w:rPr>
          <w:rFonts w:ascii="Times New Roman" w:hAnsi="Times New Roman" w:cs="Times New Roman"/>
          <w:sz w:val="24"/>
          <w:szCs w:val="24"/>
        </w:rPr>
        <w:t xml:space="preserve"> would consist of American Airlines or US Airways pre-merger and </w:t>
      </w:r>
      <w:r w:rsidRPr="00E264AB">
        <w:rPr>
          <w:rFonts w:ascii="Times New Roman" w:hAnsi="Times New Roman" w:cs="Times New Roman"/>
          <w:sz w:val="24"/>
          <w:szCs w:val="24"/>
        </w:rPr>
        <w:t>American Airlines Inc</w:t>
      </w:r>
      <w:r>
        <w:rPr>
          <w:rFonts w:ascii="Times New Roman" w:hAnsi="Times New Roman" w:cs="Times New Roman"/>
          <w:sz w:val="24"/>
          <w:szCs w:val="24"/>
        </w:rPr>
        <w:t xml:space="preserve"> or Group post-merger.  Next, market share was calculated as the passengers from American Airlines and US Airways combined (pre-merger) and then the consolidated merger (post-merger) over the total passengers indicated on that specific city-pair segment.  Lastly, I then squared the market shares to achieve HHI concentrations of these city pairs and filtered them to include the ones in which the most market share or HHI concentrations are prevalent</w:t>
      </w:r>
      <w:r w:rsidRPr="00774FBF">
        <w:rPr>
          <w:rFonts w:ascii="Times New Roman" w:hAnsi="Times New Roman" w:cs="Times New Roman"/>
          <w:sz w:val="24"/>
          <w:szCs w:val="24"/>
        </w:rPr>
        <w:t>. Though this isn’t</w:t>
      </w:r>
      <w:r>
        <w:rPr>
          <w:rFonts w:ascii="Times New Roman" w:hAnsi="Times New Roman" w:cs="Times New Roman"/>
          <w:sz w:val="24"/>
          <w:szCs w:val="24"/>
        </w:rPr>
        <w:t xml:space="preserve"> always accurate, I used multiple metrics and converted them to precent to then represent the HHI concentration that American Airlines or US Airways would have in the Top Markets regardless of total market control. This is for pre- and post-merger.  I expressed this in 2012 as a percent for perspective.  Then I showed the hard HHI concentration calculations for more accurate representation for both 2012 and 2014.  Some filtering was done with high demand markets which was operationalized as passengers exceeding 100,000 to give a representation of the sheer level of monopolistic control from the data set that the post-merger presented in directing these city-pair markets to illustrate potential antitrust concerns.</w:t>
      </w:r>
    </w:p>
    <w:p w14:paraId="018AC9F7" w14:textId="47B4C2F3" w:rsidR="00854C39" w:rsidRDefault="00F01D80" w:rsidP="00854C39">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Top 10 </w:t>
      </w:r>
      <w:r w:rsidR="00854C39">
        <w:rPr>
          <w:rFonts w:ascii="Times New Roman" w:hAnsi="Times New Roman" w:cs="Times New Roman"/>
          <w:b/>
          <w:bCs/>
          <w:sz w:val="24"/>
          <w:szCs w:val="24"/>
        </w:rPr>
        <w:t>City Pair Markets 2012</w:t>
      </w:r>
      <w:r>
        <w:rPr>
          <w:rFonts w:ascii="Times New Roman" w:hAnsi="Times New Roman" w:cs="Times New Roman"/>
          <w:b/>
          <w:bCs/>
          <w:sz w:val="24"/>
          <w:szCs w:val="24"/>
        </w:rPr>
        <w:t xml:space="preserve"> Pre-Merger </w:t>
      </w:r>
    </w:p>
    <w:p w14:paraId="4472B29E" w14:textId="77777777" w:rsidR="00854C39" w:rsidRDefault="00854C39" w:rsidP="00854C39">
      <w:pPr>
        <w:spacing w:line="480" w:lineRule="auto"/>
        <w:rPr>
          <w:rFonts w:ascii="Times New Roman" w:hAnsi="Times New Roman" w:cs="Times New Roman"/>
          <w:sz w:val="24"/>
          <w:szCs w:val="24"/>
        </w:rPr>
      </w:pPr>
      <w:r w:rsidRPr="008920DE">
        <w:rPr>
          <w:rFonts w:ascii="Times New Roman" w:hAnsi="Times New Roman" w:cs="Times New Roman"/>
          <w:sz w:val="24"/>
          <w:szCs w:val="24"/>
        </w:rPr>
        <w:t xml:space="preserve">Top 10 Market Pre-Merger </w:t>
      </w:r>
      <w:r>
        <w:rPr>
          <w:rFonts w:ascii="Times New Roman" w:hAnsi="Times New Roman" w:cs="Times New Roman"/>
          <w:sz w:val="24"/>
          <w:szCs w:val="24"/>
        </w:rPr>
        <w:t>Domestic Market was obtained using T-100 Market Carrier with the following parameters to accurately depict concentration.  These include passenger transported, seat availability as well as number of flights operated. (</w:t>
      </w:r>
      <w:r w:rsidRPr="00D2314F">
        <w:rPr>
          <w:rFonts w:ascii="Times New Roman" w:hAnsi="Times New Roman" w:cs="Times New Roman"/>
          <w:sz w:val="24"/>
          <w:szCs w:val="24"/>
        </w:rPr>
        <w:t>Bureau of Transportation Statistics BTS</w:t>
      </w:r>
      <w:r>
        <w:rPr>
          <w:rFonts w:ascii="Times New Roman" w:hAnsi="Times New Roman" w:cs="Times New Roman"/>
          <w:sz w:val="24"/>
          <w:szCs w:val="24"/>
        </w:rPr>
        <w:t xml:space="preserve">, </w:t>
      </w:r>
      <w:r w:rsidRPr="00D2314F">
        <w:rPr>
          <w:rFonts w:ascii="Times New Roman" w:hAnsi="Times New Roman" w:cs="Times New Roman"/>
          <w:sz w:val="24"/>
          <w:szCs w:val="24"/>
        </w:rPr>
        <w:t xml:space="preserve">2012). </w:t>
      </w:r>
      <w:r>
        <w:rPr>
          <w:rFonts w:ascii="Times New Roman" w:hAnsi="Times New Roman" w:cs="Times New Roman"/>
          <w:sz w:val="24"/>
          <w:szCs w:val="24"/>
        </w:rPr>
        <w:t xml:space="preserve">I then filtered down the data for only American Airlines and US Airways to then look at the concentration for the highest top 10 markets pre-merger that one of these airlines will have the largest share.  Then I will look at post-merger market concentrations for comparisons as to how the merger will impact city pair flights.   Below I have put the Top 10 City-Pair markets and who had dominated control over these flights. </w:t>
      </w:r>
    </w:p>
    <w:p w14:paraId="7F3B1F7A" w14:textId="77777777" w:rsidR="00854C39" w:rsidRDefault="00854C39" w:rsidP="00854C39">
      <w:pPr>
        <w:spacing w:line="480" w:lineRule="auto"/>
        <w:rPr>
          <w:rFonts w:ascii="Times New Roman" w:hAnsi="Times New Roman" w:cs="Times New Roman"/>
          <w:sz w:val="24"/>
          <w:szCs w:val="24"/>
        </w:rPr>
      </w:pPr>
      <w:r>
        <w:rPr>
          <w:rFonts w:ascii="Times New Roman" w:hAnsi="Times New Roman" w:cs="Times New Roman"/>
          <w:sz w:val="24"/>
          <w:szCs w:val="24"/>
        </w:rPr>
        <w:t xml:space="preserve">The table below represents top markets in which American Airlines or US Airways have total market control.  Note that some of these city pair are very small with one or two departure flights.  The number 1 indicates total monopolistic control. </w:t>
      </w:r>
    </w:p>
    <w:p w14:paraId="1A338CF3" w14:textId="77777777" w:rsidR="00854C39" w:rsidRDefault="00854C39" w:rsidP="00854C39">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46B3030B" w14:textId="77777777" w:rsidR="00854C39" w:rsidRDefault="00854C39" w:rsidP="00854C39">
      <w:pPr>
        <w:spacing w:line="480" w:lineRule="auto"/>
        <w:rPr>
          <w:rFonts w:ascii="Times New Roman" w:hAnsi="Times New Roman" w:cs="Times New Roman"/>
          <w:sz w:val="24"/>
          <w:szCs w:val="24"/>
        </w:rPr>
      </w:pPr>
    </w:p>
    <w:p w14:paraId="5C88A2BF" w14:textId="77777777" w:rsidR="00854C39" w:rsidRDefault="00854C39" w:rsidP="00854C39">
      <w:pPr>
        <w:spacing w:line="480" w:lineRule="auto"/>
        <w:rPr>
          <w:rFonts w:ascii="Times New Roman" w:hAnsi="Times New Roman" w:cs="Times New Roman"/>
          <w:sz w:val="24"/>
          <w:szCs w:val="24"/>
        </w:rPr>
      </w:pPr>
      <w:r w:rsidRPr="00AF0F4F">
        <w:rPr>
          <w:rFonts w:ascii="Times New Roman" w:hAnsi="Times New Roman" w:cs="Times New Roman"/>
          <w:noProof/>
          <w:sz w:val="24"/>
          <w:szCs w:val="24"/>
        </w:rPr>
        <w:drawing>
          <wp:inline distT="0" distB="0" distL="0" distR="0" wp14:anchorId="6395BD36" wp14:editId="0288A8D9">
            <wp:extent cx="5943600" cy="1295400"/>
            <wp:effectExtent l="0" t="0" r="0" b="0"/>
            <wp:docPr id="58860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04782" name=""/>
                    <pic:cNvPicPr/>
                  </pic:nvPicPr>
                  <pic:blipFill>
                    <a:blip r:embed="rId5"/>
                    <a:stretch>
                      <a:fillRect/>
                    </a:stretch>
                  </pic:blipFill>
                  <pic:spPr>
                    <a:xfrm>
                      <a:off x="0" y="0"/>
                      <a:ext cx="5943600" cy="1295400"/>
                    </a:xfrm>
                    <a:prstGeom prst="rect">
                      <a:avLst/>
                    </a:prstGeom>
                  </pic:spPr>
                </pic:pic>
              </a:graphicData>
            </a:graphic>
          </wp:inline>
        </w:drawing>
      </w:r>
    </w:p>
    <w:p w14:paraId="00D86CDB" w14:textId="77777777" w:rsidR="00854C39" w:rsidRDefault="00854C39" w:rsidP="00854C39">
      <w:pPr>
        <w:spacing w:line="480" w:lineRule="auto"/>
        <w:rPr>
          <w:rFonts w:ascii="Times New Roman" w:hAnsi="Times New Roman" w:cs="Times New Roman"/>
          <w:sz w:val="24"/>
          <w:szCs w:val="24"/>
        </w:rPr>
      </w:pPr>
      <w:r>
        <w:rPr>
          <w:rFonts w:ascii="Times New Roman" w:hAnsi="Times New Roman" w:cs="Times New Roman"/>
          <w:sz w:val="24"/>
          <w:szCs w:val="24"/>
        </w:rPr>
        <w:t>Now we will look at how American Airlines and US Airways stack against the Top City Pair markets over all and how each airlines concentration and market share look in 2012.</w:t>
      </w:r>
    </w:p>
    <w:p w14:paraId="09D4BD84" w14:textId="77777777" w:rsidR="00854C39" w:rsidRDefault="00854C39" w:rsidP="00854C39">
      <w:pPr>
        <w:spacing w:line="480" w:lineRule="auto"/>
        <w:rPr>
          <w:rFonts w:ascii="Times New Roman" w:hAnsi="Times New Roman" w:cs="Times New Roman"/>
          <w:sz w:val="24"/>
          <w:szCs w:val="24"/>
        </w:rPr>
      </w:pPr>
      <w:r w:rsidRPr="00997A8E">
        <w:rPr>
          <w:rFonts w:ascii="Times New Roman" w:hAnsi="Times New Roman" w:cs="Times New Roman"/>
          <w:noProof/>
          <w:sz w:val="24"/>
          <w:szCs w:val="24"/>
        </w:rPr>
        <w:lastRenderedPageBreak/>
        <w:drawing>
          <wp:inline distT="0" distB="0" distL="0" distR="0" wp14:anchorId="4FC23358" wp14:editId="68389EBF">
            <wp:extent cx="5943600" cy="908050"/>
            <wp:effectExtent l="0" t="0" r="0" b="6350"/>
            <wp:docPr id="15743596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59676" name="Picture 1" descr="A screenshot of a computer&#10;&#10;Description automatically generated"/>
                    <pic:cNvPicPr/>
                  </pic:nvPicPr>
                  <pic:blipFill>
                    <a:blip r:embed="rId6"/>
                    <a:stretch>
                      <a:fillRect/>
                    </a:stretch>
                  </pic:blipFill>
                  <pic:spPr>
                    <a:xfrm>
                      <a:off x="0" y="0"/>
                      <a:ext cx="5943600" cy="908050"/>
                    </a:xfrm>
                    <a:prstGeom prst="rect">
                      <a:avLst/>
                    </a:prstGeom>
                  </pic:spPr>
                </pic:pic>
              </a:graphicData>
            </a:graphic>
          </wp:inline>
        </w:drawing>
      </w:r>
    </w:p>
    <w:p w14:paraId="41772E05" w14:textId="77777777" w:rsidR="00854C39" w:rsidRDefault="00854C39" w:rsidP="00854C39">
      <w:pPr>
        <w:spacing w:line="480" w:lineRule="auto"/>
        <w:rPr>
          <w:rFonts w:ascii="Times New Roman" w:hAnsi="Times New Roman" w:cs="Times New Roman"/>
          <w:sz w:val="24"/>
          <w:szCs w:val="24"/>
        </w:rPr>
      </w:pPr>
      <w:r>
        <w:rPr>
          <w:rFonts w:ascii="Times New Roman" w:hAnsi="Times New Roman" w:cs="Times New Roman"/>
          <w:sz w:val="24"/>
          <w:szCs w:val="24"/>
        </w:rPr>
        <w:t xml:space="preserve">Here we can see the reference of the Top 10 Markets that the combined American Airlines and US Airways have in terms of HHI concentration pre-merger.  Notice the swaying of passenger counts as one dominates a partial route and the other doesn’t. </w:t>
      </w:r>
    </w:p>
    <w:p w14:paraId="142D5C95" w14:textId="77777777" w:rsidR="00854C39" w:rsidRDefault="00854C39" w:rsidP="00854C39">
      <w:pPr>
        <w:spacing w:line="480" w:lineRule="auto"/>
        <w:rPr>
          <w:rFonts w:ascii="Times New Roman" w:hAnsi="Times New Roman" w:cs="Times New Roman"/>
          <w:sz w:val="24"/>
          <w:szCs w:val="24"/>
        </w:rPr>
      </w:pPr>
      <w:r w:rsidRPr="009F7E96">
        <w:rPr>
          <w:rFonts w:ascii="Times New Roman" w:hAnsi="Times New Roman" w:cs="Times New Roman"/>
          <w:noProof/>
          <w:sz w:val="24"/>
          <w:szCs w:val="24"/>
        </w:rPr>
        <w:drawing>
          <wp:inline distT="0" distB="0" distL="0" distR="0" wp14:anchorId="5F2EE5D1" wp14:editId="25337A5D">
            <wp:extent cx="5943600" cy="1576070"/>
            <wp:effectExtent l="0" t="0" r="0" b="5080"/>
            <wp:docPr id="541210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10305" name="Picture 1" descr="A screenshot of a computer&#10;&#10;Description automatically generated"/>
                    <pic:cNvPicPr/>
                  </pic:nvPicPr>
                  <pic:blipFill>
                    <a:blip r:embed="rId7"/>
                    <a:stretch>
                      <a:fillRect/>
                    </a:stretch>
                  </pic:blipFill>
                  <pic:spPr>
                    <a:xfrm>
                      <a:off x="0" y="0"/>
                      <a:ext cx="5943600" cy="1576070"/>
                    </a:xfrm>
                    <a:prstGeom prst="rect">
                      <a:avLst/>
                    </a:prstGeom>
                  </pic:spPr>
                </pic:pic>
              </a:graphicData>
            </a:graphic>
          </wp:inline>
        </w:drawing>
      </w:r>
    </w:p>
    <w:p w14:paraId="2B458B5C" w14:textId="77777777" w:rsidR="00854C39" w:rsidRDefault="00854C39" w:rsidP="00854C39">
      <w:pPr>
        <w:spacing w:line="480" w:lineRule="auto"/>
        <w:rPr>
          <w:rFonts w:ascii="Times New Roman" w:hAnsi="Times New Roman" w:cs="Times New Roman"/>
          <w:sz w:val="24"/>
          <w:szCs w:val="24"/>
        </w:rPr>
      </w:pPr>
      <w:r>
        <w:rPr>
          <w:rFonts w:ascii="Times New Roman" w:hAnsi="Times New Roman" w:cs="Times New Roman"/>
          <w:sz w:val="24"/>
          <w:szCs w:val="24"/>
        </w:rPr>
        <w:t xml:space="preserve">However, one of these routes appears to be a non-domestic flight so I imputed a closer domestic flight city pair that also has high concentration. </w:t>
      </w:r>
    </w:p>
    <w:p w14:paraId="260009FC" w14:textId="77777777" w:rsidR="00854C39" w:rsidRDefault="00854C39" w:rsidP="00854C39">
      <w:pPr>
        <w:spacing w:line="480" w:lineRule="auto"/>
        <w:rPr>
          <w:rFonts w:ascii="Times New Roman" w:hAnsi="Times New Roman" w:cs="Times New Roman"/>
          <w:sz w:val="24"/>
          <w:szCs w:val="24"/>
        </w:rPr>
      </w:pPr>
      <w:r w:rsidRPr="009F7E96">
        <w:rPr>
          <w:rFonts w:ascii="Times New Roman" w:hAnsi="Times New Roman" w:cs="Times New Roman"/>
          <w:noProof/>
          <w:sz w:val="24"/>
          <w:szCs w:val="24"/>
        </w:rPr>
        <w:drawing>
          <wp:inline distT="0" distB="0" distL="0" distR="0" wp14:anchorId="42EA09CB" wp14:editId="27867994">
            <wp:extent cx="4396154" cy="188071"/>
            <wp:effectExtent l="0" t="0" r="4445" b="2540"/>
            <wp:docPr id="205058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88409" name=""/>
                    <pic:cNvPicPr/>
                  </pic:nvPicPr>
                  <pic:blipFill>
                    <a:blip r:embed="rId8"/>
                    <a:stretch>
                      <a:fillRect/>
                    </a:stretch>
                  </pic:blipFill>
                  <pic:spPr>
                    <a:xfrm>
                      <a:off x="0" y="0"/>
                      <a:ext cx="5108599" cy="218550"/>
                    </a:xfrm>
                    <a:prstGeom prst="rect">
                      <a:avLst/>
                    </a:prstGeom>
                  </pic:spPr>
                </pic:pic>
              </a:graphicData>
            </a:graphic>
          </wp:inline>
        </w:drawing>
      </w:r>
    </w:p>
    <w:p w14:paraId="6A8BDFE9" w14:textId="77777777" w:rsidR="00854C39" w:rsidRDefault="00854C39" w:rsidP="00854C39">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concentration also indicates huge control over these domestic routes.  </w:t>
      </w:r>
    </w:p>
    <w:p w14:paraId="1319E5E8" w14:textId="77777777" w:rsidR="00854C39" w:rsidRDefault="00854C39" w:rsidP="00854C39">
      <w:pPr>
        <w:spacing w:line="480" w:lineRule="auto"/>
        <w:rPr>
          <w:rFonts w:ascii="Times New Roman" w:hAnsi="Times New Roman" w:cs="Times New Roman"/>
          <w:sz w:val="24"/>
          <w:szCs w:val="24"/>
        </w:rPr>
      </w:pPr>
      <w:r>
        <w:rPr>
          <w:rFonts w:ascii="Times New Roman" w:hAnsi="Times New Roman" w:cs="Times New Roman"/>
          <w:sz w:val="24"/>
          <w:szCs w:val="24"/>
        </w:rPr>
        <w:t xml:space="preserve">Here we can see that pre-merger U.S Airways and American Airlines occupy a significant portion of control though seating, seat shares (stated from previous chart) as well as passengers. Additionally, both airlines show a significant portion of control when factoring in Top Markets overall with 14 percent control in ABE-CLT city pair as well as 11 percent total control in ABE-JFK.  </w:t>
      </w:r>
    </w:p>
    <w:p w14:paraId="51A65112" w14:textId="0A8AA311" w:rsidR="00F01D80" w:rsidRDefault="00F01D80" w:rsidP="00854C39">
      <w:pPr>
        <w:spacing w:line="480" w:lineRule="auto"/>
        <w:rPr>
          <w:rFonts w:ascii="Times New Roman" w:hAnsi="Times New Roman" w:cs="Times New Roman"/>
          <w:b/>
          <w:bCs/>
          <w:sz w:val="24"/>
          <w:szCs w:val="24"/>
        </w:rPr>
      </w:pPr>
      <w:r w:rsidRPr="00F01D80">
        <w:rPr>
          <w:rFonts w:ascii="Times New Roman" w:hAnsi="Times New Roman" w:cs="Times New Roman"/>
          <w:b/>
          <w:bCs/>
          <w:sz w:val="24"/>
          <w:szCs w:val="24"/>
        </w:rPr>
        <w:t xml:space="preserve">Top Hub Data Pre-Merger and Post-Merger </w:t>
      </w:r>
    </w:p>
    <w:p w14:paraId="2F841945" w14:textId="77777777" w:rsidR="00F01D80" w:rsidRDefault="00F01D80" w:rsidP="00F01D8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To provide the calculations for the pre- and post-merger top hubs, I focused on historical verification of the top hubs for these respective airlines independently </w:t>
      </w:r>
      <w:r w:rsidRPr="00D2314F">
        <w:rPr>
          <w:rFonts w:ascii="Times New Roman" w:hAnsi="Times New Roman" w:cs="Times New Roman"/>
          <w:sz w:val="24"/>
          <w:szCs w:val="24"/>
        </w:rPr>
        <w:t>(Bureau of Transportation Statistics [BTS], 2012)</w:t>
      </w:r>
      <w:r>
        <w:rPr>
          <w:rFonts w:ascii="Times New Roman" w:hAnsi="Times New Roman" w:cs="Times New Roman"/>
          <w:sz w:val="24"/>
          <w:szCs w:val="24"/>
        </w:rPr>
        <w:t xml:space="preserve"> </w:t>
      </w:r>
      <w:r w:rsidRPr="003C1B7B">
        <w:rPr>
          <w:rFonts w:ascii="Times New Roman" w:hAnsi="Times New Roman" w:cs="Times New Roman"/>
          <w:sz w:val="24"/>
          <w:szCs w:val="24"/>
        </w:rPr>
        <w:t>(Federal Aviation Administration [FAA], 2012) (MIT Airline Data Project, 2012) (International Air Transport Association [IATA], 2012).</w:t>
      </w:r>
      <w:r>
        <w:rPr>
          <w:rFonts w:ascii="Times New Roman" w:hAnsi="Times New Roman" w:cs="Times New Roman"/>
          <w:sz w:val="24"/>
          <w:szCs w:val="24"/>
        </w:rPr>
        <w:t xml:space="preserve">  Afterwords, these are then applied to the information regarding enplanement data to isolate the following calculations and concentrations pre-merger for 2012 and post-merger information for 2014. In addition, the T-100 enplanement data illustrates passengers by count and routes helping us pin down concentrations.  Here are the following results for 2012. </w:t>
      </w:r>
    </w:p>
    <w:p w14:paraId="79CA272E" w14:textId="77777777" w:rsidR="00F01D80" w:rsidRDefault="00F01D80" w:rsidP="00F01D80">
      <w:pPr>
        <w:spacing w:line="480" w:lineRule="auto"/>
        <w:rPr>
          <w:rFonts w:ascii="Times New Roman" w:hAnsi="Times New Roman" w:cs="Times New Roman"/>
          <w:sz w:val="24"/>
          <w:szCs w:val="24"/>
        </w:rPr>
      </w:pPr>
      <w:r w:rsidRPr="00CE7533">
        <w:rPr>
          <w:rFonts w:ascii="Times New Roman" w:hAnsi="Times New Roman" w:cs="Times New Roman"/>
          <w:noProof/>
          <w:sz w:val="24"/>
          <w:szCs w:val="24"/>
        </w:rPr>
        <w:drawing>
          <wp:inline distT="0" distB="0" distL="0" distR="0" wp14:anchorId="43FECBD1" wp14:editId="20DDE539">
            <wp:extent cx="5943600" cy="1706880"/>
            <wp:effectExtent l="0" t="0" r="0" b="7620"/>
            <wp:docPr id="8969205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20558" name="Picture 1" descr="A screenshot of a computer&#10;&#10;Description automatically generated"/>
                    <pic:cNvPicPr/>
                  </pic:nvPicPr>
                  <pic:blipFill>
                    <a:blip r:embed="rId9"/>
                    <a:stretch>
                      <a:fillRect/>
                    </a:stretch>
                  </pic:blipFill>
                  <pic:spPr>
                    <a:xfrm>
                      <a:off x="0" y="0"/>
                      <a:ext cx="5943600" cy="1706880"/>
                    </a:xfrm>
                    <a:prstGeom prst="rect">
                      <a:avLst/>
                    </a:prstGeom>
                  </pic:spPr>
                </pic:pic>
              </a:graphicData>
            </a:graphic>
          </wp:inline>
        </w:drawing>
      </w:r>
    </w:p>
    <w:p w14:paraId="5B4E1BFA" w14:textId="77777777" w:rsidR="00F01D80" w:rsidRDefault="00F01D80" w:rsidP="00F01D80">
      <w:pPr>
        <w:spacing w:line="480" w:lineRule="auto"/>
        <w:rPr>
          <w:rFonts w:ascii="Times New Roman" w:hAnsi="Times New Roman" w:cs="Times New Roman"/>
          <w:sz w:val="24"/>
          <w:szCs w:val="24"/>
        </w:rPr>
      </w:pPr>
      <w:r>
        <w:rPr>
          <w:rFonts w:ascii="Times New Roman" w:hAnsi="Times New Roman" w:cs="Times New Roman"/>
          <w:sz w:val="24"/>
          <w:szCs w:val="24"/>
        </w:rPr>
        <w:t xml:space="preserve">The following mathematical procedures were performed to get an estimate of the top hubs for concentration. First, let’s use Charlotte (CLT) as an example.  Market Share is calculated as </w:t>
      </w:r>
      <w:r w:rsidRPr="0073232E">
        <w:rPr>
          <w:rFonts w:ascii="Times New Roman" w:hAnsi="Times New Roman" w:cs="Times New Roman"/>
          <w:sz w:val="24"/>
          <w:szCs w:val="24"/>
        </w:rPr>
        <w:t>Market Share=Total Enplanements of Airline​​×100</w:t>
      </w:r>
      <w:r>
        <w:rPr>
          <w:rFonts w:ascii="Times New Roman" w:hAnsi="Times New Roman" w:cs="Times New Roman"/>
          <w:sz w:val="24"/>
          <w:szCs w:val="24"/>
        </w:rPr>
        <w:t xml:space="preserve">.  Next, we will take the American Airlines portion of the enplanements (9,000,000) and divide by </w:t>
      </w:r>
      <w:r w:rsidRPr="0073232E">
        <w:rPr>
          <w:rFonts w:ascii="Times New Roman" w:hAnsi="Times New Roman" w:cs="Times New Roman"/>
          <w:sz w:val="24"/>
          <w:szCs w:val="24"/>
        </w:rPr>
        <w:t>20,033,816</w:t>
      </w:r>
      <w:r>
        <w:rPr>
          <w:rFonts w:ascii="Times New Roman" w:hAnsi="Times New Roman" w:cs="Times New Roman"/>
          <w:sz w:val="24"/>
          <w:szCs w:val="24"/>
        </w:rPr>
        <w:t xml:space="preserve"> and times 100 to yield </w:t>
      </w:r>
      <w:r w:rsidRPr="0073232E">
        <w:rPr>
          <w:rFonts w:ascii="Times New Roman" w:hAnsi="Times New Roman" w:cs="Times New Roman"/>
          <w:sz w:val="24"/>
          <w:szCs w:val="24"/>
          <w:highlight w:val="yellow"/>
        </w:rPr>
        <w:t>9,000,000/20,033,816 ​×100=44.92%</w:t>
      </w:r>
      <w:r>
        <w:rPr>
          <w:rFonts w:ascii="Times New Roman" w:hAnsi="Times New Roman" w:cs="Times New Roman"/>
          <w:sz w:val="24"/>
          <w:szCs w:val="24"/>
        </w:rPr>
        <w:t xml:space="preserve">. Now let’s take United Airways Enplanements for a calculation of </w:t>
      </w:r>
      <w:r w:rsidRPr="00341F31">
        <w:rPr>
          <w:rFonts w:ascii="Times New Roman" w:hAnsi="Times New Roman" w:cs="Times New Roman"/>
          <w:sz w:val="24"/>
          <w:szCs w:val="24"/>
          <w:highlight w:val="yellow"/>
        </w:rPr>
        <w:t>8,000,000/20,033,816​×100=39.93%</w:t>
      </w:r>
      <w:r>
        <w:rPr>
          <w:rFonts w:ascii="Times New Roman" w:hAnsi="Times New Roman" w:cs="Times New Roman"/>
          <w:sz w:val="24"/>
          <w:szCs w:val="24"/>
        </w:rPr>
        <w:t xml:space="preserve">. Moving along we now need to square the market shares of both airlines percentages to receive the Market Share for the individual HHI.  From American Airlines and United Airways, we have subsequently the following output. </w:t>
      </w:r>
      <w:r w:rsidRPr="00341F31">
        <w:rPr>
          <w:rFonts w:ascii="Times New Roman" w:hAnsi="Times New Roman" w:cs="Times New Roman"/>
          <w:sz w:val="24"/>
          <w:szCs w:val="24"/>
          <w:highlight w:val="yellow"/>
        </w:rPr>
        <w:t>(</w:t>
      </w:r>
      <w:proofErr w:type="gramStart"/>
      <w:r w:rsidRPr="00341F31">
        <w:rPr>
          <w:rFonts w:ascii="Times New Roman" w:hAnsi="Times New Roman" w:cs="Times New Roman"/>
          <w:sz w:val="24"/>
          <w:szCs w:val="24"/>
          <w:highlight w:val="yellow"/>
        </w:rPr>
        <w:t>44.92)^</w:t>
      </w:r>
      <w:proofErr w:type="gramEnd"/>
      <w:r w:rsidRPr="00341F31">
        <w:rPr>
          <w:rFonts w:ascii="Times New Roman" w:hAnsi="Times New Roman" w:cs="Times New Roman"/>
          <w:sz w:val="24"/>
          <w:szCs w:val="24"/>
          <w:highlight w:val="yellow"/>
        </w:rPr>
        <w:t>2=2018.74, (39.93)^2=1594.03</w:t>
      </w:r>
      <w:r>
        <w:rPr>
          <w:rFonts w:ascii="Times New Roman" w:hAnsi="Times New Roman" w:cs="Times New Roman"/>
          <w:sz w:val="24"/>
          <w:szCs w:val="24"/>
        </w:rPr>
        <w:t xml:space="preserve">.  With these calculations in place, we will now take the sum of these squared market shares and calculate the total. This will yield </w:t>
      </w:r>
      <w:r w:rsidRPr="00F246E7">
        <w:rPr>
          <w:rFonts w:ascii="Times New Roman" w:hAnsi="Times New Roman" w:cs="Times New Roman"/>
          <w:sz w:val="24"/>
          <w:szCs w:val="24"/>
          <w:highlight w:val="yellow"/>
        </w:rPr>
        <w:lastRenderedPageBreak/>
        <w:t>2018.74+1594.03=</w:t>
      </w:r>
      <w:r w:rsidRPr="00AA433B">
        <w:rPr>
          <w:rFonts w:ascii="Times New Roman" w:hAnsi="Times New Roman" w:cs="Times New Roman"/>
          <w:sz w:val="24"/>
          <w:szCs w:val="24"/>
          <w:highlight w:val="yellow"/>
        </w:rPr>
        <w:t>3612.77</w:t>
      </w:r>
      <w:r>
        <w:rPr>
          <w:rFonts w:ascii="Times New Roman" w:hAnsi="Times New Roman" w:cs="Times New Roman"/>
          <w:sz w:val="24"/>
          <w:szCs w:val="24"/>
        </w:rPr>
        <w:t xml:space="preserve">.  We can see from what we know about HHI that any calculations over </w:t>
      </w:r>
      <w:r w:rsidRPr="00341F31">
        <w:rPr>
          <w:rFonts w:ascii="Times New Roman" w:hAnsi="Times New Roman" w:cs="Times New Roman"/>
          <w:sz w:val="24"/>
          <w:szCs w:val="24"/>
        </w:rPr>
        <w:t xml:space="preserve">HHI &gt; 2,500: </w:t>
      </w:r>
      <w:r>
        <w:rPr>
          <w:rFonts w:ascii="Times New Roman" w:hAnsi="Times New Roman" w:cs="Times New Roman"/>
          <w:sz w:val="24"/>
          <w:szCs w:val="24"/>
        </w:rPr>
        <w:t xml:space="preserve">show high concentrations. </w:t>
      </w:r>
      <w:r w:rsidRPr="00196D74">
        <w:rPr>
          <w:rFonts w:ascii="Times New Roman" w:hAnsi="Times New Roman" w:cs="Times New Roman"/>
          <w:sz w:val="24"/>
          <w:szCs w:val="24"/>
        </w:rPr>
        <w:t>(U.S. Department of Justice, 2015)</w:t>
      </w:r>
    </w:p>
    <w:p w14:paraId="5E9420DB" w14:textId="77777777" w:rsidR="00F01D80" w:rsidRPr="00F246E7" w:rsidRDefault="00F01D80" w:rsidP="00F01D80">
      <w:pPr>
        <w:spacing w:line="480" w:lineRule="auto"/>
        <w:rPr>
          <w:rFonts w:ascii="Times New Roman" w:hAnsi="Times New Roman" w:cs="Times New Roman"/>
          <w:b/>
          <w:bCs/>
          <w:sz w:val="24"/>
          <w:szCs w:val="24"/>
        </w:rPr>
      </w:pPr>
      <w:r w:rsidRPr="00F246E7">
        <w:rPr>
          <w:rFonts w:ascii="Times New Roman" w:hAnsi="Times New Roman" w:cs="Times New Roman"/>
          <w:b/>
          <w:bCs/>
          <w:sz w:val="24"/>
          <w:szCs w:val="24"/>
        </w:rPr>
        <w:t>Post Merger</w:t>
      </w:r>
      <w:r>
        <w:rPr>
          <w:rFonts w:ascii="Times New Roman" w:hAnsi="Times New Roman" w:cs="Times New Roman"/>
          <w:b/>
          <w:bCs/>
          <w:sz w:val="24"/>
          <w:szCs w:val="24"/>
        </w:rPr>
        <w:t xml:space="preserve"> Hub</w:t>
      </w:r>
      <w:r w:rsidRPr="00F246E7">
        <w:rPr>
          <w:rFonts w:ascii="Times New Roman" w:hAnsi="Times New Roman" w:cs="Times New Roman"/>
          <w:b/>
          <w:bCs/>
          <w:sz w:val="24"/>
          <w:szCs w:val="24"/>
        </w:rPr>
        <w:t xml:space="preserve"> 2014 Data. </w:t>
      </w:r>
    </w:p>
    <w:p w14:paraId="73BD65FF" w14:textId="77777777" w:rsidR="00F01D80" w:rsidRDefault="00F01D80" w:rsidP="00F01D80">
      <w:pPr>
        <w:spacing w:line="480" w:lineRule="auto"/>
        <w:rPr>
          <w:rFonts w:ascii="Times New Roman" w:hAnsi="Times New Roman" w:cs="Times New Roman"/>
          <w:b/>
          <w:bCs/>
          <w:sz w:val="24"/>
          <w:szCs w:val="24"/>
        </w:rPr>
      </w:pPr>
      <w:r w:rsidRPr="00506E5F">
        <w:rPr>
          <w:rFonts w:ascii="Times New Roman" w:hAnsi="Times New Roman" w:cs="Times New Roman"/>
          <w:b/>
          <w:bCs/>
          <w:noProof/>
          <w:sz w:val="24"/>
          <w:szCs w:val="24"/>
        </w:rPr>
        <w:drawing>
          <wp:inline distT="0" distB="0" distL="0" distR="0" wp14:anchorId="7BAF7C71" wp14:editId="1645F8DC">
            <wp:extent cx="5943600" cy="1524000"/>
            <wp:effectExtent l="0" t="0" r="0" b="0"/>
            <wp:docPr id="22140347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03479" name="Picture 1" descr="A screenshot of a graph&#10;&#10;Description automatically generated"/>
                    <pic:cNvPicPr/>
                  </pic:nvPicPr>
                  <pic:blipFill>
                    <a:blip r:embed="rId10"/>
                    <a:stretch>
                      <a:fillRect/>
                    </a:stretch>
                  </pic:blipFill>
                  <pic:spPr>
                    <a:xfrm>
                      <a:off x="0" y="0"/>
                      <a:ext cx="5943600" cy="1524000"/>
                    </a:xfrm>
                    <a:prstGeom prst="rect">
                      <a:avLst/>
                    </a:prstGeom>
                  </pic:spPr>
                </pic:pic>
              </a:graphicData>
            </a:graphic>
          </wp:inline>
        </w:drawing>
      </w:r>
    </w:p>
    <w:p w14:paraId="7106F8AA" w14:textId="77777777" w:rsidR="00F01D80" w:rsidRDefault="00F01D80" w:rsidP="00854C39">
      <w:pPr>
        <w:spacing w:line="480" w:lineRule="auto"/>
        <w:rPr>
          <w:rFonts w:ascii="Times New Roman" w:hAnsi="Times New Roman" w:cs="Times New Roman"/>
          <w:sz w:val="24"/>
          <w:szCs w:val="24"/>
        </w:rPr>
      </w:pPr>
    </w:p>
    <w:p w14:paraId="7B2A61E4" w14:textId="10E63CD3" w:rsidR="00854C39" w:rsidRDefault="00854C39" w:rsidP="00854C39">
      <w:pPr>
        <w:spacing w:line="480" w:lineRule="auto"/>
        <w:rPr>
          <w:rFonts w:ascii="Times New Roman" w:hAnsi="Times New Roman" w:cs="Times New Roman"/>
          <w:b/>
          <w:bCs/>
          <w:sz w:val="24"/>
          <w:szCs w:val="24"/>
        </w:rPr>
      </w:pPr>
      <w:r w:rsidRPr="00854C39">
        <w:rPr>
          <w:rFonts w:ascii="Times New Roman" w:hAnsi="Times New Roman" w:cs="Times New Roman"/>
          <w:b/>
          <w:bCs/>
          <w:sz w:val="24"/>
          <w:szCs w:val="24"/>
        </w:rPr>
        <w:t>Significance of Ratio for Addressing Salient Issues</w:t>
      </w:r>
      <w:r w:rsidR="00591A37">
        <w:rPr>
          <w:rFonts w:ascii="Times New Roman" w:hAnsi="Times New Roman" w:cs="Times New Roman"/>
          <w:b/>
          <w:bCs/>
          <w:sz w:val="24"/>
          <w:szCs w:val="24"/>
        </w:rPr>
        <w:t xml:space="preserve"> </w:t>
      </w:r>
    </w:p>
    <w:p w14:paraId="5885DECA" w14:textId="68908711" w:rsidR="00591A37" w:rsidRDefault="00591A37" w:rsidP="00854C39">
      <w:pPr>
        <w:spacing w:line="480" w:lineRule="auto"/>
        <w:rPr>
          <w:rFonts w:ascii="Times New Roman" w:hAnsi="Times New Roman" w:cs="Times New Roman"/>
          <w:b/>
          <w:bCs/>
          <w:sz w:val="24"/>
          <w:szCs w:val="24"/>
        </w:rPr>
      </w:pPr>
      <w:r>
        <w:rPr>
          <w:rFonts w:ascii="Times New Roman" w:hAnsi="Times New Roman" w:cs="Times New Roman"/>
          <w:b/>
          <w:bCs/>
          <w:sz w:val="24"/>
          <w:szCs w:val="24"/>
        </w:rPr>
        <w:t>Market Concentration and Reduced Competition</w:t>
      </w:r>
    </w:p>
    <w:p w14:paraId="6B51B08B" w14:textId="144E76E2" w:rsidR="00591A37" w:rsidRDefault="00591A37" w:rsidP="00854C39">
      <w:pPr>
        <w:spacing w:line="480" w:lineRule="auto"/>
        <w:rPr>
          <w:rFonts w:ascii="Times New Roman" w:hAnsi="Times New Roman" w:cs="Times New Roman"/>
          <w:sz w:val="24"/>
          <w:szCs w:val="24"/>
        </w:rPr>
      </w:pPr>
      <w:r>
        <w:rPr>
          <w:rFonts w:ascii="Times New Roman" w:hAnsi="Times New Roman" w:cs="Times New Roman"/>
          <w:sz w:val="24"/>
          <w:szCs w:val="24"/>
        </w:rPr>
        <w:t xml:space="preserve">The significance of these ratios is vital to the salient issues in a variety of ways.  Primarily, </w:t>
      </w:r>
      <w:r w:rsidR="003F4D63">
        <w:rPr>
          <w:rFonts w:ascii="Times New Roman" w:hAnsi="Times New Roman" w:cs="Times New Roman"/>
          <w:sz w:val="24"/>
          <w:szCs w:val="24"/>
        </w:rPr>
        <w:t>the</w:t>
      </w:r>
      <w:r>
        <w:rPr>
          <w:rFonts w:ascii="Times New Roman" w:hAnsi="Times New Roman" w:cs="Times New Roman"/>
          <w:sz w:val="24"/>
          <w:szCs w:val="24"/>
        </w:rPr>
        <w:t xml:space="preserve"> pre-merger data indicates that city-pair markets such as Charlotte-Dallas show pre-merger HHI concentrations over 4,000. This well exceeds the 2500 threshold for high concentrated markets.  Additionally, key routes such as Washinton D.C (Reagen National) to Boston as well as Miami to Dallas and Charlotte to New York have combined dominance of almost 35-50 percent market share. A merger situation could very well exasperate these numbers and suggest even more elimination of competition in these market pairs.  These could have drastic consequences including collusions or other monopolistic practices. </w:t>
      </w:r>
    </w:p>
    <w:p w14:paraId="3F7B51CA" w14:textId="04F4CC30" w:rsidR="00591A37" w:rsidRDefault="00C70054" w:rsidP="00854C39">
      <w:pPr>
        <w:spacing w:line="480" w:lineRule="auto"/>
        <w:rPr>
          <w:rFonts w:ascii="Times New Roman" w:hAnsi="Times New Roman" w:cs="Times New Roman"/>
          <w:b/>
          <w:bCs/>
          <w:sz w:val="24"/>
          <w:szCs w:val="24"/>
        </w:rPr>
      </w:pPr>
      <w:r w:rsidRPr="00C70054">
        <w:rPr>
          <w:rFonts w:ascii="Times New Roman" w:hAnsi="Times New Roman" w:cs="Times New Roman"/>
          <w:b/>
          <w:bCs/>
          <w:sz w:val="24"/>
          <w:szCs w:val="24"/>
        </w:rPr>
        <w:t>Slot Dominance</w:t>
      </w:r>
    </w:p>
    <w:p w14:paraId="7C061DF9" w14:textId="27885BCD" w:rsidR="00C70054" w:rsidRDefault="00C70054" w:rsidP="00854C39">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The briefing on the subject listed Reagan National as controlling 55 percent of the slots creating significant barriers to entry. </w:t>
      </w:r>
      <w:r w:rsidR="006A6C92" w:rsidRPr="006A6C92">
        <w:rPr>
          <w:rFonts w:ascii="Times New Roman" w:hAnsi="Times New Roman" w:cs="Times New Roman"/>
          <w:sz w:val="24"/>
          <w:szCs w:val="24"/>
        </w:rPr>
        <w:t xml:space="preserve">(Government Accountability Office, 2013) </w:t>
      </w:r>
      <w:r>
        <w:rPr>
          <w:rFonts w:ascii="Times New Roman" w:hAnsi="Times New Roman" w:cs="Times New Roman"/>
          <w:sz w:val="24"/>
          <w:szCs w:val="24"/>
        </w:rPr>
        <w:t>Post merger increases will put this number at almost 69 percent</w:t>
      </w:r>
      <w:r w:rsidR="003F4D63">
        <w:rPr>
          <w:rFonts w:ascii="Times New Roman" w:hAnsi="Times New Roman" w:cs="Times New Roman"/>
          <w:sz w:val="24"/>
          <w:szCs w:val="24"/>
        </w:rPr>
        <w:t xml:space="preserve"> with a calculated</w:t>
      </w:r>
      <w:r>
        <w:rPr>
          <w:rFonts w:ascii="Times New Roman" w:hAnsi="Times New Roman" w:cs="Times New Roman"/>
          <w:sz w:val="24"/>
          <w:szCs w:val="24"/>
        </w:rPr>
        <w:t xml:space="preserve"> 3000 HHI concentration.  With post-merger situations</w:t>
      </w:r>
      <w:r w:rsidR="003F4D63">
        <w:rPr>
          <w:rFonts w:ascii="Times New Roman" w:hAnsi="Times New Roman" w:cs="Times New Roman"/>
          <w:sz w:val="24"/>
          <w:szCs w:val="24"/>
        </w:rPr>
        <w:t>,</w:t>
      </w:r>
      <w:r>
        <w:rPr>
          <w:rFonts w:ascii="Times New Roman" w:hAnsi="Times New Roman" w:cs="Times New Roman"/>
          <w:sz w:val="24"/>
          <w:szCs w:val="24"/>
        </w:rPr>
        <w:t xml:space="preserve"> we will see these numbers rise and thus effectively curtail.  This could create huge barriers to entry as well as prevent expansion from competitors. </w:t>
      </w:r>
    </w:p>
    <w:p w14:paraId="6B016FC9" w14:textId="21477BFF" w:rsidR="00C70054" w:rsidRPr="00C70054" w:rsidRDefault="00C70054" w:rsidP="00854C39">
      <w:pPr>
        <w:spacing w:line="480" w:lineRule="auto"/>
        <w:rPr>
          <w:rFonts w:ascii="Times New Roman" w:hAnsi="Times New Roman" w:cs="Times New Roman"/>
          <w:b/>
          <w:bCs/>
          <w:sz w:val="24"/>
          <w:szCs w:val="24"/>
        </w:rPr>
      </w:pPr>
      <w:r w:rsidRPr="00C70054">
        <w:rPr>
          <w:rFonts w:ascii="Times New Roman" w:hAnsi="Times New Roman" w:cs="Times New Roman"/>
          <w:b/>
          <w:bCs/>
          <w:sz w:val="24"/>
          <w:szCs w:val="24"/>
        </w:rPr>
        <w:t>Consumer Welfare and Impact on Fares</w:t>
      </w:r>
    </w:p>
    <w:p w14:paraId="70EB33CC" w14:textId="33FC3197" w:rsidR="00854C39" w:rsidRPr="00703EFE" w:rsidRDefault="00F73505" w:rsidP="00793F08">
      <w:pPr>
        <w:spacing w:line="480" w:lineRule="auto"/>
        <w:rPr>
          <w:rFonts w:ascii="Times New Roman" w:hAnsi="Times New Roman" w:cs="Times New Roman"/>
          <w:sz w:val="24"/>
          <w:szCs w:val="24"/>
        </w:rPr>
      </w:pPr>
      <w:r>
        <w:rPr>
          <w:rFonts w:ascii="Times New Roman" w:hAnsi="Times New Roman" w:cs="Times New Roman"/>
          <w:sz w:val="24"/>
          <w:szCs w:val="24"/>
        </w:rPr>
        <w:t xml:space="preserve">Some routes such as Charlotte-Philadelphia exceed 3500 in HHI concentration.  With the pre-merger combined market share of 40-45 percent.  Substitution patterns from the data suggest that other carriers like Delta as well as United had minimum significance or presence on this route.  This </w:t>
      </w:r>
      <w:r w:rsidR="003F4D63">
        <w:rPr>
          <w:rFonts w:ascii="Times New Roman" w:hAnsi="Times New Roman" w:cs="Times New Roman"/>
          <w:sz w:val="24"/>
          <w:szCs w:val="24"/>
        </w:rPr>
        <w:t>could create significant</w:t>
      </w:r>
      <w:r>
        <w:rPr>
          <w:rFonts w:ascii="Times New Roman" w:hAnsi="Times New Roman" w:cs="Times New Roman"/>
          <w:sz w:val="24"/>
          <w:szCs w:val="24"/>
        </w:rPr>
        <w:t xml:space="preserve"> problems for customers to find alternatives in pricing (from lower cost carriers) as well as projections into post-merger illustrating passengers paying higher fare prices for similar or reduced services. </w:t>
      </w:r>
      <w:r w:rsidR="006A6C92" w:rsidRPr="006A6C92">
        <w:rPr>
          <w:rFonts w:ascii="Times New Roman" w:hAnsi="Times New Roman" w:cs="Times New Roman"/>
          <w:sz w:val="24"/>
          <w:szCs w:val="24"/>
        </w:rPr>
        <w:t>(Wharff, 2023)</w:t>
      </w:r>
    </w:p>
    <w:p w14:paraId="51581272" w14:textId="4A3C38AF" w:rsidR="000A6A03" w:rsidRPr="00550BDD" w:rsidRDefault="000A6A03" w:rsidP="00793F08">
      <w:pPr>
        <w:spacing w:line="480" w:lineRule="auto"/>
        <w:rPr>
          <w:rFonts w:ascii="Times New Roman" w:hAnsi="Times New Roman" w:cs="Times New Roman"/>
          <w:b/>
          <w:bCs/>
          <w:sz w:val="24"/>
          <w:szCs w:val="24"/>
        </w:rPr>
      </w:pPr>
      <w:r w:rsidRPr="00550BDD">
        <w:rPr>
          <w:rFonts w:ascii="Times New Roman" w:hAnsi="Times New Roman" w:cs="Times New Roman"/>
          <w:b/>
          <w:bCs/>
          <w:sz w:val="24"/>
          <w:szCs w:val="24"/>
        </w:rPr>
        <w:t xml:space="preserve">Key Regulatory Instruments </w:t>
      </w:r>
    </w:p>
    <w:p w14:paraId="6CE77F12" w14:textId="0FEAB95E" w:rsidR="004F73AA" w:rsidRDefault="00BE2700" w:rsidP="004F73A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There are a variety of regulatory instruments that could be of use in controlling market power as well as addressing coordinated behaviors and aiding in consumer welfare.  Principally, structural changes like divestitures can restore competition and enable entrants into important industries to better consumer wellbeing. </w:t>
      </w:r>
      <w:r w:rsidR="006A6C92" w:rsidRPr="006A6C92">
        <w:rPr>
          <w:rFonts w:ascii="Times New Roman" w:hAnsi="Times New Roman" w:cs="Times New Roman"/>
          <w:sz w:val="24"/>
          <w:szCs w:val="24"/>
        </w:rPr>
        <w:t>(Kwoka, 2015)</w:t>
      </w:r>
      <w:r>
        <w:rPr>
          <w:rFonts w:ascii="Times New Roman" w:hAnsi="Times New Roman" w:cs="Times New Roman"/>
          <w:sz w:val="24"/>
          <w:szCs w:val="24"/>
        </w:rPr>
        <w:t xml:space="preserve"> </w:t>
      </w:r>
      <w:r w:rsidR="00550BDD">
        <w:rPr>
          <w:rFonts w:ascii="Times New Roman" w:hAnsi="Times New Roman" w:cs="Times New Roman"/>
          <w:sz w:val="24"/>
          <w:szCs w:val="24"/>
        </w:rPr>
        <w:t>Additionally empirical studies have found that divestitures, when implemented in post-merger scenarios, can maintain competition and outcomes. (</w:t>
      </w:r>
      <w:r w:rsidR="00550BDD" w:rsidRPr="00550BDD">
        <w:rPr>
          <w:rFonts w:ascii="Times New Roman" w:hAnsi="Times New Roman" w:cs="Times New Roman"/>
          <w:sz w:val="24"/>
          <w:szCs w:val="24"/>
        </w:rPr>
        <w:t>Kwoka</w:t>
      </w:r>
      <w:r w:rsidR="00550BDD">
        <w:rPr>
          <w:rFonts w:ascii="Times New Roman" w:hAnsi="Times New Roman" w:cs="Times New Roman"/>
          <w:sz w:val="24"/>
          <w:szCs w:val="24"/>
        </w:rPr>
        <w:t xml:space="preserve">, </w:t>
      </w:r>
      <w:r w:rsidR="00550BDD" w:rsidRPr="00550BDD">
        <w:rPr>
          <w:rFonts w:ascii="Times New Roman" w:hAnsi="Times New Roman" w:cs="Times New Roman"/>
          <w:sz w:val="24"/>
          <w:szCs w:val="24"/>
        </w:rPr>
        <w:t>2015)</w:t>
      </w:r>
      <w:r w:rsidR="00550BDD">
        <w:rPr>
          <w:rFonts w:ascii="Times New Roman" w:hAnsi="Times New Roman" w:cs="Times New Roman"/>
          <w:sz w:val="24"/>
          <w:szCs w:val="24"/>
        </w:rPr>
        <w:t xml:space="preserve"> However, it should be noted that though divestitures can help the robustness of competition, scaling disadvantages after divestitures as well as in high fixed cost industries</w:t>
      </w:r>
      <w:r w:rsidR="004F73AA">
        <w:rPr>
          <w:rFonts w:ascii="Times New Roman" w:hAnsi="Times New Roman" w:cs="Times New Roman"/>
          <w:sz w:val="24"/>
          <w:szCs w:val="24"/>
        </w:rPr>
        <w:t>, can render divestitures insignificant.  Even after the</w:t>
      </w:r>
      <w:r w:rsidR="003F4D63">
        <w:rPr>
          <w:rFonts w:ascii="Times New Roman" w:hAnsi="Times New Roman" w:cs="Times New Roman"/>
          <w:sz w:val="24"/>
          <w:szCs w:val="24"/>
        </w:rPr>
        <w:t>ir</w:t>
      </w:r>
      <w:r w:rsidR="004F73AA">
        <w:rPr>
          <w:rFonts w:ascii="Times New Roman" w:hAnsi="Times New Roman" w:cs="Times New Roman"/>
          <w:sz w:val="24"/>
          <w:szCs w:val="24"/>
        </w:rPr>
        <w:t xml:space="preserve"> implementation, dominate firms may still exert significant pricing and output controls, stifling competition.  </w:t>
      </w:r>
      <w:r w:rsidR="004F73AA" w:rsidRPr="004F73AA">
        <w:rPr>
          <w:rFonts w:ascii="Times New Roman" w:hAnsi="Times New Roman" w:cs="Times New Roman"/>
          <w:sz w:val="24"/>
          <w:szCs w:val="24"/>
        </w:rPr>
        <w:t xml:space="preserve">(Salop &amp; Culley, </w:t>
      </w:r>
      <w:r w:rsidR="004F73AA" w:rsidRPr="004F73AA">
        <w:rPr>
          <w:rFonts w:ascii="Times New Roman" w:hAnsi="Times New Roman" w:cs="Times New Roman"/>
          <w:sz w:val="24"/>
          <w:szCs w:val="24"/>
        </w:rPr>
        <w:lastRenderedPageBreak/>
        <w:t>2020)</w:t>
      </w:r>
      <w:r w:rsidR="004F73AA">
        <w:rPr>
          <w:rFonts w:ascii="Times New Roman" w:hAnsi="Times New Roman" w:cs="Times New Roman"/>
          <w:sz w:val="24"/>
          <w:szCs w:val="24"/>
        </w:rPr>
        <w:t xml:space="preserve"> Another potentially effective instrument could be behavioral remedies such as conduct-related obligations or fair practice commitments and transparencies. One interesting component of th</w:t>
      </w:r>
      <w:r w:rsidR="003F4D63">
        <w:rPr>
          <w:rFonts w:ascii="Times New Roman" w:hAnsi="Times New Roman" w:cs="Times New Roman"/>
          <w:sz w:val="24"/>
          <w:szCs w:val="24"/>
        </w:rPr>
        <w:t>ese</w:t>
      </w:r>
      <w:r w:rsidR="004F73AA">
        <w:rPr>
          <w:rFonts w:ascii="Times New Roman" w:hAnsi="Times New Roman" w:cs="Times New Roman"/>
          <w:sz w:val="24"/>
          <w:szCs w:val="24"/>
        </w:rPr>
        <w:t xml:space="preserve"> procedures is that it can be tailored to dynamic market situations and used to address specific situations such as </w:t>
      </w:r>
      <w:r w:rsidR="002B30E7">
        <w:rPr>
          <w:rFonts w:ascii="Times New Roman" w:hAnsi="Times New Roman" w:cs="Times New Roman"/>
          <w:sz w:val="24"/>
          <w:szCs w:val="24"/>
        </w:rPr>
        <w:t>customer substitution patterns.  This is very important in that routes or hubs with airline dominance, reduce the choices available to customers such as switching airlines or modes of transportation. The measure of elasticity in consumer demand can create context specific and granular adjustments post-merger to allow customer options and alternatives. (</w:t>
      </w:r>
      <w:r w:rsidR="002B30E7" w:rsidRPr="002B30E7">
        <w:rPr>
          <w:rFonts w:ascii="Times New Roman" w:hAnsi="Times New Roman" w:cs="Times New Roman"/>
          <w:sz w:val="24"/>
          <w:szCs w:val="24"/>
        </w:rPr>
        <w:t>Peters and Wilder</w:t>
      </w:r>
      <w:r w:rsidR="002B30E7">
        <w:rPr>
          <w:rFonts w:ascii="Times New Roman" w:hAnsi="Times New Roman" w:cs="Times New Roman"/>
          <w:sz w:val="24"/>
          <w:szCs w:val="24"/>
        </w:rPr>
        <w:t xml:space="preserve">, </w:t>
      </w:r>
      <w:r w:rsidR="002B30E7" w:rsidRPr="002B30E7">
        <w:rPr>
          <w:rFonts w:ascii="Times New Roman" w:hAnsi="Times New Roman" w:cs="Times New Roman"/>
          <w:sz w:val="24"/>
          <w:szCs w:val="24"/>
        </w:rPr>
        <w:t>2021)</w:t>
      </w:r>
      <w:r w:rsidR="00254404">
        <w:rPr>
          <w:rFonts w:ascii="Times New Roman" w:hAnsi="Times New Roman" w:cs="Times New Roman"/>
          <w:sz w:val="24"/>
          <w:szCs w:val="24"/>
        </w:rPr>
        <w:t xml:space="preserve"> One major </w:t>
      </w:r>
      <w:r w:rsidR="000F55A0">
        <w:rPr>
          <w:rFonts w:ascii="Times New Roman" w:hAnsi="Times New Roman" w:cs="Times New Roman"/>
          <w:sz w:val="24"/>
          <w:szCs w:val="24"/>
        </w:rPr>
        <w:t>issue</w:t>
      </w:r>
      <w:r w:rsidR="00254404">
        <w:rPr>
          <w:rFonts w:ascii="Times New Roman" w:hAnsi="Times New Roman" w:cs="Times New Roman"/>
          <w:sz w:val="24"/>
          <w:szCs w:val="24"/>
        </w:rPr>
        <w:t xml:space="preserve"> with this approach is its labor </w:t>
      </w:r>
      <w:r w:rsidR="000F55A0">
        <w:rPr>
          <w:rFonts w:ascii="Times New Roman" w:hAnsi="Times New Roman" w:cs="Times New Roman"/>
          <w:sz w:val="24"/>
          <w:szCs w:val="24"/>
        </w:rPr>
        <w:t>intensiveness</w:t>
      </w:r>
      <w:r w:rsidR="00254404">
        <w:rPr>
          <w:rFonts w:ascii="Times New Roman" w:hAnsi="Times New Roman" w:cs="Times New Roman"/>
          <w:sz w:val="24"/>
          <w:szCs w:val="24"/>
        </w:rPr>
        <w:t xml:space="preserve"> as well as </w:t>
      </w:r>
      <w:r w:rsidR="006A6C92">
        <w:rPr>
          <w:rFonts w:ascii="Times New Roman" w:hAnsi="Times New Roman" w:cs="Times New Roman"/>
          <w:sz w:val="24"/>
          <w:szCs w:val="24"/>
        </w:rPr>
        <w:t>it</w:t>
      </w:r>
      <w:r w:rsidR="00254404">
        <w:rPr>
          <w:rFonts w:ascii="Times New Roman" w:hAnsi="Times New Roman" w:cs="Times New Roman"/>
          <w:sz w:val="24"/>
          <w:szCs w:val="24"/>
        </w:rPr>
        <w:t xml:space="preserve"> </w:t>
      </w:r>
      <w:r w:rsidR="000F55A0">
        <w:rPr>
          <w:rFonts w:ascii="Times New Roman" w:hAnsi="Times New Roman" w:cs="Times New Roman"/>
          <w:sz w:val="24"/>
          <w:szCs w:val="24"/>
        </w:rPr>
        <w:t>lack</w:t>
      </w:r>
      <w:r w:rsidR="006A6C92">
        <w:rPr>
          <w:rFonts w:ascii="Times New Roman" w:hAnsi="Times New Roman" w:cs="Times New Roman"/>
          <w:sz w:val="24"/>
          <w:szCs w:val="24"/>
        </w:rPr>
        <w:t>s</w:t>
      </w:r>
      <w:r w:rsidR="000F55A0">
        <w:rPr>
          <w:rFonts w:ascii="Times New Roman" w:hAnsi="Times New Roman" w:cs="Times New Roman"/>
          <w:sz w:val="24"/>
          <w:szCs w:val="24"/>
        </w:rPr>
        <w:t xml:space="preserve"> </w:t>
      </w:r>
      <w:r w:rsidR="00254404">
        <w:rPr>
          <w:rFonts w:ascii="Times New Roman" w:hAnsi="Times New Roman" w:cs="Times New Roman"/>
          <w:sz w:val="24"/>
          <w:szCs w:val="24"/>
        </w:rPr>
        <w:t xml:space="preserve">overall </w:t>
      </w:r>
      <w:r w:rsidR="006A6C92">
        <w:rPr>
          <w:rFonts w:ascii="Times New Roman" w:hAnsi="Times New Roman" w:cs="Times New Roman"/>
          <w:sz w:val="24"/>
          <w:szCs w:val="24"/>
        </w:rPr>
        <w:t>long-term</w:t>
      </w:r>
      <w:r w:rsidR="00254404">
        <w:rPr>
          <w:rFonts w:ascii="Times New Roman" w:hAnsi="Times New Roman" w:cs="Times New Roman"/>
          <w:sz w:val="24"/>
          <w:szCs w:val="24"/>
        </w:rPr>
        <w:t xml:space="preserve"> effects. It has also been shown </w:t>
      </w:r>
      <w:r w:rsidR="000F55A0">
        <w:rPr>
          <w:rFonts w:ascii="Times New Roman" w:hAnsi="Times New Roman" w:cs="Times New Roman"/>
          <w:sz w:val="24"/>
          <w:szCs w:val="24"/>
        </w:rPr>
        <w:t xml:space="preserve">lack enforcement strength and have been used excessively by the DOJ. </w:t>
      </w:r>
      <w:r w:rsidR="000F55A0" w:rsidRPr="003F4D63">
        <w:rPr>
          <w:rFonts w:ascii="Times New Roman" w:hAnsi="Times New Roman" w:cs="Times New Roman"/>
          <w:sz w:val="24"/>
          <w:szCs w:val="24"/>
        </w:rPr>
        <w:t>(Salop and Culley, 2020)</w:t>
      </w:r>
      <w:r w:rsidR="000F55A0">
        <w:rPr>
          <w:rFonts w:ascii="Times New Roman" w:hAnsi="Times New Roman" w:cs="Times New Roman"/>
          <w:sz w:val="24"/>
          <w:szCs w:val="24"/>
        </w:rPr>
        <w:t xml:space="preserve"> Other techniques that can be used include slot and market entry controls as well as economic modeling and forecasting. This was previously used by the DOJ in Regan National Airport </w:t>
      </w:r>
      <w:r w:rsidR="000F55A0" w:rsidRPr="000F55A0">
        <w:rPr>
          <w:rFonts w:ascii="Times New Roman" w:hAnsi="Times New Roman" w:cs="Times New Roman"/>
          <w:sz w:val="24"/>
          <w:szCs w:val="24"/>
        </w:rPr>
        <w:t>(Government Accountability Office, 2013)</w:t>
      </w:r>
      <w:r w:rsidR="000F55A0">
        <w:rPr>
          <w:rFonts w:ascii="Times New Roman" w:hAnsi="Times New Roman" w:cs="Times New Roman"/>
          <w:sz w:val="24"/>
          <w:szCs w:val="24"/>
        </w:rPr>
        <w:t xml:space="preserve"> and can lead to direct competition in concentrated markets as well as improve pricing competition.   However, success can only depend on if new entrants can still effectively compete.  Additionally, this still doesn’t prevent the high barrier to entry within the industry and its deterrents.  </w:t>
      </w:r>
      <w:r w:rsidR="009A2AFF" w:rsidRPr="000F55A0">
        <w:rPr>
          <w:rFonts w:ascii="Times New Roman" w:hAnsi="Times New Roman" w:cs="Times New Roman"/>
          <w:sz w:val="24"/>
          <w:szCs w:val="24"/>
        </w:rPr>
        <w:t>(Government Accountability Office, 2013)</w:t>
      </w:r>
      <w:r w:rsidR="009A2AFF">
        <w:rPr>
          <w:rFonts w:ascii="Times New Roman" w:hAnsi="Times New Roman" w:cs="Times New Roman"/>
          <w:sz w:val="24"/>
          <w:szCs w:val="24"/>
        </w:rPr>
        <w:t xml:space="preserve"> </w:t>
      </w:r>
      <w:r w:rsidR="002C57FD">
        <w:rPr>
          <w:rFonts w:ascii="Times New Roman" w:hAnsi="Times New Roman" w:cs="Times New Roman"/>
          <w:sz w:val="24"/>
          <w:szCs w:val="24"/>
        </w:rPr>
        <w:t>Lastly HHI concentrations and economic modeling such as applied by the DOJ to this case can provide evidence-based proof for excessive market concentration as well as provide granular data on route specific concentrations that can then be mitigated using various techniques listed above. (</w:t>
      </w:r>
      <w:r w:rsidR="002C57FD" w:rsidRPr="002C57FD">
        <w:rPr>
          <w:rFonts w:ascii="Times New Roman" w:hAnsi="Times New Roman" w:cs="Times New Roman"/>
          <w:sz w:val="24"/>
          <w:szCs w:val="24"/>
        </w:rPr>
        <w:t>Turner, 2022).</w:t>
      </w:r>
      <w:r w:rsidR="002C57FD">
        <w:rPr>
          <w:rFonts w:ascii="Times New Roman" w:hAnsi="Times New Roman" w:cs="Times New Roman"/>
          <w:sz w:val="24"/>
          <w:szCs w:val="24"/>
        </w:rPr>
        <w:t xml:space="preserve"> It should be told with caution that these techniques might not be able to address subtle network effects as well as route complementariness in how major airlines can affect smaller markets and major hubs. (</w:t>
      </w:r>
      <w:r w:rsidR="002C57FD" w:rsidRPr="002C57FD">
        <w:rPr>
          <w:rFonts w:ascii="Times New Roman" w:hAnsi="Times New Roman" w:cs="Times New Roman"/>
          <w:sz w:val="24"/>
          <w:szCs w:val="24"/>
        </w:rPr>
        <w:t>Melamed</w:t>
      </w:r>
      <w:r w:rsidR="009A2AFF">
        <w:rPr>
          <w:rFonts w:ascii="Times New Roman" w:hAnsi="Times New Roman" w:cs="Times New Roman"/>
          <w:sz w:val="24"/>
          <w:szCs w:val="24"/>
        </w:rPr>
        <w:t xml:space="preserve"> </w:t>
      </w:r>
      <w:r w:rsidR="002C57FD">
        <w:rPr>
          <w:rFonts w:ascii="Times New Roman" w:hAnsi="Times New Roman" w:cs="Times New Roman"/>
          <w:sz w:val="24"/>
          <w:szCs w:val="24"/>
        </w:rPr>
        <w:t>,</w:t>
      </w:r>
      <w:r w:rsidR="002C57FD" w:rsidRPr="002C57FD">
        <w:rPr>
          <w:rFonts w:ascii="Times New Roman" w:hAnsi="Times New Roman" w:cs="Times New Roman"/>
          <w:sz w:val="24"/>
          <w:szCs w:val="24"/>
        </w:rPr>
        <w:t>2020)</w:t>
      </w:r>
    </w:p>
    <w:p w14:paraId="6603EF89" w14:textId="6632159E" w:rsidR="003A08B7" w:rsidRDefault="003A08B7" w:rsidP="003A08B7">
      <w:pPr>
        <w:spacing w:line="480" w:lineRule="auto"/>
        <w:rPr>
          <w:rFonts w:ascii="Times New Roman" w:hAnsi="Times New Roman" w:cs="Times New Roman"/>
          <w:b/>
          <w:bCs/>
          <w:sz w:val="24"/>
          <w:szCs w:val="24"/>
        </w:rPr>
      </w:pPr>
      <w:r w:rsidRPr="003A08B7">
        <w:rPr>
          <w:rFonts w:ascii="Times New Roman" w:hAnsi="Times New Roman" w:cs="Times New Roman"/>
          <w:b/>
          <w:bCs/>
          <w:sz w:val="24"/>
          <w:szCs w:val="24"/>
        </w:rPr>
        <w:t>Imperfect Information</w:t>
      </w:r>
    </w:p>
    <w:p w14:paraId="1415E5C5" w14:textId="1434AD96" w:rsidR="000A67A0" w:rsidRDefault="003A08B7" w:rsidP="003A08B7">
      <w:pPr>
        <w:spacing w:line="480" w:lineRule="auto"/>
        <w:rPr>
          <w:rFonts w:ascii="Times New Roman" w:hAnsi="Times New Roman" w:cs="Times New Roman"/>
          <w:sz w:val="24"/>
          <w:szCs w:val="24"/>
        </w:rPr>
      </w:pPr>
      <w:r>
        <w:rPr>
          <w:rFonts w:ascii="Times New Roman" w:hAnsi="Times New Roman" w:cs="Times New Roman"/>
          <w:b/>
          <w:bCs/>
          <w:sz w:val="24"/>
          <w:szCs w:val="24"/>
        </w:rPr>
        <w:lastRenderedPageBreak/>
        <w:tab/>
      </w:r>
      <w:r>
        <w:rPr>
          <w:rFonts w:ascii="Times New Roman" w:hAnsi="Times New Roman" w:cs="Times New Roman"/>
          <w:sz w:val="24"/>
          <w:szCs w:val="24"/>
        </w:rPr>
        <w:t xml:space="preserve">One key stakeholder involved in the implications of imperfect information and its effects on economic decision making </w:t>
      </w:r>
      <w:r w:rsidR="007E2D6C">
        <w:rPr>
          <w:rFonts w:ascii="Times New Roman" w:hAnsi="Times New Roman" w:cs="Times New Roman"/>
          <w:sz w:val="24"/>
          <w:szCs w:val="24"/>
        </w:rPr>
        <w:t xml:space="preserve">are the customers who operate and function within the airline industry.  After the merger, consolidation reduced competition found on numerous routes and due to this, pricing fares </w:t>
      </w:r>
      <w:r w:rsidR="009A2AFF">
        <w:rPr>
          <w:rFonts w:ascii="Times New Roman" w:hAnsi="Times New Roman" w:cs="Times New Roman"/>
          <w:sz w:val="24"/>
          <w:szCs w:val="24"/>
        </w:rPr>
        <w:t>may begin</w:t>
      </w:r>
      <w:r w:rsidR="007E2D6C">
        <w:rPr>
          <w:rFonts w:ascii="Times New Roman" w:hAnsi="Times New Roman" w:cs="Times New Roman"/>
          <w:sz w:val="24"/>
          <w:szCs w:val="24"/>
        </w:rPr>
        <w:t xml:space="preserve"> to raise</w:t>
      </w:r>
      <w:r w:rsidR="009A2AFF">
        <w:rPr>
          <w:rFonts w:ascii="Times New Roman" w:hAnsi="Times New Roman" w:cs="Times New Roman"/>
          <w:sz w:val="24"/>
          <w:szCs w:val="24"/>
        </w:rPr>
        <w:t xml:space="preserve"> and in certain markets</w:t>
      </w:r>
      <w:r w:rsidR="007E2D6C">
        <w:rPr>
          <w:rFonts w:ascii="Times New Roman" w:hAnsi="Times New Roman" w:cs="Times New Roman"/>
          <w:sz w:val="24"/>
          <w:szCs w:val="24"/>
        </w:rPr>
        <w:t>.</w:t>
      </w:r>
      <w:r w:rsidR="009A2AFF">
        <w:rPr>
          <w:rFonts w:ascii="Times New Roman" w:hAnsi="Times New Roman" w:cs="Times New Roman"/>
          <w:sz w:val="24"/>
          <w:szCs w:val="24"/>
        </w:rPr>
        <w:t xml:space="preserve"> (</w:t>
      </w:r>
      <w:r w:rsidR="009A2AFF" w:rsidRPr="002C57FD">
        <w:rPr>
          <w:rFonts w:ascii="Times New Roman" w:hAnsi="Times New Roman" w:cs="Times New Roman"/>
          <w:sz w:val="24"/>
          <w:szCs w:val="24"/>
        </w:rPr>
        <w:t>Turner, 2022)</w:t>
      </w:r>
      <w:r w:rsidR="009A2AFF">
        <w:rPr>
          <w:rFonts w:ascii="Times New Roman" w:hAnsi="Times New Roman" w:cs="Times New Roman"/>
          <w:sz w:val="24"/>
          <w:szCs w:val="24"/>
        </w:rPr>
        <w:t xml:space="preserve"> </w:t>
      </w:r>
      <w:r w:rsidR="009A2AFF" w:rsidRPr="009A2AFF">
        <w:rPr>
          <w:rFonts w:ascii="Times New Roman" w:hAnsi="Times New Roman" w:cs="Times New Roman"/>
          <w:sz w:val="24"/>
          <w:szCs w:val="24"/>
        </w:rPr>
        <w:t>(Bontemps, Remmy, &amp; Wei, 2020</w:t>
      </w:r>
      <w:r w:rsidR="00E71DE6" w:rsidRPr="009A2AFF">
        <w:rPr>
          <w:rFonts w:ascii="Times New Roman" w:hAnsi="Times New Roman" w:cs="Times New Roman"/>
          <w:sz w:val="24"/>
          <w:szCs w:val="24"/>
        </w:rPr>
        <w:t>)</w:t>
      </w:r>
      <w:r w:rsidR="00E71DE6">
        <w:rPr>
          <w:rFonts w:ascii="Times New Roman" w:hAnsi="Times New Roman" w:cs="Times New Roman"/>
          <w:sz w:val="24"/>
          <w:szCs w:val="24"/>
        </w:rPr>
        <w:t xml:space="preserve"> Simultaneously</w:t>
      </w:r>
      <w:r w:rsidR="007E2D6C">
        <w:rPr>
          <w:rFonts w:ascii="Times New Roman" w:hAnsi="Times New Roman" w:cs="Times New Roman"/>
          <w:sz w:val="24"/>
          <w:szCs w:val="24"/>
        </w:rPr>
        <w:t xml:space="preserve">, route availability and frequencies were changed, customers may not have been aware of these changes or may not have understood the scale of these impacts due to limited understanding of the </w:t>
      </w:r>
      <w:r w:rsidR="003D38BD">
        <w:rPr>
          <w:rFonts w:ascii="Times New Roman" w:hAnsi="Times New Roman" w:cs="Times New Roman"/>
          <w:sz w:val="24"/>
          <w:szCs w:val="24"/>
        </w:rPr>
        <w:t>merger’s</w:t>
      </w:r>
      <w:r w:rsidR="007E2D6C">
        <w:rPr>
          <w:rFonts w:ascii="Times New Roman" w:hAnsi="Times New Roman" w:cs="Times New Roman"/>
          <w:sz w:val="24"/>
          <w:szCs w:val="24"/>
        </w:rPr>
        <w:t xml:space="preserve"> competitive dynamics.  </w:t>
      </w:r>
      <w:r w:rsidR="003D38BD">
        <w:rPr>
          <w:rFonts w:ascii="Times New Roman" w:hAnsi="Times New Roman" w:cs="Times New Roman"/>
          <w:sz w:val="24"/>
          <w:szCs w:val="24"/>
        </w:rPr>
        <w:t xml:space="preserve">One example of this was </w:t>
      </w:r>
      <w:r w:rsidR="00531008">
        <w:rPr>
          <w:rFonts w:ascii="Times New Roman" w:hAnsi="Times New Roman" w:cs="Times New Roman"/>
          <w:sz w:val="24"/>
          <w:szCs w:val="24"/>
        </w:rPr>
        <w:t xml:space="preserve">the analysis of this merger by </w:t>
      </w:r>
      <w:r w:rsidR="00531008" w:rsidRPr="00531008">
        <w:rPr>
          <w:rFonts w:ascii="Times New Roman" w:hAnsi="Times New Roman" w:cs="Times New Roman"/>
          <w:sz w:val="24"/>
          <w:szCs w:val="24"/>
        </w:rPr>
        <w:t>Bontemps et al. (2020)</w:t>
      </w:r>
      <w:r w:rsidR="00531008">
        <w:rPr>
          <w:rFonts w:ascii="Times New Roman" w:hAnsi="Times New Roman" w:cs="Times New Roman"/>
          <w:sz w:val="24"/>
          <w:szCs w:val="24"/>
        </w:rPr>
        <w:t xml:space="preserve"> which looked at the consumer surplus of markets in which both airlines operated and then accessed surplus after the merger took place.  It was found that consumer surplus that in which both airlines operated increased while post-merger (with one operative airline) consumer surplus dropped.  This could suggest that customers, lacking specific information may have had to face significant changes to service availability and pricing post-merger but isn’t</w:t>
      </w:r>
      <w:r w:rsidR="000A67A0">
        <w:rPr>
          <w:rFonts w:ascii="Times New Roman" w:hAnsi="Times New Roman" w:cs="Times New Roman"/>
          <w:sz w:val="24"/>
          <w:szCs w:val="24"/>
        </w:rPr>
        <w:t xml:space="preserve"> definitively</w:t>
      </w:r>
      <w:r w:rsidR="00531008">
        <w:rPr>
          <w:rFonts w:ascii="Times New Roman" w:hAnsi="Times New Roman" w:cs="Times New Roman"/>
          <w:sz w:val="24"/>
          <w:szCs w:val="24"/>
        </w:rPr>
        <w:t xml:space="preserve"> </w:t>
      </w:r>
      <w:r w:rsidR="000A67A0">
        <w:rPr>
          <w:rFonts w:ascii="Times New Roman" w:hAnsi="Times New Roman" w:cs="Times New Roman"/>
          <w:sz w:val="24"/>
          <w:szCs w:val="24"/>
        </w:rPr>
        <w:t>proven</w:t>
      </w:r>
      <w:r w:rsidR="00531008">
        <w:rPr>
          <w:rFonts w:ascii="Times New Roman" w:hAnsi="Times New Roman" w:cs="Times New Roman"/>
          <w:sz w:val="24"/>
          <w:szCs w:val="24"/>
        </w:rPr>
        <w:t>. (</w:t>
      </w:r>
      <w:r w:rsidR="00531008" w:rsidRPr="00531008">
        <w:rPr>
          <w:rFonts w:ascii="Times New Roman" w:hAnsi="Times New Roman" w:cs="Times New Roman"/>
          <w:sz w:val="24"/>
          <w:szCs w:val="24"/>
        </w:rPr>
        <w:t>Bontemps et al.</w:t>
      </w:r>
      <w:r w:rsidR="00531008">
        <w:rPr>
          <w:rFonts w:ascii="Times New Roman" w:hAnsi="Times New Roman" w:cs="Times New Roman"/>
          <w:sz w:val="24"/>
          <w:szCs w:val="24"/>
        </w:rPr>
        <w:t xml:space="preserve"> 2020) </w:t>
      </w:r>
    </w:p>
    <w:p w14:paraId="43D3F1A8" w14:textId="52C8A7E1" w:rsidR="000A67A0" w:rsidRDefault="000A67A0" w:rsidP="003A08B7">
      <w:pPr>
        <w:spacing w:line="480" w:lineRule="auto"/>
        <w:rPr>
          <w:rFonts w:ascii="Times New Roman" w:hAnsi="Times New Roman" w:cs="Times New Roman"/>
          <w:sz w:val="24"/>
          <w:szCs w:val="24"/>
        </w:rPr>
      </w:pPr>
      <w:r>
        <w:rPr>
          <w:rFonts w:ascii="Times New Roman" w:hAnsi="Times New Roman" w:cs="Times New Roman"/>
          <w:sz w:val="24"/>
          <w:szCs w:val="24"/>
        </w:rPr>
        <w:t xml:space="preserve">Other </w:t>
      </w:r>
      <w:r w:rsidR="001E06A7">
        <w:rPr>
          <w:rFonts w:ascii="Times New Roman" w:hAnsi="Times New Roman" w:cs="Times New Roman"/>
          <w:sz w:val="24"/>
          <w:szCs w:val="24"/>
        </w:rPr>
        <w:t>stakeholders</w:t>
      </w:r>
      <w:r>
        <w:rPr>
          <w:rFonts w:ascii="Times New Roman" w:hAnsi="Times New Roman" w:cs="Times New Roman"/>
          <w:sz w:val="24"/>
          <w:szCs w:val="24"/>
        </w:rPr>
        <w:t xml:space="preserve"> could include the airlines themselves.  For </w:t>
      </w:r>
      <w:r w:rsidR="001E06A7">
        <w:rPr>
          <w:rFonts w:ascii="Times New Roman" w:hAnsi="Times New Roman" w:cs="Times New Roman"/>
          <w:sz w:val="24"/>
          <w:szCs w:val="24"/>
        </w:rPr>
        <w:t xml:space="preserve">example, Moss (2013) found that anticipated efficiencies from </w:t>
      </w:r>
      <w:r w:rsidR="003F4D63">
        <w:rPr>
          <w:rFonts w:ascii="Times New Roman" w:hAnsi="Times New Roman" w:cs="Times New Roman"/>
          <w:sz w:val="24"/>
          <w:szCs w:val="24"/>
        </w:rPr>
        <w:t xml:space="preserve">the </w:t>
      </w:r>
      <w:r w:rsidR="001E06A7">
        <w:rPr>
          <w:rFonts w:ascii="Times New Roman" w:hAnsi="Times New Roman" w:cs="Times New Roman"/>
          <w:sz w:val="24"/>
          <w:szCs w:val="24"/>
        </w:rPr>
        <w:t xml:space="preserve">merger may not materialize as expected. </w:t>
      </w:r>
      <w:r w:rsidR="001E06A7" w:rsidRPr="00BA29A8">
        <w:rPr>
          <w:rFonts w:ascii="Times New Roman" w:hAnsi="Times New Roman" w:cs="Times New Roman"/>
          <w:sz w:val="24"/>
          <w:szCs w:val="24"/>
        </w:rPr>
        <w:t>(Moss, 2013)</w:t>
      </w:r>
      <w:r w:rsidR="001E06A7">
        <w:rPr>
          <w:rFonts w:ascii="Times New Roman" w:hAnsi="Times New Roman" w:cs="Times New Roman"/>
          <w:sz w:val="24"/>
          <w:szCs w:val="24"/>
        </w:rPr>
        <w:t xml:space="preserve"> Additionally, though consumer welfare increased from network optimizations, these efficiencies were only a portion of the mergers projected benefits. This shows that the airlines had an inability to anticipate the operational complexities such as overlapping routes or alignment of services post-merger. (</w:t>
      </w:r>
      <w:r w:rsidR="001E06A7" w:rsidRPr="001E06A7">
        <w:rPr>
          <w:rFonts w:ascii="Times New Roman" w:hAnsi="Times New Roman" w:cs="Times New Roman"/>
          <w:sz w:val="24"/>
          <w:szCs w:val="24"/>
        </w:rPr>
        <w:t>Bontemps et al</w:t>
      </w:r>
      <w:r w:rsidR="001E06A7">
        <w:rPr>
          <w:rFonts w:ascii="Times New Roman" w:hAnsi="Times New Roman" w:cs="Times New Roman"/>
          <w:sz w:val="24"/>
          <w:szCs w:val="24"/>
        </w:rPr>
        <w:t>, 2020)</w:t>
      </w:r>
      <w:r w:rsidR="00BA29A8">
        <w:rPr>
          <w:rFonts w:ascii="Times New Roman" w:hAnsi="Times New Roman" w:cs="Times New Roman"/>
          <w:sz w:val="24"/>
          <w:szCs w:val="24"/>
        </w:rPr>
        <w:t xml:space="preserve"> This was also coupled by Das 2019 which looked at how mergers in general can focus on city-pair markets but underestimate the competition of low-cost carriers in certain markets can erode expected gains and profits. (</w:t>
      </w:r>
      <w:r w:rsidR="00BA29A8" w:rsidRPr="00BA29A8">
        <w:rPr>
          <w:rFonts w:ascii="Times New Roman" w:hAnsi="Times New Roman" w:cs="Times New Roman"/>
          <w:sz w:val="24"/>
          <w:szCs w:val="24"/>
        </w:rPr>
        <w:t>Das</w:t>
      </w:r>
      <w:r w:rsidR="00BA29A8">
        <w:rPr>
          <w:rFonts w:ascii="Times New Roman" w:hAnsi="Times New Roman" w:cs="Times New Roman"/>
          <w:sz w:val="24"/>
          <w:szCs w:val="24"/>
        </w:rPr>
        <w:t>,</w:t>
      </w:r>
      <w:r w:rsidR="003F4D63">
        <w:rPr>
          <w:rFonts w:ascii="Times New Roman" w:hAnsi="Times New Roman" w:cs="Times New Roman"/>
          <w:sz w:val="24"/>
          <w:szCs w:val="24"/>
        </w:rPr>
        <w:t xml:space="preserve"> </w:t>
      </w:r>
      <w:r w:rsidR="00BA29A8" w:rsidRPr="00BA29A8">
        <w:rPr>
          <w:rFonts w:ascii="Times New Roman" w:hAnsi="Times New Roman" w:cs="Times New Roman"/>
          <w:sz w:val="24"/>
          <w:szCs w:val="24"/>
        </w:rPr>
        <w:t>2019</w:t>
      </w:r>
      <w:r w:rsidR="00BA29A8">
        <w:rPr>
          <w:rFonts w:ascii="Times New Roman" w:hAnsi="Times New Roman" w:cs="Times New Roman"/>
          <w:sz w:val="24"/>
          <w:szCs w:val="24"/>
        </w:rPr>
        <w:t>)</w:t>
      </w:r>
    </w:p>
    <w:p w14:paraId="6A987042" w14:textId="4BEE4A04" w:rsidR="00BA29A8" w:rsidRDefault="00BA29A8" w:rsidP="003A08B7">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Other shareholders could include competitors as well as regulators.  For instance, competitors faced challenges </w:t>
      </w:r>
      <w:r w:rsidR="000666D0">
        <w:rPr>
          <w:rFonts w:ascii="Times New Roman" w:hAnsi="Times New Roman" w:cs="Times New Roman"/>
          <w:sz w:val="24"/>
          <w:szCs w:val="24"/>
        </w:rPr>
        <w:t xml:space="preserve">in predicting pricing as well as route structures and capacity </w:t>
      </w:r>
      <w:r w:rsidR="000666D0">
        <w:rPr>
          <w:rFonts w:ascii="Times New Roman" w:hAnsi="Times New Roman" w:cs="Times New Roman"/>
          <w:sz w:val="24"/>
          <w:szCs w:val="24"/>
        </w:rPr>
        <w:lastRenderedPageBreak/>
        <w:t xml:space="preserve">decisions regarding the merger situation. </w:t>
      </w:r>
      <w:r w:rsidR="009A2AFF">
        <w:rPr>
          <w:rFonts w:ascii="Times New Roman" w:hAnsi="Times New Roman" w:cs="Times New Roman"/>
          <w:sz w:val="24"/>
          <w:szCs w:val="24"/>
        </w:rPr>
        <w:t>(</w:t>
      </w:r>
      <w:r w:rsidR="009A2AFF" w:rsidRPr="009A2AFF">
        <w:rPr>
          <w:rFonts w:ascii="Times New Roman" w:hAnsi="Times New Roman" w:cs="Times New Roman"/>
          <w:sz w:val="24"/>
          <w:szCs w:val="24"/>
        </w:rPr>
        <w:t>Bontemps, Remmy, and Wei</w:t>
      </w:r>
      <w:r w:rsidR="009A2AFF">
        <w:rPr>
          <w:rFonts w:ascii="Times New Roman" w:hAnsi="Times New Roman" w:cs="Times New Roman"/>
          <w:sz w:val="24"/>
          <w:szCs w:val="24"/>
        </w:rPr>
        <w:t>,</w:t>
      </w:r>
      <w:r w:rsidR="009A2AFF" w:rsidRPr="009A2AFF">
        <w:rPr>
          <w:rFonts w:ascii="Times New Roman" w:hAnsi="Times New Roman" w:cs="Times New Roman"/>
          <w:sz w:val="24"/>
          <w:szCs w:val="24"/>
        </w:rPr>
        <w:t>2020)</w:t>
      </w:r>
      <w:r w:rsidR="00514972">
        <w:rPr>
          <w:rFonts w:ascii="Times New Roman" w:hAnsi="Times New Roman" w:cs="Times New Roman"/>
          <w:sz w:val="24"/>
          <w:szCs w:val="24"/>
        </w:rPr>
        <w:t xml:space="preserve"> </w:t>
      </w:r>
      <w:r w:rsidR="003F4D63">
        <w:rPr>
          <w:rFonts w:ascii="Times New Roman" w:hAnsi="Times New Roman" w:cs="Times New Roman"/>
          <w:sz w:val="24"/>
          <w:szCs w:val="24"/>
        </w:rPr>
        <w:t>(</w:t>
      </w:r>
      <w:r w:rsidR="00514972" w:rsidRPr="00514972">
        <w:rPr>
          <w:rFonts w:ascii="Times New Roman" w:hAnsi="Times New Roman" w:cs="Times New Roman"/>
          <w:sz w:val="24"/>
          <w:szCs w:val="24"/>
        </w:rPr>
        <w:t>Turner</w:t>
      </w:r>
      <w:r w:rsidR="003F4D63">
        <w:rPr>
          <w:rFonts w:ascii="Times New Roman" w:hAnsi="Times New Roman" w:cs="Times New Roman"/>
          <w:sz w:val="24"/>
          <w:szCs w:val="24"/>
        </w:rPr>
        <w:t xml:space="preserve">, </w:t>
      </w:r>
      <w:r w:rsidR="00514972" w:rsidRPr="00514972">
        <w:rPr>
          <w:rFonts w:ascii="Times New Roman" w:hAnsi="Times New Roman" w:cs="Times New Roman"/>
          <w:sz w:val="24"/>
          <w:szCs w:val="24"/>
        </w:rPr>
        <w:t>2022)</w:t>
      </w:r>
      <w:r w:rsidR="00514972">
        <w:rPr>
          <w:rFonts w:ascii="Times New Roman" w:hAnsi="Times New Roman" w:cs="Times New Roman"/>
          <w:sz w:val="24"/>
          <w:szCs w:val="24"/>
        </w:rPr>
        <w:t xml:space="preserve"> </w:t>
      </w:r>
      <w:r w:rsidR="000666D0">
        <w:rPr>
          <w:rFonts w:ascii="Times New Roman" w:hAnsi="Times New Roman" w:cs="Times New Roman"/>
          <w:sz w:val="24"/>
          <w:szCs w:val="24"/>
        </w:rPr>
        <w:t xml:space="preserve">This was also expressed generally in </w:t>
      </w:r>
      <w:r w:rsidR="000666D0" w:rsidRPr="000666D0">
        <w:rPr>
          <w:rFonts w:ascii="Times New Roman" w:hAnsi="Times New Roman" w:cs="Times New Roman"/>
          <w:sz w:val="24"/>
          <w:szCs w:val="24"/>
        </w:rPr>
        <w:t xml:space="preserve">Remer &amp; </w:t>
      </w:r>
      <w:proofErr w:type="spellStart"/>
      <w:r w:rsidR="000666D0" w:rsidRPr="000666D0">
        <w:rPr>
          <w:rFonts w:ascii="Times New Roman" w:hAnsi="Times New Roman" w:cs="Times New Roman"/>
          <w:sz w:val="24"/>
          <w:szCs w:val="24"/>
        </w:rPr>
        <w:t>Orchinik</w:t>
      </w:r>
      <w:proofErr w:type="spellEnd"/>
      <w:r w:rsidR="000666D0" w:rsidRPr="000666D0">
        <w:rPr>
          <w:rFonts w:ascii="Times New Roman" w:hAnsi="Times New Roman" w:cs="Times New Roman"/>
          <w:sz w:val="24"/>
          <w:szCs w:val="24"/>
        </w:rPr>
        <w:t xml:space="preserve"> (2024</w:t>
      </w:r>
      <w:r w:rsidR="000666D0">
        <w:rPr>
          <w:rFonts w:ascii="Times New Roman" w:hAnsi="Times New Roman" w:cs="Times New Roman"/>
          <w:sz w:val="24"/>
          <w:szCs w:val="24"/>
        </w:rPr>
        <w:t xml:space="preserve">) which concluded that alterations to most post-merger situations can lead to higher fares and reduced competition, but the degree can create uncertainty about how to respond to these situations. This is because factors such as route expansions, service offerings </w:t>
      </w:r>
      <w:r w:rsidR="004B3821">
        <w:rPr>
          <w:rFonts w:ascii="Times New Roman" w:hAnsi="Times New Roman" w:cs="Times New Roman"/>
          <w:sz w:val="24"/>
          <w:szCs w:val="24"/>
        </w:rPr>
        <w:t>etc.</w:t>
      </w:r>
      <w:r w:rsidR="000666D0">
        <w:rPr>
          <w:rFonts w:ascii="Times New Roman" w:hAnsi="Times New Roman" w:cs="Times New Roman"/>
          <w:sz w:val="24"/>
          <w:szCs w:val="24"/>
        </w:rPr>
        <w:t xml:space="preserve"> are largely unknown or unclear in immediate post-merger procedures.  (</w:t>
      </w:r>
      <w:r w:rsidR="000666D0" w:rsidRPr="000666D0">
        <w:rPr>
          <w:rFonts w:ascii="Times New Roman" w:hAnsi="Times New Roman" w:cs="Times New Roman"/>
          <w:sz w:val="24"/>
          <w:szCs w:val="24"/>
        </w:rPr>
        <w:t xml:space="preserve">Remer &amp; </w:t>
      </w:r>
      <w:proofErr w:type="spellStart"/>
      <w:r w:rsidR="000666D0" w:rsidRPr="000666D0">
        <w:rPr>
          <w:rFonts w:ascii="Times New Roman" w:hAnsi="Times New Roman" w:cs="Times New Roman"/>
          <w:sz w:val="24"/>
          <w:szCs w:val="24"/>
        </w:rPr>
        <w:t>Orchinik</w:t>
      </w:r>
      <w:proofErr w:type="spellEnd"/>
      <w:r w:rsidR="000666D0">
        <w:rPr>
          <w:rFonts w:ascii="Times New Roman" w:hAnsi="Times New Roman" w:cs="Times New Roman"/>
          <w:sz w:val="24"/>
          <w:szCs w:val="24"/>
        </w:rPr>
        <w:t xml:space="preserve">, 2024) There is also imperfect information regarding the remedial and predicative effects of regulatory instruments and their effects discussed above and expounded by The Government </w:t>
      </w:r>
      <w:r w:rsidR="004B3821">
        <w:rPr>
          <w:rFonts w:ascii="Times New Roman" w:hAnsi="Times New Roman" w:cs="Times New Roman"/>
          <w:sz w:val="24"/>
          <w:szCs w:val="24"/>
        </w:rPr>
        <w:t>Accountability</w:t>
      </w:r>
      <w:r w:rsidR="000666D0">
        <w:rPr>
          <w:rFonts w:ascii="Times New Roman" w:hAnsi="Times New Roman" w:cs="Times New Roman"/>
          <w:sz w:val="24"/>
          <w:szCs w:val="24"/>
        </w:rPr>
        <w:t xml:space="preserve"> Office in its assessment of the 2013 merger. </w:t>
      </w:r>
      <w:r w:rsidR="004B3821">
        <w:rPr>
          <w:rFonts w:ascii="Times New Roman" w:hAnsi="Times New Roman" w:cs="Times New Roman"/>
          <w:sz w:val="24"/>
          <w:szCs w:val="24"/>
        </w:rPr>
        <w:t>(</w:t>
      </w:r>
      <w:r w:rsidR="004B3821" w:rsidRPr="004B3821">
        <w:rPr>
          <w:rFonts w:ascii="Times New Roman" w:hAnsi="Times New Roman" w:cs="Times New Roman"/>
          <w:sz w:val="24"/>
          <w:szCs w:val="24"/>
        </w:rPr>
        <w:t xml:space="preserve">Government Accountability Office. </w:t>
      </w:r>
      <w:r w:rsidR="004B3821">
        <w:rPr>
          <w:rFonts w:ascii="Times New Roman" w:hAnsi="Times New Roman" w:cs="Times New Roman"/>
          <w:sz w:val="24"/>
          <w:szCs w:val="24"/>
        </w:rPr>
        <w:t>,</w:t>
      </w:r>
      <w:r w:rsidR="004B3821" w:rsidRPr="004B3821">
        <w:rPr>
          <w:rFonts w:ascii="Times New Roman" w:hAnsi="Times New Roman" w:cs="Times New Roman"/>
          <w:sz w:val="24"/>
          <w:szCs w:val="24"/>
        </w:rPr>
        <w:t>2013)</w:t>
      </w:r>
    </w:p>
    <w:p w14:paraId="294F011E" w14:textId="17334CC0" w:rsidR="000A67A0" w:rsidRPr="00D077BA" w:rsidRDefault="00D077BA" w:rsidP="003A08B7">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Calculations of Ratios </w:t>
      </w:r>
    </w:p>
    <w:p w14:paraId="7E43EC17" w14:textId="2125E125" w:rsidR="003A08B7" w:rsidRDefault="00D077BA" w:rsidP="003A08B7">
      <w:pPr>
        <w:spacing w:line="480" w:lineRule="auto"/>
        <w:rPr>
          <w:rFonts w:ascii="Times New Roman" w:hAnsi="Times New Roman" w:cs="Times New Roman"/>
          <w:b/>
          <w:bCs/>
          <w:sz w:val="24"/>
          <w:szCs w:val="24"/>
        </w:rPr>
      </w:pPr>
      <w:r w:rsidRPr="00D077BA">
        <w:rPr>
          <w:rFonts w:ascii="Times New Roman" w:hAnsi="Times New Roman" w:cs="Times New Roman"/>
          <w:b/>
          <w:bCs/>
          <w:sz w:val="24"/>
          <w:szCs w:val="24"/>
        </w:rPr>
        <w:t xml:space="preserve">Top </w:t>
      </w:r>
      <w:r w:rsidR="000D28EB">
        <w:rPr>
          <w:rFonts w:ascii="Times New Roman" w:hAnsi="Times New Roman" w:cs="Times New Roman"/>
          <w:b/>
          <w:bCs/>
          <w:sz w:val="24"/>
          <w:szCs w:val="24"/>
        </w:rPr>
        <w:t xml:space="preserve">10 </w:t>
      </w:r>
      <w:r w:rsidRPr="00D077BA">
        <w:rPr>
          <w:rFonts w:ascii="Times New Roman" w:hAnsi="Times New Roman" w:cs="Times New Roman"/>
          <w:b/>
          <w:bCs/>
          <w:sz w:val="24"/>
          <w:szCs w:val="24"/>
        </w:rPr>
        <w:t>City Pairs Post-Merger 2014</w:t>
      </w:r>
    </w:p>
    <w:p w14:paraId="79C2281C" w14:textId="77777777" w:rsidR="000D28EB" w:rsidRPr="00AA433B" w:rsidRDefault="000D28EB" w:rsidP="000D28EB">
      <w:pPr>
        <w:spacing w:line="480" w:lineRule="auto"/>
        <w:rPr>
          <w:rFonts w:ascii="Times New Roman" w:hAnsi="Times New Roman" w:cs="Times New Roman"/>
          <w:b/>
          <w:bCs/>
          <w:sz w:val="24"/>
          <w:szCs w:val="24"/>
        </w:rPr>
      </w:pPr>
      <w:r w:rsidRPr="00AA433B">
        <w:rPr>
          <w:rFonts w:ascii="Times New Roman" w:hAnsi="Times New Roman" w:cs="Times New Roman"/>
          <w:b/>
          <w:bCs/>
          <w:sz w:val="24"/>
          <w:szCs w:val="24"/>
        </w:rPr>
        <w:t>2014</w:t>
      </w:r>
    </w:p>
    <w:p w14:paraId="2889AA7E" w14:textId="77777777" w:rsidR="000D28EB" w:rsidRDefault="000D28EB" w:rsidP="000D28EB">
      <w:pPr>
        <w:spacing w:line="480" w:lineRule="auto"/>
        <w:rPr>
          <w:rFonts w:ascii="Times New Roman" w:hAnsi="Times New Roman" w:cs="Times New Roman"/>
          <w:sz w:val="24"/>
          <w:szCs w:val="24"/>
        </w:rPr>
      </w:pPr>
      <w:r>
        <w:rPr>
          <w:rFonts w:ascii="Times New Roman" w:hAnsi="Times New Roman" w:cs="Times New Roman"/>
          <w:sz w:val="24"/>
          <w:szCs w:val="24"/>
        </w:rPr>
        <w:t xml:space="preserve">Here is the Top 10 Markets in which the merged airline will have the highest control and market share.  This dataset will be for 2014 when the full implications of the merger have taken place. </w:t>
      </w:r>
    </w:p>
    <w:p w14:paraId="445E620A" w14:textId="77777777" w:rsidR="000D28EB" w:rsidRDefault="000D28EB" w:rsidP="000D28EB">
      <w:pPr>
        <w:spacing w:line="480" w:lineRule="auto"/>
        <w:rPr>
          <w:rFonts w:ascii="Times New Roman" w:hAnsi="Times New Roman" w:cs="Times New Roman"/>
          <w:sz w:val="24"/>
          <w:szCs w:val="24"/>
        </w:rPr>
      </w:pPr>
      <w:r>
        <w:rPr>
          <w:rFonts w:ascii="Times New Roman" w:hAnsi="Times New Roman" w:cs="Times New Roman"/>
          <w:sz w:val="24"/>
          <w:szCs w:val="24"/>
        </w:rPr>
        <w:t xml:space="preserve">The table below shows us the City Pairs in which the merged airline has the highest concentration of control. I refined the metrics to include one variable (passengers) for better analysis. </w:t>
      </w:r>
    </w:p>
    <w:p w14:paraId="73E3F14C" w14:textId="77777777" w:rsidR="000D28EB" w:rsidRDefault="000D28EB" w:rsidP="000D28EB">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8558C5">
        <w:rPr>
          <w:rFonts w:ascii="Times New Roman" w:hAnsi="Times New Roman" w:cs="Times New Roman"/>
          <w:noProof/>
          <w:sz w:val="24"/>
          <w:szCs w:val="24"/>
        </w:rPr>
        <w:drawing>
          <wp:inline distT="0" distB="0" distL="0" distR="0" wp14:anchorId="18E52979" wp14:editId="2A74B38A">
            <wp:extent cx="4504944" cy="1518975"/>
            <wp:effectExtent l="0" t="0" r="0" b="5080"/>
            <wp:docPr id="1347768637"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68637" name="Picture 1" descr="A table with numbers and text&#10;&#10;Description automatically generated"/>
                    <pic:cNvPicPr/>
                  </pic:nvPicPr>
                  <pic:blipFill>
                    <a:blip r:embed="rId11"/>
                    <a:stretch>
                      <a:fillRect/>
                    </a:stretch>
                  </pic:blipFill>
                  <pic:spPr>
                    <a:xfrm>
                      <a:off x="0" y="0"/>
                      <a:ext cx="4527634" cy="1526626"/>
                    </a:xfrm>
                    <a:prstGeom prst="rect">
                      <a:avLst/>
                    </a:prstGeom>
                  </pic:spPr>
                </pic:pic>
              </a:graphicData>
            </a:graphic>
          </wp:inline>
        </w:drawing>
      </w:r>
    </w:p>
    <w:p w14:paraId="0AACDE62" w14:textId="77777777" w:rsidR="000D28EB" w:rsidRDefault="000D28EB" w:rsidP="000D28EB">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Here we can see that the merger has practically monopolistic control on these specific city pair segments. </w:t>
      </w:r>
    </w:p>
    <w:p w14:paraId="24DC0D20" w14:textId="77777777" w:rsidR="000D28EB" w:rsidRDefault="000D28EB" w:rsidP="000D28EB">
      <w:pPr>
        <w:spacing w:line="480" w:lineRule="auto"/>
        <w:rPr>
          <w:rFonts w:ascii="Times New Roman" w:hAnsi="Times New Roman" w:cs="Times New Roman"/>
          <w:sz w:val="24"/>
          <w:szCs w:val="24"/>
        </w:rPr>
      </w:pPr>
      <w:r>
        <w:rPr>
          <w:rFonts w:ascii="Times New Roman" w:hAnsi="Times New Roman" w:cs="Times New Roman"/>
          <w:sz w:val="24"/>
          <w:szCs w:val="24"/>
        </w:rPr>
        <w:t xml:space="preserve">Now I will display data on the merger’s contribution as a single entity to the top city pair markets for 2014. This shows the city pair as well as the passengers of the merged airline against the total passengers for the city pair segment. Lastly, I will output the market share of the total passenger metric and its respective HHI concentration. This shows us which city pair market the merger has   I used reverse city pairs to provide additional robustness. </w:t>
      </w:r>
      <w:r w:rsidRPr="00655209">
        <w:rPr>
          <w:rFonts w:ascii="Times New Roman" w:hAnsi="Times New Roman" w:cs="Times New Roman"/>
          <w:sz w:val="24"/>
          <w:szCs w:val="24"/>
        </w:rPr>
        <w:t>(U.S. Government Accountability Office, 2014)</w:t>
      </w:r>
      <w:r>
        <w:rPr>
          <w:rFonts w:ascii="Times New Roman" w:hAnsi="Times New Roman" w:cs="Times New Roman"/>
          <w:sz w:val="24"/>
          <w:szCs w:val="24"/>
        </w:rPr>
        <w:t xml:space="preserve"> Please forgive me putting these as decimals instead of percents to show market share.   </w:t>
      </w:r>
    </w:p>
    <w:p w14:paraId="28F04EF5" w14:textId="77777777" w:rsidR="000D28EB" w:rsidRDefault="000D28EB" w:rsidP="000D28EB">
      <w:pPr>
        <w:spacing w:line="480" w:lineRule="auto"/>
        <w:rPr>
          <w:rFonts w:ascii="Times New Roman" w:hAnsi="Times New Roman" w:cs="Times New Roman"/>
          <w:sz w:val="24"/>
          <w:szCs w:val="24"/>
        </w:rPr>
      </w:pPr>
      <w:r w:rsidRPr="00A2698A">
        <w:rPr>
          <w:rFonts w:ascii="Times New Roman" w:hAnsi="Times New Roman" w:cs="Times New Roman"/>
          <w:noProof/>
          <w:sz w:val="24"/>
          <w:szCs w:val="24"/>
        </w:rPr>
        <w:drawing>
          <wp:inline distT="0" distB="0" distL="0" distR="0" wp14:anchorId="5A1891E5" wp14:editId="7BA1D315">
            <wp:extent cx="5943600" cy="1221740"/>
            <wp:effectExtent l="0" t="0" r="0" b="0"/>
            <wp:docPr id="13167831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83138" name="Picture 1" descr="A screenshot of a computer&#10;&#10;Description automatically generated"/>
                    <pic:cNvPicPr/>
                  </pic:nvPicPr>
                  <pic:blipFill>
                    <a:blip r:embed="rId12"/>
                    <a:stretch>
                      <a:fillRect/>
                    </a:stretch>
                  </pic:blipFill>
                  <pic:spPr>
                    <a:xfrm>
                      <a:off x="0" y="0"/>
                      <a:ext cx="5943600" cy="1221740"/>
                    </a:xfrm>
                    <a:prstGeom prst="rect">
                      <a:avLst/>
                    </a:prstGeom>
                  </pic:spPr>
                </pic:pic>
              </a:graphicData>
            </a:graphic>
          </wp:inline>
        </w:drawing>
      </w:r>
    </w:p>
    <w:p w14:paraId="2611C7AD" w14:textId="77777777" w:rsidR="000D28EB" w:rsidRDefault="000D28EB" w:rsidP="000D28EB">
      <w:pPr>
        <w:spacing w:line="480" w:lineRule="auto"/>
        <w:rPr>
          <w:rFonts w:ascii="Times New Roman" w:hAnsi="Times New Roman" w:cs="Times New Roman"/>
          <w:sz w:val="24"/>
          <w:szCs w:val="24"/>
        </w:rPr>
      </w:pPr>
      <w:r>
        <w:rPr>
          <w:rFonts w:ascii="Times New Roman" w:hAnsi="Times New Roman" w:cs="Times New Roman"/>
          <w:sz w:val="24"/>
          <w:szCs w:val="24"/>
        </w:rPr>
        <w:t xml:space="preserve">Please note that hub strategies as well as data capturing connecting passenger routed though hubs etc. could provide some ambiguity in the data. </w:t>
      </w:r>
      <w:r w:rsidRPr="000F4E97">
        <w:rPr>
          <w:rFonts w:ascii="Times New Roman" w:hAnsi="Times New Roman" w:cs="Times New Roman"/>
          <w:sz w:val="24"/>
          <w:szCs w:val="24"/>
        </w:rPr>
        <w:t>(Guimaraes, Soares, &amp; Ventura, 2021)</w:t>
      </w:r>
      <w:r w:rsidRPr="00655209">
        <w:rPr>
          <w:rFonts w:ascii="Times New Roman" w:hAnsi="Times New Roman" w:cs="Times New Roman"/>
          <w:sz w:val="24"/>
          <w:szCs w:val="24"/>
        </w:rPr>
        <w:t xml:space="preserve"> </w:t>
      </w:r>
      <w:r>
        <w:rPr>
          <w:rFonts w:ascii="Times New Roman" w:hAnsi="Times New Roman" w:cs="Times New Roman"/>
          <w:sz w:val="24"/>
          <w:szCs w:val="24"/>
        </w:rPr>
        <w:t xml:space="preserve">Lastly, I will filter routes that are considered high demand which provide a landscape into the complete control the integrated airlines have over these markets.  These markets are listed as having over 100,000 passengers which the merged airline have significant control over. </w:t>
      </w:r>
    </w:p>
    <w:p w14:paraId="1325F3F1" w14:textId="77777777" w:rsidR="000D28EB" w:rsidRDefault="000D28EB" w:rsidP="000D28EB">
      <w:pPr>
        <w:spacing w:line="480" w:lineRule="auto"/>
        <w:rPr>
          <w:rFonts w:ascii="Times New Roman" w:hAnsi="Times New Roman" w:cs="Times New Roman"/>
          <w:sz w:val="24"/>
          <w:szCs w:val="24"/>
        </w:rPr>
      </w:pPr>
      <w:r w:rsidRPr="00893014">
        <w:rPr>
          <w:rFonts w:ascii="Times New Roman" w:hAnsi="Times New Roman" w:cs="Times New Roman"/>
          <w:noProof/>
          <w:sz w:val="24"/>
          <w:szCs w:val="24"/>
        </w:rPr>
        <w:lastRenderedPageBreak/>
        <w:drawing>
          <wp:inline distT="0" distB="0" distL="0" distR="0" wp14:anchorId="0A2BC51E" wp14:editId="4C35C65F">
            <wp:extent cx="5943600" cy="1998345"/>
            <wp:effectExtent l="0" t="0" r="0" b="1905"/>
            <wp:docPr id="711251354"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51354" name="Picture 1" descr="A table with numbers and letters&#10;&#10;Description automatically generated"/>
                    <pic:cNvPicPr/>
                  </pic:nvPicPr>
                  <pic:blipFill>
                    <a:blip r:embed="rId13"/>
                    <a:stretch>
                      <a:fillRect/>
                    </a:stretch>
                  </pic:blipFill>
                  <pic:spPr>
                    <a:xfrm>
                      <a:off x="0" y="0"/>
                      <a:ext cx="5943600" cy="1998345"/>
                    </a:xfrm>
                    <a:prstGeom prst="rect">
                      <a:avLst/>
                    </a:prstGeom>
                  </pic:spPr>
                </pic:pic>
              </a:graphicData>
            </a:graphic>
          </wp:inline>
        </w:drawing>
      </w:r>
    </w:p>
    <w:p w14:paraId="6EDBFD02" w14:textId="48F00B3D" w:rsidR="006A24C6" w:rsidRDefault="00F402FC" w:rsidP="000D28EB">
      <w:pPr>
        <w:spacing w:line="480" w:lineRule="auto"/>
        <w:rPr>
          <w:rFonts w:ascii="Times New Roman" w:hAnsi="Times New Roman" w:cs="Times New Roman"/>
          <w:b/>
          <w:bCs/>
          <w:sz w:val="24"/>
          <w:szCs w:val="24"/>
        </w:rPr>
      </w:pPr>
      <w:r w:rsidRPr="00F402FC">
        <w:rPr>
          <w:rFonts w:ascii="Times New Roman" w:hAnsi="Times New Roman" w:cs="Times New Roman"/>
          <w:b/>
          <w:bCs/>
          <w:sz w:val="24"/>
          <w:szCs w:val="24"/>
        </w:rPr>
        <w:t xml:space="preserve">Calculation Steps and End Results </w:t>
      </w:r>
    </w:p>
    <w:p w14:paraId="7D3DDA63" w14:textId="4C8EE814" w:rsidR="006A24C6" w:rsidRPr="003309EE" w:rsidRDefault="003309EE" w:rsidP="000D28EB">
      <w:pPr>
        <w:spacing w:line="480" w:lineRule="auto"/>
        <w:rPr>
          <w:rFonts w:ascii="Times New Roman" w:hAnsi="Times New Roman" w:cs="Times New Roman"/>
          <w:sz w:val="24"/>
          <w:szCs w:val="24"/>
        </w:rPr>
      </w:pPr>
      <w:r>
        <w:rPr>
          <w:rFonts w:ascii="Times New Roman" w:hAnsi="Times New Roman" w:cs="Times New Roman"/>
          <w:sz w:val="24"/>
          <w:szCs w:val="24"/>
        </w:rPr>
        <w:t>For</w:t>
      </w:r>
      <w:r w:rsidR="006A24C6">
        <w:rPr>
          <w:rFonts w:ascii="Times New Roman" w:hAnsi="Times New Roman" w:cs="Times New Roman"/>
          <w:sz w:val="24"/>
          <w:szCs w:val="24"/>
        </w:rPr>
        <w:t xml:space="preserve"> examples above, I</w:t>
      </w:r>
      <w:r>
        <w:rPr>
          <w:rFonts w:ascii="Times New Roman" w:hAnsi="Times New Roman" w:cs="Times New Roman"/>
          <w:sz w:val="24"/>
          <w:szCs w:val="24"/>
        </w:rPr>
        <w:t xml:space="preserve"> filtered</w:t>
      </w:r>
      <w:r w:rsidR="006A24C6">
        <w:rPr>
          <w:rFonts w:ascii="Times New Roman" w:hAnsi="Times New Roman" w:cs="Times New Roman"/>
          <w:sz w:val="24"/>
          <w:szCs w:val="24"/>
        </w:rPr>
        <w:t xml:space="preserve"> the data to include only passengers </w:t>
      </w:r>
      <w:r>
        <w:rPr>
          <w:rFonts w:ascii="Times New Roman" w:hAnsi="Times New Roman" w:cs="Times New Roman"/>
          <w:sz w:val="24"/>
          <w:szCs w:val="24"/>
        </w:rPr>
        <w:t xml:space="preserve">where the merged airline operated in 2014.  With this, I took the total passengers under the merger airline operation and divided by the sum of passengers from other airlines for that route.  Then then calculated the market share.  By squaring the marketing share I received the HHI concentration.  With these concentrations applied to the dataset I then filtered the data to include only city pairs with total 100 percent control. </w:t>
      </w:r>
      <w:r w:rsidR="000F4E97">
        <w:rPr>
          <w:rFonts w:ascii="Times New Roman" w:hAnsi="Times New Roman" w:cs="Times New Roman"/>
          <w:sz w:val="24"/>
          <w:szCs w:val="24"/>
        </w:rPr>
        <w:t xml:space="preserve">For a mathematical example, DFW-DAY route pair included 115959 passengers which collectively was the entire route occupation by the merger.  This results in 100 precent control of this route pair segment. </w:t>
      </w:r>
      <w:r w:rsidR="00E32576">
        <w:rPr>
          <w:rFonts w:ascii="Times New Roman" w:hAnsi="Times New Roman" w:cs="Times New Roman"/>
          <w:sz w:val="24"/>
          <w:szCs w:val="24"/>
        </w:rPr>
        <w:t>Then</w:t>
      </w:r>
      <w:r>
        <w:rPr>
          <w:rFonts w:ascii="Times New Roman" w:hAnsi="Times New Roman" w:cs="Times New Roman"/>
          <w:sz w:val="24"/>
          <w:szCs w:val="24"/>
        </w:rPr>
        <w:t xml:space="preserve"> </w:t>
      </w:r>
      <w:r w:rsidR="00E32576">
        <w:rPr>
          <w:rFonts w:ascii="Times New Roman" w:hAnsi="Times New Roman" w:cs="Times New Roman"/>
          <w:sz w:val="24"/>
          <w:szCs w:val="24"/>
        </w:rPr>
        <w:t xml:space="preserve">I </w:t>
      </w:r>
      <w:r>
        <w:rPr>
          <w:rFonts w:ascii="Times New Roman" w:hAnsi="Times New Roman" w:cs="Times New Roman"/>
          <w:sz w:val="24"/>
          <w:szCs w:val="24"/>
        </w:rPr>
        <w:t>calculated the merger to the total passengers on the top routes in terms of passenger volume to give an indication of market share and HHI control.  Please refer to “</w:t>
      </w:r>
      <w:r w:rsidRPr="00655209">
        <w:rPr>
          <w:rFonts w:ascii="Times New Roman" w:hAnsi="Times New Roman" w:cs="Times New Roman"/>
          <w:b/>
          <w:bCs/>
          <w:sz w:val="24"/>
          <w:szCs w:val="24"/>
        </w:rPr>
        <w:t>Other Mathematical Steps for Calculations for City Pairs</w:t>
      </w:r>
      <w:r>
        <w:rPr>
          <w:rFonts w:ascii="Times New Roman" w:hAnsi="Times New Roman" w:cs="Times New Roman"/>
          <w:b/>
          <w:bCs/>
          <w:sz w:val="24"/>
          <w:szCs w:val="24"/>
        </w:rPr>
        <w:t xml:space="preserve">” </w:t>
      </w:r>
      <w:r>
        <w:rPr>
          <w:rFonts w:ascii="Times New Roman" w:hAnsi="Times New Roman" w:cs="Times New Roman"/>
          <w:sz w:val="24"/>
          <w:szCs w:val="24"/>
        </w:rPr>
        <w:t xml:space="preserve">for additional information. </w:t>
      </w:r>
    </w:p>
    <w:p w14:paraId="7FBC66D6" w14:textId="4D9E6FFA" w:rsidR="000D28EB" w:rsidRDefault="000D28EB" w:rsidP="003A08B7">
      <w:pPr>
        <w:spacing w:line="480" w:lineRule="auto"/>
        <w:rPr>
          <w:rFonts w:ascii="Times New Roman" w:hAnsi="Times New Roman" w:cs="Times New Roman"/>
          <w:b/>
          <w:bCs/>
          <w:sz w:val="24"/>
          <w:szCs w:val="24"/>
        </w:rPr>
      </w:pPr>
      <w:r w:rsidRPr="000D28EB">
        <w:rPr>
          <w:rFonts w:ascii="Times New Roman" w:hAnsi="Times New Roman" w:cs="Times New Roman"/>
          <w:b/>
          <w:bCs/>
          <w:sz w:val="24"/>
          <w:szCs w:val="24"/>
        </w:rPr>
        <w:t xml:space="preserve">New HHI Estimates and Lost Revenue Calculated </w:t>
      </w:r>
    </w:p>
    <w:p w14:paraId="00D6FA2E" w14:textId="274E3506" w:rsidR="00755F9F" w:rsidRDefault="00755F9F" w:rsidP="003A08B7">
      <w:pPr>
        <w:spacing w:line="480" w:lineRule="auto"/>
        <w:rPr>
          <w:rFonts w:ascii="Times New Roman" w:hAnsi="Times New Roman" w:cs="Times New Roman"/>
          <w:sz w:val="24"/>
          <w:szCs w:val="24"/>
        </w:rPr>
      </w:pPr>
      <w:r>
        <w:rPr>
          <w:rFonts w:ascii="Times New Roman" w:hAnsi="Times New Roman" w:cs="Times New Roman"/>
          <w:sz w:val="24"/>
          <w:szCs w:val="24"/>
        </w:rPr>
        <w:t xml:space="preserve">If we assume that US Airways exits the picture the new total HHI concentration for the 10 City Markets will be </w:t>
      </w:r>
      <w:r w:rsidRPr="00755F9F">
        <w:rPr>
          <w:rFonts w:ascii="Times New Roman" w:hAnsi="Times New Roman" w:cs="Times New Roman"/>
          <w:b/>
          <w:bCs/>
          <w:sz w:val="24"/>
          <w:szCs w:val="24"/>
        </w:rPr>
        <w:t>3,874.52</w:t>
      </w:r>
      <w:r>
        <w:rPr>
          <w:rFonts w:ascii="Times New Roman" w:hAnsi="Times New Roman" w:cs="Times New Roman"/>
          <w:b/>
          <w:bCs/>
          <w:sz w:val="24"/>
          <w:szCs w:val="24"/>
        </w:rPr>
        <w:t xml:space="preserve"> </w:t>
      </w:r>
      <w:r>
        <w:rPr>
          <w:rFonts w:ascii="Times New Roman" w:hAnsi="Times New Roman" w:cs="Times New Roman"/>
          <w:sz w:val="24"/>
          <w:szCs w:val="24"/>
        </w:rPr>
        <w:t xml:space="preserve">with a total loss revenue at </w:t>
      </w:r>
      <w:r w:rsidRPr="00E71DE6">
        <w:rPr>
          <w:rFonts w:ascii="Times New Roman" w:hAnsi="Times New Roman" w:cs="Times New Roman"/>
          <w:b/>
          <w:bCs/>
          <w:sz w:val="24"/>
          <w:szCs w:val="24"/>
        </w:rPr>
        <w:t>750.3 million USD</w:t>
      </w:r>
      <w:r>
        <w:rPr>
          <w:rFonts w:ascii="Times New Roman" w:hAnsi="Times New Roman" w:cs="Times New Roman"/>
          <w:sz w:val="24"/>
          <w:szCs w:val="24"/>
        </w:rPr>
        <w:t xml:space="preserve">.  I will break this down by City Pair and explain that calculations. </w:t>
      </w:r>
    </w:p>
    <w:p w14:paraId="3AE1B9FD" w14:textId="0B7A9AA0" w:rsidR="00755F9F" w:rsidRDefault="00755F9F" w:rsidP="003A08B7">
      <w:pPr>
        <w:spacing w:line="480" w:lineRule="auto"/>
        <w:rPr>
          <w:rFonts w:ascii="Times New Roman" w:hAnsi="Times New Roman" w:cs="Times New Roman"/>
          <w:sz w:val="24"/>
          <w:szCs w:val="24"/>
        </w:rPr>
      </w:pPr>
      <w:r w:rsidRPr="00755F9F">
        <w:rPr>
          <w:rFonts w:ascii="Times New Roman" w:hAnsi="Times New Roman" w:cs="Times New Roman"/>
          <w:noProof/>
          <w:sz w:val="24"/>
          <w:szCs w:val="24"/>
        </w:rPr>
        <w:lastRenderedPageBreak/>
        <w:drawing>
          <wp:inline distT="0" distB="0" distL="0" distR="0" wp14:anchorId="798AA97D" wp14:editId="45915683">
            <wp:extent cx="5943600" cy="1309105"/>
            <wp:effectExtent l="0" t="0" r="0" b="5715"/>
            <wp:docPr id="9553638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63853" name="Picture 1" descr="A screenshot of a computer&#10;&#10;Description automatically generated"/>
                    <pic:cNvPicPr/>
                  </pic:nvPicPr>
                  <pic:blipFill>
                    <a:blip r:embed="rId14"/>
                    <a:stretch>
                      <a:fillRect/>
                    </a:stretch>
                  </pic:blipFill>
                  <pic:spPr>
                    <a:xfrm>
                      <a:off x="0" y="0"/>
                      <a:ext cx="5965803" cy="1313995"/>
                    </a:xfrm>
                    <a:prstGeom prst="rect">
                      <a:avLst/>
                    </a:prstGeom>
                  </pic:spPr>
                </pic:pic>
              </a:graphicData>
            </a:graphic>
          </wp:inline>
        </w:drawing>
      </w:r>
    </w:p>
    <w:p w14:paraId="5F926DF0" w14:textId="7F907FBB" w:rsidR="00755F9F" w:rsidRDefault="00755F9F" w:rsidP="003A08B7">
      <w:pPr>
        <w:spacing w:line="480" w:lineRule="auto"/>
        <w:rPr>
          <w:rFonts w:ascii="Times New Roman" w:hAnsi="Times New Roman" w:cs="Times New Roman"/>
          <w:sz w:val="24"/>
          <w:szCs w:val="24"/>
        </w:rPr>
      </w:pPr>
      <w:r w:rsidRPr="00755F9F">
        <w:rPr>
          <w:rFonts w:ascii="Times New Roman" w:hAnsi="Times New Roman" w:cs="Times New Roman"/>
          <w:noProof/>
          <w:sz w:val="24"/>
          <w:szCs w:val="24"/>
        </w:rPr>
        <w:drawing>
          <wp:inline distT="0" distB="0" distL="0" distR="0" wp14:anchorId="65812D54" wp14:editId="546C8145">
            <wp:extent cx="5943600" cy="1346042"/>
            <wp:effectExtent l="0" t="0" r="0" b="6985"/>
            <wp:docPr id="5305631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63160" name="Picture 1" descr="A screenshot of a computer&#10;&#10;Description automatically generated"/>
                    <pic:cNvPicPr/>
                  </pic:nvPicPr>
                  <pic:blipFill>
                    <a:blip r:embed="rId15"/>
                    <a:stretch>
                      <a:fillRect/>
                    </a:stretch>
                  </pic:blipFill>
                  <pic:spPr>
                    <a:xfrm>
                      <a:off x="0" y="0"/>
                      <a:ext cx="5968584" cy="1351700"/>
                    </a:xfrm>
                    <a:prstGeom prst="rect">
                      <a:avLst/>
                    </a:prstGeom>
                  </pic:spPr>
                </pic:pic>
              </a:graphicData>
            </a:graphic>
          </wp:inline>
        </w:drawing>
      </w:r>
    </w:p>
    <w:p w14:paraId="1E48CD8F" w14:textId="420C5051" w:rsidR="00755F9F" w:rsidRPr="00F77C2A" w:rsidRDefault="00B1001D" w:rsidP="003A08B7">
      <w:pPr>
        <w:spacing w:line="480" w:lineRule="auto"/>
        <w:rPr>
          <w:rFonts w:ascii="Times New Roman" w:hAnsi="Times New Roman" w:cs="Times New Roman"/>
          <w:sz w:val="24"/>
          <w:szCs w:val="24"/>
        </w:rPr>
      </w:pPr>
      <w:r>
        <w:rPr>
          <w:rFonts w:ascii="Times New Roman" w:hAnsi="Times New Roman" w:cs="Times New Roman"/>
          <w:sz w:val="24"/>
          <w:szCs w:val="24"/>
        </w:rPr>
        <w:t xml:space="preserve">Please ignore the calculation of pre-merger index as this was just filled in as an </w:t>
      </w:r>
      <w:r w:rsidR="007D3FC0">
        <w:rPr>
          <w:rFonts w:ascii="Times New Roman" w:hAnsi="Times New Roman" w:cs="Times New Roman"/>
          <w:sz w:val="24"/>
          <w:szCs w:val="24"/>
        </w:rPr>
        <w:t xml:space="preserve">open variable </w:t>
      </w:r>
      <w:r w:rsidR="00652423">
        <w:rPr>
          <w:rFonts w:ascii="Times New Roman" w:hAnsi="Times New Roman" w:cs="Times New Roman"/>
          <w:sz w:val="24"/>
          <w:szCs w:val="24"/>
        </w:rPr>
        <w:t>hence</w:t>
      </w:r>
      <w:r>
        <w:rPr>
          <w:rFonts w:ascii="Times New Roman" w:hAnsi="Times New Roman" w:cs="Times New Roman"/>
          <w:sz w:val="24"/>
          <w:szCs w:val="24"/>
        </w:rPr>
        <w:t xml:space="preserve"> why the </w:t>
      </w:r>
      <w:r w:rsidR="00E71DE6">
        <w:rPr>
          <w:rFonts w:ascii="Times New Roman" w:hAnsi="Times New Roman" w:cs="Times New Roman"/>
          <w:sz w:val="24"/>
          <w:szCs w:val="24"/>
        </w:rPr>
        <w:t>pre-</w:t>
      </w:r>
      <w:r>
        <w:rPr>
          <w:rFonts w:ascii="Times New Roman" w:hAnsi="Times New Roman" w:cs="Times New Roman"/>
          <w:sz w:val="24"/>
          <w:szCs w:val="24"/>
        </w:rPr>
        <w:t xml:space="preserve"> and post-merger numbers are the same.   The adjusted post-exit HHI concentrations illustrate the market share if US Airways removes themselves from the concentration. </w:t>
      </w:r>
      <w:r w:rsidR="007D3FC0">
        <w:rPr>
          <w:rFonts w:ascii="Times New Roman" w:hAnsi="Times New Roman" w:cs="Times New Roman"/>
          <w:sz w:val="24"/>
          <w:szCs w:val="24"/>
        </w:rPr>
        <w:t xml:space="preserve"> Here post-merger is calculated as the combined market shares squared and then scaled by multiplying the sum.  This gives us </w:t>
      </w:r>
      <w:r w:rsidR="00E71DE6">
        <w:rPr>
          <w:rFonts w:ascii="Times New Roman" w:hAnsi="Times New Roman" w:cs="Times New Roman"/>
          <w:sz w:val="24"/>
          <w:szCs w:val="24"/>
        </w:rPr>
        <w:t>an</w:t>
      </w:r>
      <w:r w:rsidR="007D3FC0">
        <w:rPr>
          <w:rFonts w:ascii="Times New Roman" w:hAnsi="Times New Roman" w:cs="Times New Roman"/>
          <w:sz w:val="24"/>
          <w:szCs w:val="24"/>
        </w:rPr>
        <w:t xml:space="preserve"> indication of perfect competition 0 to monopoly 10,000.  Just for a random example we can take the market shares </w:t>
      </w:r>
      <w:r w:rsidR="007D3FC0" w:rsidRPr="007D3FC0">
        <w:rPr>
          <w:rFonts w:ascii="Times New Roman" w:hAnsi="Times New Roman" w:cs="Times New Roman"/>
          <w:sz w:val="24"/>
          <w:szCs w:val="24"/>
        </w:rPr>
        <w:t>0.52+0.32+0.22=0.25+0.09+0.04=0.</w:t>
      </w:r>
      <w:r w:rsidR="00E71DE6" w:rsidRPr="007D3FC0">
        <w:rPr>
          <w:rFonts w:ascii="Times New Roman" w:hAnsi="Times New Roman" w:cs="Times New Roman"/>
          <w:sz w:val="24"/>
          <w:szCs w:val="24"/>
        </w:rPr>
        <w:t>38</w:t>
      </w:r>
      <w:r w:rsidR="00E71DE6">
        <w:rPr>
          <w:rFonts w:ascii="Times New Roman" w:hAnsi="Times New Roman" w:cs="Times New Roman"/>
          <w:sz w:val="24"/>
          <w:szCs w:val="24"/>
        </w:rPr>
        <w:t xml:space="preserve"> </w:t>
      </w:r>
      <w:r w:rsidR="00E71DE6" w:rsidRPr="007D3FC0">
        <w:rPr>
          <w:rFonts w:ascii="Times New Roman" w:hAnsi="Times New Roman" w:cs="Times New Roman"/>
          <w:sz w:val="24"/>
          <w:szCs w:val="24"/>
        </w:rPr>
        <w:t>Scaled</w:t>
      </w:r>
      <w:r w:rsidR="007D3FC0" w:rsidRPr="007D3FC0">
        <w:rPr>
          <w:rFonts w:ascii="Times New Roman" w:hAnsi="Times New Roman" w:cs="Times New Roman"/>
          <w:sz w:val="24"/>
          <w:szCs w:val="24"/>
        </w:rPr>
        <w:t> HHI=0.38×10,000=3,80</w:t>
      </w:r>
      <w:r w:rsidR="007D3FC0">
        <w:rPr>
          <w:rFonts w:ascii="Times New Roman" w:hAnsi="Times New Roman" w:cs="Times New Roman"/>
          <w:sz w:val="24"/>
          <w:szCs w:val="24"/>
        </w:rPr>
        <w:t xml:space="preserve">0.   Now for post exit we set adjusted and index market shares to 0 for US Airways and take the redistribution </w:t>
      </w:r>
      <w:r w:rsidR="00652423">
        <w:rPr>
          <w:rFonts w:ascii="Times New Roman" w:hAnsi="Times New Roman" w:cs="Times New Roman"/>
          <w:sz w:val="24"/>
          <w:szCs w:val="24"/>
        </w:rPr>
        <w:t>share as</w:t>
      </w:r>
      <w:r w:rsidR="007D3FC0">
        <w:rPr>
          <w:rFonts w:ascii="Times New Roman" w:hAnsi="Times New Roman" w:cs="Times New Roman"/>
          <w:sz w:val="24"/>
          <w:szCs w:val="24"/>
        </w:rPr>
        <w:t xml:space="preserve"> the original share divided by the total remaining shares from the dataset.  The revenue that is lost is calculated by finding RPM data from 2011 US Airways </w:t>
      </w:r>
      <w:r w:rsidR="007D3FC0" w:rsidRPr="00F77C2A">
        <w:rPr>
          <w:rFonts w:ascii="Times New Roman" w:hAnsi="Times New Roman" w:cs="Times New Roman"/>
          <w:sz w:val="24"/>
          <w:szCs w:val="24"/>
        </w:rPr>
        <w:t>K-10</w:t>
      </w:r>
      <w:r w:rsidR="007D3FC0">
        <w:rPr>
          <w:rFonts w:ascii="Times New Roman" w:hAnsi="Times New Roman" w:cs="Times New Roman"/>
          <w:sz w:val="24"/>
          <w:szCs w:val="24"/>
        </w:rPr>
        <w:t xml:space="preserve"> and multiplying by the yield in the report. </w:t>
      </w:r>
      <w:r w:rsidR="00F77C2A" w:rsidRPr="00F77C2A">
        <w:rPr>
          <w:rFonts w:ascii="Times New Roman" w:hAnsi="Times New Roman" w:cs="Times New Roman"/>
          <w:sz w:val="24"/>
          <w:szCs w:val="24"/>
        </w:rPr>
        <w:t>(U.S. Airways, 2012)</w:t>
      </w:r>
      <w:r w:rsidR="00F77C2A">
        <w:rPr>
          <w:rFonts w:ascii="Times New Roman" w:hAnsi="Times New Roman" w:cs="Times New Roman"/>
          <w:sz w:val="24"/>
          <w:szCs w:val="24"/>
        </w:rPr>
        <w:t xml:space="preserve"> </w:t>
      </w:r>
      <w:r w:rsidR="00F77C2A" w:rsidRPr="00F77C2A">
        <w:rPr>
          <w:rFonts w:ascii="Times New Roman" w:hAnsi="Times New Roman" w:cs="Times New Roman"/>
          <w:sz w:val="24"/>
          <w:szCs w:val="24"/>
        </w:rPr>
        <w:t>(United Airlines, 2014)</w:t>
      </w:r>
      <w:r w:rsidR="007D3FC0">
        <w:rPr>
          <w:rFonts w:ascii="Times New Roman" w:hAnsi="Times New Roman" w:cs="Times New Roman"/>
          <w:sz w:val="24"/>
          <w:szCs w:val="24"/>
        </w:rPr>
        <w:t xml:space="preserve"> This </w:t>
      </w:r>
      <w:r w:rsidR="00652423">
        <w:rPr>
          <w:rFonts w:ascii="Times New Roman" w:hAnsi="Times New Roman" w:cs="Times New Roman"/>
          <w:sz w:val="24"/>
          <w:szCs w:val="24"/>
        </w:rPr>
        <w:t xml:space="preserve">is then multiplied by the distance for each city pair which I broke down into differing distance categories for easy calculations.  This represents the revenue lost if US Airways reduces their market share to 0 percent. </w:t>
      </w:r>
    </w:p>
    <w:p w14:paraId="2624E0A4" w14:textId="0D7DF222" w:rsidR="003309EE" w:rsidRPr="00F246E7" w:rsidRDefault="000D28EB" w:rsidP="003309EE">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Top Two Hubs </w:t>
      </w:r>
      <w:r w:rsidR="003309EE">
        <w:rPr>
          <w:rFonts w:ascii="Times New Roman" w:hAnsi="Times New Roman" w:cs="Times New Roman"/>
          <w:b/>
          <w:bCs/>
          <w:sz w:val="24"/>
          <w:szCs w:val="24"/>
        </w:rPr>
        <w:t>Post Merger 2014</w:t>
      </w:r>
    </w:p>
    <w:p w14:paraId="6FCAB80F" w14:textId="77777777" w:rsidR="003309EE" w:rsidRDefault="003309EE" w:rsidP="003309EE">
      <w:pPr>
        <w:spacing w:line="480" w:lineRule="auto"/>
        <w:rPr>
          <w:rFonts w:ascii="Times New Roman" w:hAnsi="Times New Roman" w:cs="Times New Roman"/>
          <w:b/>
          <w:bCs/>
          <w:sz w:val="24"/>
          <w:szCs w:val="24"/>
        </w:rPr>
      </w:pPr>
      <w:r w:rsidRPr="00506E5F">
        <w:rPr>
          <w:rFonts w:ascii="Times New Roman" w:hAnsi="Times New Roman" w:cs="Times New Roman"/>
          <w:b/>
          <w:bCs/>
          <w:noProof/>
          <w:sz w:val="24"/>
          <w:szCs w:val="24"/>
        </w:rPr>
        <w:lastRenderedPageBreak/>
        <w:drawing>
          <wp:inline distT="0" distB="0" distL="0" distR="0" wp14:anchorId="4F041866" wp14:editId="6B28F21F">
            <wp:extent cx="5943600" cy="1524000"/>
            <wp:effectExtent l="0" t="0" r="0" b="0"/>
            <wp:docPr id="92591870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03479" name="Picture 1" descr="A screenshot of a graph&#10;&#10;Description automatically generated"/>
                    <pic:cNvPicPr/>
                  </pic:nvPicPr>
                  <pic:blipFill>
                    <a:blip r:embed="rId10"/>
                    <a:stretch>
                      <a:fillRect/>
                    </a:stretch>
                  </pic:blipFill>
                  <pic:spPr>
                    <a:xfrm>
                      <a:off x="0" y="0"/>
                      <a:ext cx="5943600" cy="1524000"/>
                    </a:xfrm>
                    <a:prstGeom prst="rect">
                      <a:avLst/>
                    </a:prstGeom>
                  </pic:spPr>
                </pic:pic>
              </a:graphicData>
            </a:graphic>
          </wp:inline>
        </w:drawing>
      </w:r>
    </w:p>
    <w:p w14:paraId="387A3EDC" w14:textId="3801B420" w:rsidR="003309EE" w:rsidRDefault="003309EE" w:rsidP="003309EE">
      <w:pPr>
        <w:spacing w:line="480" w:lineRule="auto"/>
        <w:rPr>
          <w:rFonts w:ascii="Times New Roman" w:hAnsi="Times New Roman" w:cs="Times New Roman"/>
          <w:sz w:val="24"/>
          <w:szCs w:val="24"/>
        </w:rPr>
      </w:pPr>
      <w:r w:rsidRPr="00652423">
        <w:rPr>
          <w:rFonts w:ascii="Times New Roman" w:hAnsi="Times New Roman" w:cs="Times New Roman"/>
          <w:b/>
          <w:bCs/>
          <w:sz w:val="24"/>
          <w:szCs w:val="24"/>
        </w:rPr>
        <w:t xml:space="preserve">Mathematical Calculations for </w:t>
      </w:r>
      <w:r w:rsidR="00523B0E" w:rsidRPr="00652423">
        <w:rPr>
          <w:rFonts w:ascii="Times New Roman" w:hAnsi="Times New Roman" w:cs="Times New Roman"/>
          <w:b/>
          <w:bCs/>
          <w:sz w:val="24"/>
          <w:szCs w:val="24"/>
        </w:rPr>
        <w:t>Top Hubs Post Merger 2014</w:t>
      </w:r>
    </w:p>
    <w:p w14:paraId="5D9FA0CA" w14:textId="7714805C" w:rsidR="00F77C2A" w:rsidRDefault="00652423" w:rsidP="003309EE">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ratios are calculated using enplanement data and are calculated by filtering American Airlines and US Airways enplanements divided by the total enplanements for the listed hubs.  Then I realigned the list to show the highest concentrated hubs.  The HHI is calculated by taking the squared of the combined market share for post-merger concentrations. </w:t>
      </w:r>
      <w:r w:rsidR="00F77C2A">
        <w:rPr>
          <w:rFonts w:ascii="Times New Roman" w:hAnsi="Times New Roman" w:cs="Times New Roman"/>
          <w:sz w:val="24"/>
          <w:szCs w:val="24"/>
        </w:rPr>
        <w:t xml:space="preserve"> For mathematical example enplanements can be calculated by taking total enplanement time the market share/100.  In the following chart I have them listed for reference.  Let’s take an example for hub for Charlotte.  Enplanement for American Airlines would include the total enplanements for the dataset </w:t>
      </w:r>
      <w:r w:rsidR="00F77C2A" w:rsidRPr="00F77C2A">
        <w:rPr>
          <w:rFonts w:ascii="Times New Roman" w:hAnsi="Times New Roman" w:cs="Times New Roman"/>
          <w:sz w:val="24"/>
          <w:szCs w:val="24"/>
        </w:rPr>
        <w:t>21,537,725×</w:t>
      </w:r>
      <w:r w:rsidR="00F77C2A">
        <w:rPr>
          <w:rFonts w:ascii="Times New Roman" w:hAnsi="Times New Roman" w:cs="Times New Roman"/>
          <w:sz w:val="24"/>
          <w:szCs w:val="24"/>
        </w:rPr>
        <w:t>69.95(Market Share)/100=</w:t>
      </w:r>
      <w:r w:rsidR="00F77C2A" w:rsidRPr="0056425F">
        <w:rPr>
          <w:rFonts w:ascii="Times New Roman" w:hAnsi="Times New Roman" w:cs="Times New Roman"/>
          <w:sz w:val="24"/>
          <w:szCs w:val="24"/>
          <w:highlight w:val="yellow"/>
        </w:rPr>
        <w:t>15,005,747</w:t>
      </w:r>
      <w:r w:rsidR="00F77C2A">
        <w:rPr>
          <w:rFonts w:ascii="Times New Roman" w:hAnsi="Times New Roman" w:cs="Times New Roman"/>
          <w:sz w:val="24"/>
          <w:szCs w:val="24"/>
        </w:rPr>
        <w:t xml:space="preserve"> E</w:t>
      </w:r>
      <w:r w:rsidR="00F77C2A" w:rsidRPr="00F77C2A">
        <w:rPr>
          <w:rFonts w:ascii="Times New Roman" w:hAnsi="Times New Roman" w:cs="Times New Roman"/>
          <w:sz w:val="24"/>
          <w:szCs w:val="24"/>
        </w:rPr>
        <w:t>nplanement</w:t>
      </w:r>
      <w:r w:rsidR="00F77C2A">
        <w:rPr>
          <w:rFonts w:ascii="Times New Roman" w:hAnsi="Times New Roman" w:cs="Times New Roman"/>
          <w:sz w:val="24"/>
          <w:szCs w:val="24"/>
        </w:rPr>
        <w:t xml:space="preserve">s.  The same is calculated for United Airways as </w:t>
      </w:r>
      <w:r w:rsidR="00F77C2A" w:rsidRPr="00F77C2A">
        <w:rPr>
          <w:rFonts w:ascii="Times New Roman" w:hAnsi="Times New Roman" w:cs="Times New Roman"/>
          <w:sz w:val="24"/>
          <w:szCs w:val="24"/>
        </w:rPr>
        <w:t>21,537,725×</w:t>
      </w:r>
      <w:r w:rsidR="00F77C2A">
        <w:rPr>
          <w:rFonts w:ascii="Times New Roman" w:hAnsi="Times New Roman" w:cs="Times New Roman"/>
          <w:sz w:val="24"/>
          <w:szCs w:val="24"/>
        </w:rPr>
        <w:t xml:space="preserve">23.22/100= </w:t>
      </w:r>
      <w:r w:rsidR="00F77C2A" w:rsidRPr="0056425F">
        <w:rPr>
          <w:rFonts w:ascii="Times New Roman" w:hAnsi="Times New Roman" w:cs="Times New Roman"/>
          <w:sz w:val="24"/>
          <w:szCs w:val="24"/>
          <w:highlight w:val="yellow"/>
        </w:rPr>
        <w:t>5,002,853</w:t>
      </w:r>
      <w:r w:rsidR="00F77C2A">
        <w:rPr>
          <w:rFonts w:ascii="Times New Roman" w:hAnsi="Times New Roman" w:cs="Times New Roman"/>
          <w:sz w:val="24"/>
          <w:szCs w:val="24"/>
        </w:rPr>
        <w:t xml:space="preserve"> E</w:t>
      </w:r>
      <w:r w:rsidR="00F77C2A" w:rsidRPr="00F77C2A">
        <w:rPr>
          <w:rFonts w:ascii="Times New Roman" w:hAnsi="Times New Roman" w:cs="Times New Roman"/>
          <w:sz w:val="24"/>
          <w:szCs w:val="24"/>
        </w:rPr>
        <w:t>nplanements</w:t>
      </w:r>
      <w:r w:rsidR="00F77C2A">
        <w:rPr>
          <w:rFonts w:ascii="Times New Roman" w:hAnsi="Times New Roman" w:cs="Times New Roman"/>
          <w:sz w:val="24"/>
          <w:szCs w:val="24"/>
        </w:rPr>
        <w:t xml:space="preserve">. </w:t>
      </w:r>
      <w:r w:rsidR="0056425F">
        <w:rPr>
          <w:rFonts w:ascii="Times New Roman" w:hAnsi="Times New Roman" w:cs="Times New Roman"/>
          <w:sz w:val="24"/>
          <w:szCs w:val="24"/>
        </w:rPr>
        <w:t xml:space="preserve"> Market Shares can then be derived by 15,005,747 (American Airlines Enplanement)/ 21,537,725 (Total Enplanement) * 100 =</w:t>
      </w:r>
      <w:r w:rsidR="0056425F" w:rsidRPr="0056425F">
        <w:rPr>
          <w:rFonts w:ascii="Times New Roman" w:hAnsi="Times New Roman" w:cs="Times New Roman"/>
          <w:sz w:val="24"/>
          <w:szCs w:val="24"/>
          <w:highlight w:val="yellow"/>
        </w:rPr>
        <w:t>69.95</w:t>
      </w:r>
      <w:r w:rsidR="0056425F">
        <w:rPr>
          <w:rFonts w:ascii="Times New Roman" w:hAnsi="Times New Roman" w:cs="Times New Roman"/>
          <w:sz w:val="24"/>
          <w:szCs w:val="24"/>
        </w:rPr>
        <w:t xml:space="preserve"> percent.  The combined market share is the addition of 69.95+23.22 for </w:t>
      </w:r>
      <w:r w:rsidR="0056425F" w:rsidRPr="0056425F">
        <w:rPr>
          <w:rFonts w:ascii="Times New Roman" w:hAnsi="Times New Roman" w:cs="Times New Roman"/>
          <w:sz w:val="24"/>
          <w:szCs w:val="24"/>
          <w:highlight w:val="yellow"/>
        </w:rPr>
        <w:t>92.86</w:t>
      </w:r>
      <w:r w:rsidR="0056425F">
        <w:rPr>
          <w:rFonts w:ascii="Times New Roman" w:hAnsi="Times New Roman" w:cs="Times New Roman"/>
          <w:sz w:val="24"/>
          <w:szCs w:val="24"/>
        </w:rPr>
        <w:t xml:space="preserve"> percent.  HHI is calculated as </w:t>
      </w:r>
      <w:r w:rsidR="0056425F" w:rsidRPr="0056425F">
        <w:rPr>
          <w:rFonts w:ascii="Times New Roman" w:hAnsi="Times New Roman" w:cs="Times New Roman"/>
          <w:sz w:val="24"/>
          <w:szCs w:val="24"/>
        </w:rPr>
        <w:t>(</w:t>
      </w:r>
      <w:r w:rsidR="003979F9" w:rsidRPr="0056425F">
        <w:rPr>
          <w:rFonts w:ascii="Times New Roman" w:hAnsi="Times New Roman" w:cs="Times New Roman"/>
          <w:sz w:val="24"/>
          <w:szCs w:val="24"/>
        </w:rPr>
        <w:t>69.65)</w:t>
      </w:r>
      <w:r w:rsidR="003979F9">
        <w:rPr>
          <w:rFonts w:ascii="Times New Roman" w:hAnsi="Times New Roman" w:cs="Times New Roman"/>
          <w:sz w:val="24"/>
          <w:szCs w:val="24"/>
        </w:rPr>
        <w:t xml:space="preserve"> ^</w:t>
      </w:r>
      <w:r w:rsidR="0056425F" w:rsidRPr="0056425F">
        <w:rPr>
          <w:rFonts w:ascii="Times New Roman" w:hAnsi="Times New Roman" w:cs="Times New Roman"/>
          <w:sz w:val="24"/>
          <w:szCs w:val="24"/>
        </w:rPr>
        <w:t>2+(23.</w:t>
      </w:r>
      <w:proofErr w:type="gramStart"/>
      <w:r w:rsidR="0056425F" w:rsidRPr="0056425F">
        <w:rPr>
          <w:rFonts w:ascii="Times New Roman" w:hAnsi="Times New Roman" w:cs="Times New Roman"/>
          <w:sz w:val="24"/>
          <w:szCs w:val="24"/>
        </w:rPr>
        <w:t>22)</w:t>
      </w:r>
      <w:r w:rsidR="0056425F">
        <w:rPr>
          <w:rFonts w:ascii="Times New Roman" w:hAnsi="Times New Roman" w:cs="Times New Roman"/>
          <w:sz w:val="24"/>
          <w:szCs w:val="24"/>
        </w:rPr>
        <w:t>^</w:t>
      </w:r>
      <w:proofErr w:type="gramEnd"/>
      <w:r w:rsidR="0056425F" w:rsidRPr="0056425F">
        <w:rPr>
          <w:rFonts w:ascii="Times New Roman" w:hAnsi="Times New Roman" w:cs="Times New Roman"/>
          <w:sz w:val="24"/>
          <w:szCs w:val="24"/>
        </w:rPr>
        <w:t>2</w:t>
      </w:r>
      <w:r w:rsidR="0056425F">
        <w:rPr>
          <w:rFonts w:ascii="Times New Roman" w:hAnsi="Times New Roman" w:cs="Times New Roman"/>
          <w:sz w:val="24"/>
          <w:szCs w:val="24"/>
        </w:rPr>
        <w:t xml:space="preserve"> or </w:t>
      </w:r>
      <w:r w:rsidR="0056425F" w:rsidRPr="0056425F">
        <w:rPr>
          <w:rFonts w:ascii="Times New Roman" w:hAnsi="Times New Roman" w:cs="Times New Roman"/>
          <w:sz w:val="24"/>
          <w:szCs w:val="24"/>
        </w:rPr>
        <w:t>4852.92+539.92=</w:t>
      </w:r>
      <w:r w:rsidR="0056425F" w:rsidRPr="0056425F">
        <w:rPr>
          <w:rFonts w:ascii="Times New Roman" w:hAnsi="Times New Roman" w:cs="Times New Roman"/>
          <w:sz w:val="24"/>
          <w:szCs w:val="24"/>
          <w:highlight w:val="yellow"/>
        </w:rPr>
        <w:t>8635.85</w:t>
      </w:r>
    </w:p>
    <w:p w14:paraId="0507565E" w14:textId="50F83896" w:rsidR="0022551E" w:rsidRPr="0022551E" w:rsidRDefault="0022551E" w:rsidP="003309EE">
      <w:pPr>
        <w:spacing w:line="480" w:lineRule="auto"/>
        <w:rPr>
          <w:rFonts w:ascii="Times New Roman" w:hAnsi="Times New Roman" w:cs="Times New Roman"/>
          <w:b/>
          <w:bCs/>
          <w:sz w:val="24"/>
          <w:szCs w:val="24"/>
        </w:rPr>
      </w:pPr>
      <w:r w:rsidRPr="0022551E">
        <w:rPr>
          <w:rFonts w:ascii="Times New Roman" w:hAnsi="Times New Roman" w:cs="Times New Roman"/>
          <w:b/>
          <w:bCs/>
          <w:sz w:val="24"/>
          <w:szCs w:val="24"/>
        </w:rPr>
        <w:t>New HHI Calculations and Lost Revenue from US Airway Exit for Top Hubs</w:t>
      </w:r>
    </w:p>
    <w:p w14:paraId="036AD383" w14:textId="77777777" w:rsidR="0022551E" w:rsidRDefault="0022551E" w:rsidP="003309EE">
      <w:pPr>
        <w:spacing w:line="480" w:lineRule="auto"/>
        <w:rPr>
          <w:rFonts w:ascii="Times New Roman" w:hAnsi="Times New Roman" w:cs="Times New Roman"/>
          <w:sz w:val="24"/>
          <w:szCs w:val="24"/>
        </w:rPr>
      </w:pPr>
    </w:p>
    <w:p w14:paraId="3CD6610E" w14:textId="7860D14D" w:rsidR="0022551E" w:rsidRDefault="0022551E" w:rsidP="003309EE">
      <w:pPr>
        <w:spacing w:line="480" w:lineRule="auto"/>
        <w:rPr>
          <w:rFonts w:ascii="Times New Roman" w:hAnsi="Times New Roman" w:cs="Times New Roman"/>
          <w:sz w:val="24"/>
          <w:szCs w:val="24"/>
        </w:rPr>
      </w:pPr>
      <w:r w:rsidRPr="0022551E">
        <w:rPr>
          <w:rFonts w:ascii="Times New Roman" w:hAnsi="Times New Roman" w:cs="Times New Roman"/>
          <w:noProof/>
          <w:sz w:val="24"/>
          <w:szCs w:val="24"/>
        </w:rPr>
        <w:lastRenderedPageBreak/>
        <w:drawing>
          <wp:inline distT="0" distB="0" distL="0" distR="0" wp14:anchorId="354A753A" wp14:editId="6FD641D0">
            <wp:extent cx="5943600" cy="1470159"/>
            <wp:effectExtent l="0" t="0" r="0" b="0"/>
            <wp:docPr id="3936174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17440" name="Picture 1" descr="A screenshot of a computer&#10;&#10;Description automatically generated"/>
                    <pic:cNvPicPr/>
                  </pic:nvPicPr>
                  <pic:blipFill>
                    <a:blip r:embed="rId16"/>
                    <a:stretch>
                      <a:fillRect/>
                    </a:stretch>
                  </pic:blipFill>
                  <pic:spPr>
                    <a:xfrm>
                      <a:off x="0" y="0"/>
                      <a:ext cx="5964463" cy="1475319"/>
                    </a:xfrm>
                    <a:prstGeom prst="rect">
                      <a:avLst/>
                    </a:prstGeom>
                  </pic:spPr>
                </pic:pic>
              </a:graphicData>
            </a:graphic>
          </wp:inline>
        </w:drawing>
      </w:r>
    </w:p>
    <w:p w14:paraId="16A27609" w14:textId="790FBD34" w:rsidR="002F2A3A" w:rsidRDefault="0022551E" w:rsidP="003309EE">
      <w:pPr>
        <w:spacing w:line="480" w:lineRule="auto"/>
        <w:rPr>
          <w:rFonts w:ascii="Times New Roman" w:hAnsi="Times New Roman" w:cs="Times New Roman"/>
          <w:sz w:val="24"/>
          <w:szCs w:val="24"/>
        </w:rPr>
      </w:pPr>
      <w:r>
        <w:rPr>
          <w:rFonts w:ascii="Times New Roman" w:hAnsi="Times New Roman" w:cs="Times New Roman"/>
          <w:sz w:val="24"/>
          <w:szCs w:val="24"/>
        </w:rPr>
        <w:t xml:space="preserve">The calculations provided here are as follows. Total Enplanements are listed as </w:t>
      </w:r>
      <w:r w:rsidRPr="0022551E">
        <w:rPr>
          <w:rFonts w:ascii="Times New Roman" w:hAnsi="Times New Roman" w:cs="Times New Roman"/>
          <w:sz w:val="24"/>
          <w:szCs w:val="24"/>
        </w:rPr>
        <w:t>21,537,725</w:t>
      </w:r>
      <w:r>
        <w:rPr>
          <w:rFonts w:ascii="Times New Roman" w:hAnsi="Times New Roman" w:cs="Times New Roman"/>
          <w:sz w:val="24"/>
          <w:szCs w:val="24"/>
        </w:rPr>
        <w:t xml:space="preserve">. Market shares are calculated as a portion of the enplanement to the total enplanement for that hub.  In this example it is 23.22 percent equal the market share controlled by US Airways.  To convert this into enplanement we take US Airways Enplanements=Total Enplanements X US Airways Market Share/100. </w:t>
      </w:r>
      <w:r w:rsidR="002F2A3A">
        <w:rPr>
          <w:rFonts w:ascii="Times New Roman" w:hAnsi="Times New Roman" w:cs="Times New Roman"/>
          <w:sz w:val="24"/>
          <w:szCs w:val="24"/>
        </w:rPr>
        <w:t xml:space="preserve"> This mathematically looks like this </w:t>
      </w:r>
      <w:r w:rsidR="002F2A3A" w:rsidRPr="002F2A3A">
        <w:rPr>
          <w:rFonts w:ascii="Times New Roman" w:hAnsi="Times New Roman" w:cs="Times New Roman"/>
          <w:sz w:val="24"/>
          <w:szCs w:val="24"/>
        </w:rPr>
        <w:t>US Airways Enplanements=21,537,725×</w:t>
      </w:r>
      <w:r w:rsidR="002F2A3A">
        <w:rPr>
          <w:rFonts w:ascii="Times New Roman" w:hAnsi="Times New Roman" w:cs="Times New Roman"/>
          <w:sz w:val="24"/>
          <w:szCs w:val="24"/>
        </w:rPr>
        <w:t xml:space="preserve">23.22%/100.   Or </w:t>
      </w:r>
      <w:r w:rsidR="002F2A3A" w:rsidRPr="002F2A3A">
        <w:rPr>
          <w:rFonts w:ascii="Times New Roman" w:hAnsi="Times New Roman" w:cs="Times New Roman"/>
          <w:sz w:val="24"/>
          <w:szCs w:val="24"/>
        </w:rPr>
        <w:t>21,537,725×0.2322≈5,001,060</w:t>
      </w:r>
      <w:r w:rsidR="002F2A3A">
        <w:rPr>
          <w:rFonts w:ascii="Times New Roman" w:hAnsi="Times New Roman" w:cs="Times New Roman"/>
          <w:sz w:val="24"/>
          <w:szCs w:val="24"/>
        </w:rPr>
        <w:t xml:space="preserve">.  </w:t>
      </w:r>
      <w:r w:rsidR="003979F9">
        <w:rPr>
          <w:rFonts w:ascii="Times New Roman" w:hAnsi="Times New Roman" w:cs="Times New Roman"/>
          <w:sz w:val="24"/>
          <w:szCs w:val="24"/>
        </w:rPr>
        <w:t>Next,</w:t>
      </w:r>
      <w:r w:rsidR="002F2A3A">
        <w:rPr>
          <w:rFonts w:ascii="Times New Roman" w:hAnsi="Times New Roman" w:cs="Times New Roman"/>
          <w:sz w:val="24"/>
          <w:szCs w:val="24"/>
        </w:rPr>
        <w:t xml:space="preserve"> we will correct the American Airlines enplanements by taking Total </w:t>
      </w:r>
      <w:r w:rsidR="0056425F">
        <w:rPr>
          <w:rFonts w:ascii="Times New Roman" w:hAnsi="Times New Roman" w:cs="Times New Roman"/>
          <w:sz w:val="24"/>
          <w:szCs w:val="24"/>
        </w:rPr>
        <w:t>Enplanements</w:t>
      </w:r>
      <w:r w:rsidR="002F2A3A">
        <w:rPr>
          <w:rFonts w:ascii="Times New Roman" w:hAnsi="Times New Roman" w:cs="Times New Roman"/>
          <w:sz w:val="24"/>
          <w:szCs w:val="24"/>
        </w:rPr>
        <w:t xml:space="preserve">= American Airlines Share- US Airways Share/100.  This looks like </w:t>
      </w:r>
      <w:r w:rsidR="002F2A3A" w:rsidRPr="002F2A3A">
        <w:rPr>
          <w:rFonts w:ascii="Times New Roman" w:hAnsi="Times New Roman" w:cs="Times New Roman"/>
          <w:sz w:val="24"/>
          <w:szCs w:val="24"/>
        </w:rPr>
        <w:t>21,537,725×69.65−23.22​</w:t>
      </w:r>
      <w:r w:rsidR="002F2A3A">
        <w:rPr>
          <w:rFonts w:ascii="Times New Roman" w:hAnsi="Times New Roman" w:cs="Times New Roman"/>
          <w:sz w:val="24"/>
          <w:szCs w:val="24"/>
        </w:rPr>
        <w:t xml:space="preserve">/100 or simply </w:t>
      </w:r>
      <w:r w:rsidR="002F2A3A" w:rsidRPr="002F2A3A">
        <w:rPr>
          <w:rFonts w:ascii="Times New Roman" w:hAnsi="Times New Roman" w:cs="Times New Roman"/>
          <w:sz w:val="24"/>
          <w:szCs w:val="24"/>
        </w:rPr>
        <w:t>21,537,725×0.4643≈</w:t>
      </w:r>
      <w:r w:rsidR="002F2A3A" w:rsidRPr="002F2A3A">
        <w:rPr>
          <w:rFonts w:ascii="Times New Roman" w:hAnsi="Times New Roman" w:cs="Times New Roman"/>
          <w:sz w:val="24"/>
          <w:szCs w:val="24"/>
          <w:highlight w:val="yellow"/>
        </w:rPr>
        <w:t>9,999,966</w:t>
      </w:r>
      <w:r w:rsidR="002F2A3A">
        <w:rPr>
          <w:rFonts w:ascii="Times New Roman" w:hAnsi="Times New Roman" w:cs="Times New Roman"/>
          <w:sz w:val="24"/>
          <w:szCs w:val="24"/>
        </w:rPr>
        <w:t>.  Now for the new HHI concentration we take the adjusted market share (this was found by subtracting out US Airways market share due to exiting against the total enplanement data) and taking 100%-46.43%=</w:t>
      </w:r>
      <w:r w:rsidR="002F2A3A" w:rsidRPr="002F2A3A">
        <w:rPr>
          <w:rFonts w:ascii="Times New Roman" w:hAnsi="Times New Roman" w:cs="Times New Roman"/>
          <w:sz w:val="24"/>
          <w:szCs w:val="24"/>
          <w:highlight w:val="yellow"/>
        </w:rPr>
        <w:t>53.57%</w:t>
      </w:r>
      <w:r w:rsidR="002F2A3A">
        <w:rPr>
          <w:rFonts w:ascii="Times New Roman" w:hAnsi="Times New Roman" w:cs="Times New Roman"/>
          <w:sz w:val="24"/>
          <w:szCs w:val="24"/>
        </w:rPr>
        <w:t xml:space="preserve"> which shows us the other shares provided by other airlines.  Now we square for HHI concentration </w:t>
      </w:r>
      <w:r w:rsidR="002F2A3A" w:rsidRPr="002F2A3A">
        <w:rPr>
          <w:rFonts w:ascii="Times New Roman" w:hAnsi="Times New Roman" w:cs="Times New Roman"/>
          <w:sz w:val="24"/>
          <w:szCs w:val="24"/>
        </w:rPr>
        <w:t>(</w:t>
      </w:r>
      <w:r w:rsidR="0056425F" w:rsidRPr="002F2A3A">
        <w:rPr>
          <w:rFonts w:ascii="Times New Roman" w:hAnsi="Times New Roman" w:cs="Times New Roman"/>
          <w:sz w:val="24"/>
          <w:szCs w:val="24"/>
        </w:rPr>
        <w:t>46.43)</w:t>
      </w:r>
      <w:r w:rsidR="0056425F">
        <w:rPr>
          <w:rFonts w:ascii="Times New Roman" w:hAnsi="Times New Roman" w:cs="Times New Roman"/>
          <w:sz w:val="24"/>
          <w:szCs w:val="24"/>
        </w:rPr>
        <w:t xml:space="preserve"> ^</w:t>
      </w:r>
      <w:r w:rsidR="002F2A3A">
        <w:rPr>
          <w:rFonts w:ascii="Times New Roman" w:hAnsi="Times New Roman" w:cs="Times New Roman"/>
          <w:sz w:val="24"/>
          <w:szCs w:val="24"/>
        </w:rPr>
        <w:t>2</w:t>
      </w:r>
      <w:r w:rsidR="002F2A3A" w:rsidRPr="002F2A3A">
        <w:rPr>
          <w:rFonts w:ascii="Times New Roman" w:hAnsi="Times New Roman" w:cs="Times New Roman"/>
          <w:sz w:val="24"/>
          <w:szCs w:val="24"/>
        </w:rPr>
        <w:t>+(53.</w:t>
      </w:r>
      <w:r w:rsidR="0056425F" w:rsidRPr="002F2A3A">
        <w:rPr>
          <w:rFonts w:ascii="Times New Roman" w:hAnsi="Times New Roman" w:cs="Times New Roman"/>
          <w:sz w:val="24"/>
          <w:szCs w:val="24"/>
        </w:rPr>
        <w:t>57)</w:t>
      </w:r>
      <w:r w:rsidR="0056425F">
        <w:rPr>
          <w:rFonts w:ascii="Times New Roman" w:hAnsi="Times New Roman" w:cs="Times New Roman"/>
          <w:sz w:val="24"/>
          <w:szCs w:val="24"/>
        </w:rPr>
        <w:t xml:space="preserve"> ^</w:t>
      </w:r>
      <w:r w:rsidR="002F2A3A">
        <w:rPr>
          <w:rFonts w:ascii="Times New Roman" w:hAnsi="Times New Roman" w:cs="Times New Roman"/>
          <w:sz w:val="24"/>
          <w:szCs w:val="24"/>
        </w:rPr>
        <w:t>2</w:t>
      </w:r>
      <w:r w:rsidR="002F2A3A" w:rsidRPr="002F2A3A">
        <w:rPr>
          <w:rFonts w:ascii="Times New Roman" w:hAnsi="Times New Roman" w:cs="Times New Roman"/>
          <w:sz w:val="24"/>
          <w:szCs w:val="24"/>
        </w:rPr>
        <w:t>=2157.85+2867.64=</w:t>
      </w:r>
      <w:r w:rsidR="002F2A3A" w:rsidRPr="002F2A3A">
        <w:rPr>
          <w:rFonts w:ascii="Times New Roman" w:hAnsi="Times New Roman" w:cs="Times New Roman"/>
          <w:sz w:val="24"/>
          <w:szCs w:val="24"/>
          <w:highlight w:val="yellow"/>
        </w:rPr>
        <w:t>5025.49</w:t>
      </w:r>
    </w:p>
    <w:p w14:paraId="58A28E7E" w14:textId="15CDAA9C" w:rsidR="002F2A3A" w:rsidRDefault="002F2A3A" w:rsidP="003309EE">
      <w:pPr>
        <w:spacing w:line="480" w:lineRule="auto"/>
        <w:rPr>
          <w:rFonts w:ascii="Times New Roman" w:hAnsi="Times New Roman" w:cs="Times New Roman"/>
          <w:sz w:val="24"/>
          <w:szCs w:val="24"/>
        </w:rPr>
      </w:pPr>
      <w:r>
        <w:rPr>
          <w:rFonts w:ascii="Times New Roman" w:hAnsi="Times New Roman" w:cs="Times New Roman"/>
          <w:sz w:val="24"/>
          <w:szCs w:val="24"/>
        </w:rPr>
        <w:t xml:space="preserve">For Revenue we take the assumption that </w:t>
      </w:r>
      <w:r w:rsidR="00403DED">
        <w:rPr>
          <w:rFonts w:ascii="Times New Roman" w:hAnsi="Times New Roman" w:cs="Times New Roman"/>
          <w:sz w:val="24"/>
          <w:szCs w:val="24"/>
        </w:rPr>
        <w:t xml:space="preserve">the average ticket price is 300 USD.  This is evidenced around that time by the United States Bureau of Statistics at </w:t>
      </w:r>
      <w:r w:rsidR="00403DED" w:rsidRPr="00403DED">
        <w:rPr>
          <w:rFonts w:ascii="Times New Roman" w:hAnsi="Times New Roman" w:cs="Times New Roman"/>
          <w:sz w:val="24"/>
          <w:szCs w:val="24"/>
        </w:rPr>
        <w:t>390–$410</w:t>
      </w:r>
      <w:r w:rsidR="00403DED">
        <w:rPr>
          <w:rFonts w:ascii="Times New Roman" w:hAnsi="Times New Roman" w:cs="Times New Roman"/>
          <w:sz w:val="24"/>
          <w:szCs w:val="24"/>
        </w:rPr>
        <w:t xml:space="preserve"> with one way basis as </w:t>
      </w:r>
      <w:r w:rsidR="00403DED" w:rsidRPr="00403DED">
        <w:rPr>
          <w:rFonts w:ascii="Times New Roman" w:hAnsi="Times New Roman" w:cs="Times New Roman"/>
          <w:sz w:val="24"/>
          <w:szCs w:val="24"/>
        </w:rPr>
        <w:t>200–$250</w:t>
      </w:r>
      <w:r w:rsidR="00403DED">
        <w:rPr>
          <w:rFonts w:ascii="Times New Roman" w:hAnsi="Times New Roman" w:cs="Times New Roman"/>
          <w:sz w:val="24"/>
          <w:szCs w:val="24"/>
        </w:rPr>
        <w:t xml:space="preserve"> so I averaged to 300 for </w:t>
      </w:r>
      <w:r w:rsidR="00403DED" w:rsidRPr="0056425F">
        <w:rPr>
          <w:rFonts w:ascii="Times New Roman" w:hAnsi="Times New Roman" w:cs="Times New Roman"/>
          <w:sz w:val="24"/>
          <w:szCs w:val="24"/>
        </w:rPr>
        <w:t>simplicity. (United States Bureau of Transportation Statistics, 2015)</w:t>
      </w:r>
      <w:r w:rsidR="00403DED">
        <w:rPr>
          <w:rFonts w:ascii="Times New Roman" w:hAnsi="Times New Roman" w:cs="Times New Roman"/>
          <w:sz w:val="24"/>
          <w:szCs w:val="24"/>
        </w:rPr>
        <w:t xml:space="preserve"> With this, we take the US Airways enplanement and multiply by the average ticket price to yield </w:t>
      </w:r>
      <w:r w:rsidR="00403DED" w:rsidRPr="00403DED">
        <w:rPr>
          <w:rFonts w:ascii="Times New Roman" w:hAnsi="Times New Roman" w:cs="Times New Roman"/>
          <w:sz w:val="24"/>
          <w:szCs w:val="24"/>
        </w:rPr>
        <w:t>5,001,060×300</w:t>
      </w:r>
      <w:r w:rsidR="00403DED">
        <w:rPr>
          <w:rFonts w:ascii="Times New Roman" w:hAnsi="Times New Roman" w:cs="Times New Roman"/>
          <w:sz w:val="24"/>
          <w:szCs w:val="24"/>
        </w:rPr>
        <w:t xml:space="preserve"> or </w:t>
      </w:r>
      <w:r w:rsidR="00403DED" w:rsidRPr="00403DED">
        <w:rPr>
          <w:rFonts w:ascii="Times New Roman" w:hAnsi="Times New Roman" w:cs="Times New Roman"/>
          <w:sz w:val="24"/>
          <w:szCs w:val="24"/>
          <w:highlight w:val="yellow"/>
        </w:rPr>
        <w:t>1,500,318,000 USD</w:t>
      </w:r>
      <w:r w:rsidR="00403DED">
        <w:rPr>
          <w:rFonts w:ascii="Times New Roman" w:hAnsi="Times New Roman" w:cs="Times New Roman"/>
          <w:sz w:val="24"/>
          <w:szCs w:val="24"/>
        </w:rPr>
        <w:t xml:space="preserve">.  This gives us a general idea of the revenue lost if </w:t>
      </w:r>
      <w:r w:rsidR="00403DED">
        <w:rPr>
          <w:rFonts w:ascii="Times New Roman" w:hAnsi="Times New Roman" w:cs="Times New Roman"/>
          <w:sz w:val="24"/>
          <w:szCs w:val="24"/>
        </w:rPr>
        <w:lastRenderedPageBreak/>
        <w:t xml:space="preserve">US Airways were to exit. </w:t>
      </w:r>
      <w:r w:rsidR="003E7D48">
        <w:rPr>
          <w:rFonts w:ascii="Times New Roman" w:hAnsi="Times New Roman" w:cs="Times New Roman"/>
          <w:sz w:val="24"/>
          <w:szCs w:val="24"/>
        </w:rPr>
        <w:t xml:space="preserve"> Yields as well as RPM for USD revenues were pulled from 10-K data provided </w:t>
      </w:r>
      <w:r w:rsidR="003D3142">
        <w:rPr>
          <w:rFonts w:ascii="Times New Roman" w:hAnsi="Times New Roman" w:cs="Times New Roman"/>
          <w:sz w:val="24"/>
          <w:szCs w:val="24"/>
        </w:rPr>
        <w:t>from 2014 merged data as well as extrapolated data from 2011 but filed 2012 pre-</w:t>
      </w:r>
      <w:r w:rsidR="003D3142" w:rsidRPr="003D3142">
        <w:rPr>
          <w:rFonts w:ascii="Times New Roman" w:hAnsi="Times New Roman" w:cs="Times New Roman"/>
          <w:sz w:val="24"/>
          <w:szCs w:val="24"/>
        </w:rPr>
        <w:t>merger US Airways.</w:t>
      </w:r>
      <w:r w:rsidR="003D3142">
        <w:rPr>
          <w:rFonts w:ascii="Times New Roman" w:hAnsi="Times New Roman" w:cs="Times New Roman"/>
          <w:sz w:val="24"/>
          <w:szCs w:val="24"/>
        </w:rPr>
        <w:t xml:space="preserve"> </w:t>
      </w:r>
      <w:r w:rsidR="003D3142" w:rsidRPr="003D3142">
        <w:rPr>
          <w:rFonts w:ascii="Times New Roman" w:hAnsi="Times New Roman" w:cs="Times New Roman"/>
          <w:sz w:val="24"/>
          <w:szCs w:val="24"/>
        </w:rPr>
        <w:t>(United Continental Holdings, Inc., 2014)</w:t>
      </w:r>
      <w:r w:rsidR="003D3142">
        <w:rPr>
          <w:rFonts w:ascii="Times New Roman" w:hAnsi="Times New Roman" w:cs="Times New Roman"/>
          <w:sz w:val="24"/>
          <w:szCs w:val="24"/>
        </w:rPr>
        <w:t xml:space="preserve"> </w:t>
      </w:r>
      <w:r w:rsidR="003D3142" w:rsidRPr="003D3142">
        <w:rPr>
          <w:rFonts w:ascii="Times New Roman" w:hAnsi="Times New Roman" w:cs="Times New Roman"/>
          <w:sz w:val="24"/>
          <w:szCs w:val="24"/>
        </w:rPr>
        <w:t>(United Airlines, 2014)</w:t>
      </w:r>
      <w:r w:rsidR="003D3142">
        <w:rPr>
          <w:rFonts w:ascii="Times New Roman" w:hAnsi="Times New Roman" w:cs="Times New Roman"/>
          <w:sz w:val="24"/>
          <w:szCs w:val="24"/>
        </w:rPr>
        <w:t xml:space="preserve"> </w:t>
      </w:r>
      <w:r w:rsidR="003D3142" w:rsidRPr="003D3142">
        <w:rPr>
          <w:rFonts w:ascii="Times New Roman" w:hAnsi="Times New Roman" w:cs="Times New Roman"/>
          <w:sz w:val="24"/>
          <w:szCs w:val="24"/>
        </w:rPr>
        <w:t>(U.S. Airways, 2012)</w:t>
      </w:r>
      <w:r w:rsidR="003D3142">
        <w:rPr>
          <w:rFonts w:ascii="Times New Roman" w:hAnsi="Times New Roman" w:cs="Times New Roman"/>
          <w:sz w:val="24"/>
          <w:szCs w:val="24"/>
        </w:rPr>
        <w:t xml:space="preserve"> </w:t>
      </w:r>
      <w:r w:rsidR="003D3142" w:rsidRPr="003D3142">
        <w:rPr>
          <w:rFonts w:ascii="Times New Roman" w:hAnsi="Times New Roman" w:cs="Times New Roman"/>
          <w:sz w:val="24"/>
          <w:szCs w:val="24"/>
        </w:rPr>
        <w:t>(American Airlines Group Inc., 2014)</w:t>
      </w:r>
    </w:p>
    <w:p w14:paraId="68BE262E" w14:textId="079BFE8A" w:rsidR="0022551E" w:rsidRDefault="0022551E" w:rsidP="003309EE">
      <w:pPr>
        <w:spacing w:line="480" w:lineRule="auto"/>
        <w:rPr>
          <w:rFonts w:ascii="Times New Roman" w:hAnsi="Times New Roman" w:cs="Times New Roman"/>
          <w:b/>
          <w:bCs/>
          <w:sz w:val="24"/>
          <w:szCs w:val="24"/>
        </w:rPr>
      </w:pPr>
      <w:r w:rsidRPr="00B53B03">
        <w:rPr>
          <w:rFonts w:ascii="Times New Roman" w:hAnsi="Times New Roman" w:cs="Times New Roman"/>
          <w:b/>
          <w:bCs/>
          <w:sz w:val="24"/>
          <w:szCs w:val="24"/>
        </w:rPr>
        <w:t xml:space="preserve"> </w:t>
      </w:r>
      <w:r w:rsidR="00B53B03" w:rsidRPr="00B53B03">
        <w:rPr>
          <w:rFonts w:ascii="Times New Roman" w:hAnsi="Times New Roman" w:cs="Times New Roman"/>
          <w:b/>
          <w:bCs/>
          <w:sz w:val="24"/>
          <w:szCs w:val="24"/>
        </w:rPr>
        <w:t xml:space="preserve">Recommendations </w:t>
      </w:r>
    </w:p>
    <w:p w14:paraId="0FA0EB82" w14:textId="55CD9699" w:rsidR="0056425F" w:rsidRPr="003D3516" w:rsidRDefault="003D3516" w:rsidP="003309EE">
      <w:pPr>
        <w:spacing w:line="480" w:lineRule="auto"/>
        <w:rPr>
          <w:rFonts w:ascii="Times New Roman" w:hAnsi="Times New Roman" w:cs="Times New Roman"/>
          <w:sz w:val="24"/>
          <w:szCs w:val="24"/>
        </w:rPr>
      </w:pPr>
      <w:r>
        <w:rPr>
          <w:rFonts w:ascii="Times New Roman" w:hAnsi="Times New Roman" w:cs="Times New Roman"/>
          <w:sz w:val="24"/>
          <w:szCs w:val="24"/>
        </w:rPr>
        <w:t xml:space="preserve">When looking at potential recommendations one of the key alternative approaches would to immediately instill divestitures in over concentrated markets.  For example, hubs such as Charlotte and Philadelphia should have divestitures of slot pairs and gates.  This could provide a first step to reduce competition and lower concentration levels.  In addition, smaller but high revenue markets can encourage smaller airlines and new entrants.  </w:t>
      </w:r>
      <w:r w:rsidRPr="003D3516">
        <w:rPr>
          <w:rFonts w:ascii="Times New Roman" w:hAnsi="Times New Roman" w:cs="Times New Roman"/>
          <w:sz w:val="24"/>
          <w:szCs w:val="24"/>
        </w:rPr>
        <w:t>(Kwoka, 2015)</w:t>
      </w:r>
      <w:r w:rsidR="005D1D47">
        <w:rPr>
          <w:rFonts w:ascii="Times New Roman" w:hAnsi="Times New Roman" w:cs="Times New Roman"/>
          <w:sz w:val="24"/>
          <w:szCs w:val="24"/>
        </w:rPr>
        <w:t xml:space="preserve"> For the preservation of revenue, code-sharing agreements could be instantiated for competitors receiving divestiture slots.  For example, American Airlines can act as a marketing carrier by continuing to sell tickets while another carrier will be responsible for flight operations.  This could potentially offset the cost of divestitures and enplanement losses. </w:t>
      </w:r>
      <w:r w:rsidR="005D1D47" w:rsidRPr="005D1D47">
        <w:rPr>
          <w:rFonts w:ascii="Times New Roman" w:hAnsi="Times New Roman" w:cs="Times New Roman"/>
          <w:sz w:val="24"/>
          <w:szCs w:val="24"/>
        </w:rPr>
        <w:t>(Moss, 2013)</w:t>
      </w:r>
      <w:r w:rsidR="005D1D47">
        <w:rPr>
          <w:rFonts w:ascii="Times New Roman" w:hAnsi="Times New Roman" w:cs="Times New Roman"/>
          <w:sz w:val="24"/>
          <w:szCs w:val="24"/>
        </w:rPr>
        <w:t xml:space="preserve"> In addition there could be divestment in long-haul and short-haul routes, possibly allowing for revenue retention.  This can be due to RPM and its lower generating revenue in short routes. </w:t>
      </w:r>
      <w:r w:rsidR="005D1D47" w:rsidRPr="005D1D47">
        <w:rPr>
          <w:rFonts w:ascii="Times New Roman" w:hAnsi="Times New Roman" w:cs="Times New Roman"/>
          <w:sz w:val="24"/>
          <w:szCs w:val="24"/>
        </w:rPr>
        <w:t>(Kwoka, 2015).</w:t>
      </w:r>
      <w:r w:rsidR="005D1D47">
        <w:rPr>
          <w:rFonts w:ascii="Times New Roman" w:hAnsi="Times New Roman" w:cs="Times New Roman"/>
          <w:sz w:val="24"/>
          <w:szCs w:val="24"/>
        </w:rPr>
        <w:t xml:space="preserve"> Next, we should then address the slot allocations at Regan National Airport.  Reducing </w:t>
      </w:r>
      <w:r w:rsidR="0083718A">
        <w:rPr>
          <w:rFonts w:ascii="Times New Roman" w:hAnsi="Times New Roman" w:cs="Times New Roman"/>
          <w:sz w:val="24"/>
          <w:szCs w:val="24"/>
        </w:rPr>
        <w:t xml:space="preserve">the merger airline dominance </w:t>
      </w:r>
      <w:r w:rsidR="005D1D47">
        <w:rPr>
          <w:rFonts w:ascii="Times New Roman" w:hAnsi="Times New Roman" w:cs="Times New Roman"/>
          <w:sz w:val="24"/>
          <w:szCs w:val="24"/>
        </w:rPr>
        <w:t xml:space="preserve">in </w:t>
      </w:r>
      <w:r w:rsidR="0083718A">
        <w:rPr>
          <w:rFonts w:ascii="Times New Roman" w:hAnsi="Times New Roman" w:cs="Times New Roman"/>
          <w:sz w:val="24"/>
          <w:szCs w:val="24"/>
        </w:rPr>
        <w:t xml:space="preserve">at DCA would help reduce HHI concentrations to more accommodating levels.  For revenue retention, prioritizing and divesting slots which have non-peak hours or low-demand and well as incentivize routes which contain high corporate travel (DCA-LGA) might show some promising effects. </w:t>
      </w:r>
      <w:r w:rsidR="00702582">
        <w:rPr>
          <w:rFonts w:ascii="Times New Roman" w:hAnsi="Times New Roman" w:cs="Times New Roman"/>
          <w:sz w:val="24"/>
          <w:szCs w:val="24"/>
        </w:rPr>
        <w:t>(</w:t>
      </w:r>
      <w:r w:rsidR="00702582" w:rsidRPr="00702582">
        <w:rPr>
          <w:rFonts w:ascii="Times New Roman" w:hAnsi="Times New Roman" w:cs="Times New Roman"/>
          <w:sz w:val="24"/>
          <w:szCs w:val="24"/>
        </w:rPr>
        <w:t>Park</w:t>
      </w:r>
      <w:r w:rsidR="00702582">
        <w:rPr>
          <w:rFonts w:ascii="Times New Roman" w:hAnsi="Times New Roman" w:cs="Times New Roman"/>
          <w:sz w:val="24"/>
          <w:szCs w:val="24"/>
        </w:rPr>
        <w:t xml:space="preserve">, </w:t>
      </w:r>
      <w:r w:rsidR="00702582" w:rsidRPr="00702582">
        <w:rPr>
          <w:rFonts w:ascii="Times New Roman" w:hAnsi="Times New Roman" w:cs="Times New Roman"/>
          <w:sz w:val="24"/>
          <w:szCs w:val="24"/>
        </w:rPr>
        <w:t xml:space="preserve">2022) </w:t>
      </w:r>
      <w:r w:rsidR="00D64935">
        <w:rPr>
          <w:rFonts w:ascii="Times New Roman" w:hAnsi="Times New Roman" w:cs="Times New Roman"/>
          <w:sz w:val="24"/>
          <w:szCs w:val="24"/>
        </w:rPr>
        <w:t xml:space="preserve">This could also be done by divesting </w:t>
      </w:r>
      <w:r w:rsidR="00D64935" w:rsidRPr="00D64935">
        <w:rPr>
          <w:rFonts w:ascii="Times New Roman" w:hAnsi="Times New Roman" w:cs="Times New Roman"/>
          <w:sz w:val="24"/>
          <w:szCs w:val="24"/>
        </w:rPr>
        <w:t>slots to low-cost carriers</w:t>
      </w:r>
      <w:r w:rsidR="00D64935">
        <w:rPr>
          <w:rFonts w:ascii="Times New Roman" w:hAnsi="Times New Roman" w:cs="Times New Roman"/>
          <w:sz w:val="24"/>
          <w:szCs w:val="24"/>
        </w:rPr>
        <w:t xml:space="preserve"> in Charlotte with concentrations at 8635.85. </w:t>
      </w:r>
      <w:r w:rsidR="0083718A">
        <w:rPr>
          <w:rFonts w:ascii="Times New Roman" w:hAnsi="Times New Roman" w:cs="Times New Roman"/>
          <w:sz w:val="24"/>
          <w:szCs w:val="24"/>
        </w:rPr>
        <w:t xml:space="preserve">Also incentivizing partnerships through negotiation of airlines receiving divested slots could help with sustained customer loyalty as well </w:t>
      </w:r>
      <w:r w:rsidR="0083718A">
        <w:rPr>
          <w:rFonts w:ascii="Times New Roman" w:hAnsi="Times New Roman" w:cs="Times New Roman"/>
          <w:sz w:val="24"/>
          <w:szCs w:val="24"/>
        </w:rPr>
        <w:lastRenderedPageBreak/>
        <w:t xml:space="preserve">as maintain indirect revenue. </w:t>
      </w:r>
      <w:r w:rsidR="00702582">
        <w:rPr>
          <w:rFonts w:ascii="Times New Roman" w:hAnsi="Times New Roman" w:cs="Times New Roman"/>
          <w:sz w:val="24"/>
          <w:szCs w:val="24"/>
        </w:rPr>
        <w:t>(</w:t>
      </w:r>
      <w:r w:rsidR="00702582" w:rsidRPr="00702582">
        <w:rPr>
          <w:rFonts w:ascii="Times New Roman" w:hAnsi="Times New Roman" w:cs="Times New Roman"/>
          <w:sz w:val="24"/>
          <w:szCs w:val="24"/>
        </w:rPr>
        <w:t>García Saavedra</w:t>
      </w:r>
      <w:r w:rsidR="00702582">
        <w:rPr>
          <w:rFonts w:ascii="Times New Roman" w:hAnsi="Times New Roman" w:cs="Times New Roman"/>
          <w:sz w:val="24"/>
          <w:szCs w:val="24"/>
        </w:rPr>
        <w:t xml:space="preserve">, </w:t>
      </w:r>
      <w:r w:rsidR="00702582" w:rsidRPr="00702582">
        <w:rPr>
          <w:rFonts w:ascii="Times New Roman" w:hAnsi="Times New Roman" w:cs="Times New Roman"/>
          <w:sz w:val="24"/>
          <w:szCs w:val="24"/>
        </w:rPr>
        <w:t>2017)</w:t>
      </w:r>
      <w:r w:rsidR="0083718A">
        <w:rPr>
          <w:rFonts w:ascii="Times New Roman" w:hAnsi="Times New Roman" w:cs="Times New Roman"/>
          <w:sz w:val="24"/>
          <w:szCs w:val="24"/>
        </w:rPr>
        <w:t xml:space="preserve"> Lastly, another key recommendation to help with HHI concentrations as well as retain significant revenue would include addressing some behavioral strategies for some city-pair markets.  For illustration, </w:t>
      </w:r>
      <w:r w:rsidR="00D64935">
        <w:rPr>
          <w:rFonts w:ascii="Times New Roman" w:hAnsi="Times New Roman" w:cs="Times New Roman"/>
          <w:sz w:val="24"/>
          <w:szCs w:val="24"/>
        </w:rPr>
        <w:t xml:space="preserve">if divestitures are not always achievable, then higher city markets and hubs (Charlotte, NYC) </w:t>
      </w:r>
      <w:r w:rsidR="00436EB7">
        <w:rPr>
          <w:rFonts w:ascii="Times New Roman" w:hAnsi="Times New Roman" w:cs="Times New Roman"/>
          <w:sz w:val="24"/>
          <w:szCs w:val="24"/>
        </w:rPr>
        <w:t>as well as (</w:t>
      </w:r>
      <w:r w:rsidR="00436EB7" w:rsidRPr="00436EB7">
        <w:rPr>
          <w:rFonts w:ascii="Times New Roman" w:hAnsi="Times New Roman" w:cs="Times New Roman"/>
          <w:sz w:val="24"/>
          <w:szCs w:val="24"/>
        </w:rPr>
        <w:t>Miami-Chicago (HHI: 4466.49),</w:t>
      </w:r>
      <w:r w:rsidR="00436EB7">
        <w:rPr>
          <w:rFonts w:ascii="Times New Roman" w:hAnsi="Times New Roman" w:cs="Times New Roman"/>
          <w:sz w:val="24"/>
          <w:szCs w:val="24"/>
        </w:rPr>
        <w:t xml:space="preserve"> </w:t>
      </w:r>
      <w:r w:rsidR="00D64935">
        <w:rPr>
          <w:rFonts w:ascii="Times New Roman" w:hAnsi="Times New Roman" w:cs="Times New Roman"/>
          <w:sz w:val="24"/>
          <w:szCs w:val="24"/>
        </w:rPr>
        <w:t xml:space="preserve">pricing strategies could be implemented to though transparency and anti-competitive behaviors to help reduce concentrations as well as maintain that fares are monitored and controlled.  Analysis for this can be substantiated by the work of </w:t>
      </w:r>
      <w:r w:rsidR="00D64935" w:rsidRPr="00D64935">
        <w:rPr>
          <w:rFonts w:ascii="Times New Roman" w:hAnsi="Times New Roman" w:cs="Times New Roman"/>
          <w:sz w:val="24"/>
          <w:szCs w:val="24"/>
        </w:rPr>
        <w:t>Salop &amp; Culley, 2020</w:t>
      </w:r>
      <w:r w:rsidR="00D64935">
        <w:rPr>
          <w:rFonts w:ascii="Times New Roman" w:hAnsi="Times New Roman" w:cs="Times New Roman"/>
          <w:sz w:val="24"/>
          <w:szCs w:val="24"/>
        </w:rPr>
        <w:t>, which examined that, though less effective than divestitures, consumer well-being as well as overall consumer harm can be reduced significantly. (</w:t>
      </w:r>
      <w:r w:rsidR="00D64935" w:rsidRPr="00D64935">
        <w:rPr>
          <w:rFonts w:ascii="Times New Roman" w:hAnsi="Times New Roman" w:cs="Times New Roman"/>
          <w:sz w:val="24"/>
          <w:szCs w:val="24"/>
        </w:rPr>
        <w:t>Salop &amp; Culley, 2020</w:t>
      </w:r>
      <w:r w:rsidR="00436EB7">
        <w:rPr>
          <w:rFonts w:ascii="Times New Roman" w:hAnsi="Times New Roman" w:cs="Times New Roman"/>
          <w:sz w:val="24"/>
          <w:szCs w:val="24"/>
        </w:rPr>
        <w:t>) For</w:t>
      </w:r>
      <w:r w:rsidR="00D64935">
        <w:rPr>
          <w:rFonts w:ascii="Times New Roman" w:hAnsi="Times New Roman" w:cs="Times New Roman"/>
          <w:sz w:val="24"/>
          <w:szCs w:val="24"/>
        </w:rPr>
        <w:t xml:space="preserve"> maintain revenue </w:t>
      </w:r>
      <w:r w:rsidR="00436EB7">
        <w:rPr>
          <w:rFonts w:ascii="Times New Roman" w:hAnsi="Times New Roman" w:cs="Times New Roman"/>
          <w:sz w:val="24"/>
          <w:szCs w:val="24"/>
        </w:rPr>
        <w:t>streams, providing</w:t>
      </w:r>
      <w:r w:rsidR="00D64935">
        <w:rPr>
          <w:rFonts w:ascii="Times New Roman" w:hAnsi="Times New Roman" w:cs="Times New Roman"/>
          <w:sz w:val="24"/>
          <w:szCs w:val="24"/>
        </w:rPr>
        <w:t xml:space="preserve"> service </w:t>
      </w:r>
      <w:r w:rsidR="00436EB7">
        <w:rPr>
          <w:rFonts w:ascii="Times New Roman" w:hAnsi="Times New Roman" w:cs="Times New Roman"/>
          <w:sz w:val="24"/>
          <w:szCs w:val="24"/>
        </w:rPr>
        <w:t>differentiation</w:t>
      </w:r>
      <w:r w:rsidR="00D64935">
        <w:rPr>
          <w:rFonts w:ascii="Times New Roman" w:hAnsi="Times New Roman" w:cs="Times New Roman"/>
          <w:sz w:val="24"/>
          <w:szCs w:val="24"/>
        </w:rPr>
        <w:t xml:space="preserve"> in the form of premium seating and loyalty incentives could help cover revenue costs. </w:t>
      </w:r>
      <w:r w:rsidR="00436EB7" w:rsidRPr="00436EB7">
        <w:rPr>
          <w:rFonts w:ascii="Times New Roman" w:hAnsi="Times New Roman" w:cs="Times New Roman"/>
          <w:sz w:val="24"/>
          <w:szCs w:val="24"/>
        </w:rPr>
        <w:t>(Prince &amp; Simon, 2015)</w:t>
      </w:r>
      <w:r w:rsidR="00436EB7">
        <w:rPr>
          <w:rFonts w:ascii="Times New Roman" w:hAnsi="Times New Roman" w:cs="Times New Roman"/>
          <w:sz w:val="24"/>
          <w:szCs w:val="24"/>
        </w:rPr>
        <w:t xml:space="preserve"> Also, dynamic pricing strategies like discounting off peak flights </w:t>
      </w:r>
      <w:r w:rsidR="00702582">
        <w:rPr>
          <w:rFonts w:ascii="Times New Roman" w:hAnsi="Times New Roman" w:cs="Times New Roman"/>
          <w:sz w:val="24"/>
          <w:szCs w:val="24"/>
        </w:rPr>
        <w:t>etc.</w:t>
      </w:r>
      <w:r w:rsidR="00436EB7">
        <w:rPr>
          <w:rFonts w:ascii="Times New Roman" w:hAnsi="Times New Roman" w:cs="Times New Roman"/>
          <w:sz w:val="24"/>
          <w:szCs w:val="24"/>
        </w:rPr>
        <w:t xml:space="preserve"> could help retain more revenue.</w:t>
      </w:r>
      <w:r w:rsidR="006523A8">
        <w:rPr>
          <w:rFonts w:ascii="Times New Roman" w:hAnsi="Times New Roman" w:cs="Times New Roman"/>
          <w:sz w:val="24"/>
          <w:szCs w:val="24"/>
        </w:rPr>
        <w:t xml:space="preserve"> </w:t>
      </w:r>
      <w:r w:rsidR="003979F9" w:rsidRPr="003979F9">
        <w:rPr>
          <w:rFonts w:ascii="Times New Roman" w:hAnsi="Times New Roman" w:cs="Times New Roman"/>
          <w:sz w:val="24"/>
          <w:szCs w:val="24"/>
        </w:rPr>
        <w:t xml:space="preserve">(Wittman &amp; </w:t>
      </w:r>
      <w:proofErr w:type="spellStart"/>
      <w:r w:rsidR="003979F9" w:rsidRPr="003979F9">
        <w:rPr>
          <w:rFonts w:ascii="Times New Roman" w:hAnsi="Times New Roman" w:cs="Times New Roman"/>
          <w:sz w:val="24"/>
          <w:szCs w:val="24"/>
        </w:rPr>
        <w:t>Belobaba</w:t>
      </w:r>
      <w:proofErr w:type="spellEnd"/>
      <w:r w:rsidR="003979F9" w:rsidRPr="003979F9">
        <w:rPr>
          <w:rFonts w:ascii="Times New Roman" w:hAnsi="Times New Roman" w:cs="Times New Roman"/>
          <w:sz w:val="24"/>
          <w:szCs w:val="24"/>
        </w:rPr>
        <w:t>, 2018)</w:t>
      </w:r>
      <w:r w:rsidR="00436EB7">
        <w:rPr>
          <w:rFonts w:ascii="Times New Roman" w:hAnsi="Times New Roman" w:cs="Times New Roman"/>
          <w:sz w:val="24"/>
          <w:szCs w:val="24"/>
        </w:rPr>
        <w:t xml:space="preserve"> As an overview divestitures should be applied to exceptional market conditions such as </w:t>
      </w:r>
      <w:r w:rsidR="00436EB7" w:rsidRPr="00436EB7">
        <w:rPr>
          <w:rFonts w:ascii="Times New Roman" w:hAnsi="Times New Roman" w:cs="Times New Roman"/>
          <w:sz w:val="24"/>
          <w:szCs w:val="24"/>
        </w:rPr>
        <w:t>Charlotte (CLT)</w:t>
      </w:r>
      <w:r w:rsidR="00436EB7">
        <w:rPr>
          <w:rFonts w:ascii="Times New Roman" w:hAnsi="Times New Roman" w:cs="Times New Roman"/>
          <w:sz w:val="24"/>
          <w:szCs w:val="24"/>
        </w:rPr>
        <w:t xml:space="preserve"> </w:t>
      </w:r>
      <w:r w:rsidR="00436EB7" w:rsidRPr="00436EB7">
        <w:rPr>
          <w:rFonts w:ascii="Times New Roman" w:hAnsi="Times New Roman" w:cs="Times New Roman"/>
          <w:sz w:val="24"/>
          <w:szCs w:val="24"/>
        </w:rPr>
        <w:t>8635.85</w:t>
      </w:r>
      <w:r w:rsidR="00436EB7">
        <w:rPr>
          <w:rFonts w:ascii="Times New Roman" w:hAnsi="Times New Roman" w:cs="Times New Roman"/>
          <w:sz w:val="24"/>
          <w:szCs w:val="24"/>
        </w:rPr>
        <w:t xml:space="preserve"> as well as Philadelphia (PHL) </w:t>
      </w:r>
      <w:r w:rsidR="00436EB7" w:rsidRPr="00436EB7">
        <w:rPr>
          <w:rFonts w:ascii="Times New Roman" w:hAnsi="Times New Roman" w:cs="Times New Roman"/>
          <w:sz w:val="24"/>
          <w:szCs w:val="24"/>
        </w:rPr>
        <w:t>7723.91</w:t>
      </w:r>
      <w:r w:rsidR="00436EB7">
        <w:rPr>
          <w:rFonts w:ascii="Times New Roman" w:hAnsi="Times New Roman" w:cs="Times New Roman"/>
          <w:sz w:val="24"/>
          <w:szCs w:val="24"/>
        </w:rPr>
        <w:t xml:space="preserve"> while conditions involving behavioral modification can be applied to markets such as </w:t>
      </w:r>
      <w:r w:rsidR="00436EB7" w:rsidRPr="00436EB7">
        <w:rPr>
          <w:rFonts w:ascii="Times New Roman" w:hAnsi="Times New Roman" w:cs="Times New Roman"/>
          <w:sz w:val="24"/>
          <w:szCs w:val="24"/>
        </w:rPr>
        <w:t>Miami (MIA)</w:t>
      </w:r>
      <w:r w:rsidR="00436EB7">
        <w:rPr>
          <w:rFonts w:ascii="Times New Roman" w:hAnsi="Times New Roman" w:cs="Times New Roman"/>
          <w:sz w:val="24"/>
          <w:szCs w:val="24"/>
        </w:rPr>
        <w:t xml:space="preserve"> </w:t>
      </w:r>
      <w:r w:rsidR="00436EB7" w:rsidRPr="00436EB7">
        <w:rPr>
          <w:rFonts w:ascii="Times New Roman" w:hAnsi="Times New Roman" w:cs="Times New Roman"/>
          <w:sz w:val="24"/>
          <w:szCs w:val="24"/>
        </w:rPr>
        <w:t>4466.49</w:t>
      </w:r>
      <w:r w:rsidR="00436EB7">
        <w:rPr>
          <w:rFonts w:ascii="Times New Roman" w:hAnsi="Times New Roman" w:cs="Times New Roman"/>
          <w:sz w:val="24"/>
          <w:szCs w:val="24"/>
        </w:rPr>
        <w:t xml:space="preserve"> and </w:t>
      </w:r>
      <w:r w:rsidR="00436EB7" w:rsidRPr="00436EB7">
        <w:rPr>
          <w:rFonts w:ascii="Times New Roman" w:hAnsi="Times New Roman" w:cs="Times New Roman"/>
          <w:sz w:val="24"/>
          <w:szCs w:val="24"/>
        </w:rPr>
        <w:t>Dallas (DFW</w:t>
      </w:r>
      <w:proofErr w:type="gramStart"/>
      <w:r w:rsidR="00436EB7" w:rsidRPr="00436EB7">
        <w:rPr>
          <w:rFonts w:ascii="Times New Roman" w:hAnsi="Times New Roman" w:cs="Times New Roman"/>
          <w:sz w:val="24"/>
          <w:szCs w:val="24"/>
        </w:rPr>
        <w:t>)</w:t>
      </w:r>
      <w:r w:rsidR="00436EB7">
        <w:rPr>
          <w:rFonts w:ascii="Times New Roman" w:hAnsi="Times New Roman" w:cs="Times New Roman"/>
          <w:sz w:val="24"/>
          <w:szCs w:val="24"/>
        </w:rPr>
        <w:t xml:space="preserve">  </w:t>
      </w:r>
      <w:r w:rsidR="00436EB7" w:rsidRPr="00436EB7">
        <w:rPr>
          <w:rFonts w:ascii="Times New Roman" w:hAnsi="Times New Roman" w:cs="Times New Roman"/>
          <w:sz w:val="24"/>
          <w:szCs w:val="24"/>
        </w:rPr>
        <w:t>3226.83</w:t>
      </w:r>
      <w:r w:rsidR="00436EB7">
        <w:rPr>
          <w:rFonts w:ascii="Times New Roman" w:hAnsi="Times New Roman" w:cs="Times New Roman"/>
          <w:sz w:val="24"/>
          <w:szCs w:val="24"/>
        </w:rPr>
        <w:t>.</w:t>
      </w:r>
      <w:proofErr w:type="gramEnd"/>
      <w:r w:rsidR="00436EB7">
        <w:rPr>
          <w:rFonts w:ascii="Times New Roman" w:hAnsi="Times New Roman" w:cs="Times New Roman"/>
          <w:sz w:val="24"/>
          <w:szCs w:val="24"/>
        </w:rPr>
        <w:t xml:space="preserve">  </w:t>
      </w:r>
    </w:p>
    <w:p w14:paraId="3B62C332" w14:textId="77777777" w:rsidR="00B53B03" w:rsidRPr="00B53B03" w:rsidRDefault="00B53B03" w:rsidP="003309EE">
      <w:pPr>
        <w:spacing w:line="480" w:lineRule="auto"/>
        <w:rPr>
          <w:rFonts w:ascii="Times New Roman" w:hAnsi="Times New Roman" w:cs="Times New Roman"/>
          <w:b/>
          <w:bCs/>
          <w:sz w:val="24"/>
          <w:szCs w:val="24"/>
        </w:rPr>
      </w:pPr>
    </w:p>
    <w:p w14:paraId="0FB0D5FF" w14:textId="77777777" w:rsidR="00E71DE6" w:rsidRPr="00652423" w:rsidRDefault="00E71DE6" w:rsidP="003309EE">
      <w:pPr>
        <w:spacing w:line="480" w:lineRule="auto"/>
        <w:rPr>
          <w:rFonts w:ascii="Times New Roman" w:hAnsi="Times New Roman" w:cs="Times New Roman"/>
          <w:sz w:val="24"/>
          <w:szCs w:val="24"/>
        </w:rPr>
      </w:pPr>
    </w:p>
    <w:p w14:paraId="2034D6E5" w14:textId="77777777" w:rsidR="003309EE" w:rsidRPr="000D28EB" w:rsidRDefault="003309EE" w:rsidP="003A08B7">
      <w:pPr>
        <w:spacing w:line="480" w:lineRule="auto"/>
        <w:rPr>
          <w:rFonts w:ascii="Times New Roman" w:hAnsi="Times New Roman" w:cs="Times New Roman"/>
          <w:b/>
          <w:bCs/>
          <w:sz w:val="24"/>
          <w:szCs w:val="24"/>
        </w:rPr>
      </w:pPr>
    </w:p>
    <w:p w14:paraId="305D2848" w14:textId="77777777" w:rsidR="000D28EB" w:rsidRDefault="000D28EB" w:rsidP="003A08B7">
      <w:pPr>
        <w:spacing w:line="480" w:lineRule="auto"/>
        <w:rPr>
          <w:rFonts w:ascii="Times New Roman" w:hAnsi="Times New Roman" w:cs="Times New Roman"/>
          <w:b/>
          <w:bCs/>
          <w:sz w:val="24"/>
          <w:szCs w:val="24"/>
        </w:rPr>
      </w:pPr>
    </w:p>
    <w:p w14:paraId="6B7C43DF" w14:textId="77777777" w:rsidR="00D077BA" w:rsidRDefault="00D077BA" w:rsidP="003A08B7">
      <w:pPr>
        <w:spacing w:line="480" w:lineRule="auto"/>
        <w:rPr>
          <w:rFonts w:ascii="Times New Roman" w:hAnsi="Times New Roman" w:cs="Times New Roman"/>
          <w:b/>
          <w:bCs/>
          <w:sz w:val="24"/>
          <w:szCs w:val="24"/>
        </w:rPr>
      </w:pPr>
    </w:p>
    <w:p w14:paraId="66E5B2D9" w14:textId="77777777" w:rsidR="00D077BA" w:rsidRPr="00D077BA" w:rsidRDefault="00D077BA" w:rsidP="003A08B7">
      <w:pPr>
        <w:spacing w:line="480" w:lineRule="auto"/>
        <w:rPr>
          <w:rFonts w:ascii="Times New Roman" w:hAnsi="Times New Roman" w:cs="Times New Roman"/>
          <w:b/>
          <w:bCs/>
          <w:sz w:val="24"/>
          <w:szCs w:val="24"/>
        </w:rPr>
      </w:pPr>
    </w:p>
    <w:p w14:paraId="16A45FE0" w14:textId="77777777" w:rsidR="00793F08" w:rsidRDefault="00793F08" w:rsidP="00793F08">
      <w:pPr>
        <w:spacing w:line="480" w:lineRule="auto"/>
        <w:rPr>
          <w:rFonts w:ascii="Times New Roman" w:hAnsi="Times New Roman" w:cs="Times New Roman"/>
          <w:sz w:val="24"/>
          <w:szCs w:val="24"/>
        </w:rPr>
      </w:pPr>
    </w:p>
    <w:p w14:paraId="7D188A65" w14:textId="61809028" w:rsidR="00793F08" w:rsidRDefault="00793F08" w:rsidP="00793F08">
      <w:pPr>
        <w:spacing w:line="480" w:lineRule="auto"/>
        <w:rPr>
          <w:rFonts w:ascii="Times New Roman" w:hAnsi="Times New Roman" w:cs="Times New Roman"/>
          <w:sz w:val="24"/>
          <w:szCs w:val="24"/>
        </w:rPr>
      </w:pPr>
      <w:r>
        <w:rPr>
          <w:rFonts w:ascii="Times New Roman" w:hAnsi="Times New Roman" w:cs="Times New Roman"/>
          <w:sz w:val="24"/>
          <w:szCs w:val="24"/>
        </w:rPr>
        <w:t xml:space="preserve">References </w:t>
      </w:r>
    </w:p>
    <w:p w14:paraId="157E2172" w14:textId="22D5E164" w:rsidR="003E7D48" w:rsidRDefault="003E7D48" w:rsidP="00793F08">
      <w:pPr>
        <w:spacing w:line="480" w:lineRule="auto"/>
        <w:rPr>
          <w:rFonts w:ascii="Times New Roman" w:hAnsi="Times New Roman" w:cs="Times New Roman"/>
          <w:sz w:val="24"/>
          <w:szCs w:val="24"/>
        </w:rPr>
      </w:pPr>
      <w:r w:rsidRPr="003D3142">
        <w:rPr>
          <w:rFonts w:ascii="Times New Roman" w:hAnsi="Times New Roman" w:cs="Times New Roman"/>
          <w:sz w:val="24"/>
          <w:szCs w:val="24"/>
        </w:rPr>
        <w:t xml:space="preserve">American Airlines, Inc. (2014). </w:t>
      </w:r>
      <w:r w:rsidRPr="003D3142">
        <w:rPr>
          <w:rFonts w:ascii="Times New Roman" w:hAnsi="Times New Roman" w:cs="Times New Roman"/>
          <w:i/>
          <w:iCs/>
          <w:sz w:val="24"/>
          <w:szCs w:val="24"/>
        </w:rPr>
        <w:t>AA- 10K- 2012.12.31</w:t>
      </w:r>
      <w:r w:rsidRPr="003D3142">
        <w:rPr>
          <w:rFonts w:ascii="Times New Roman" w:hAnsi="Times New Roman" w:cs="Times New Roman"/>
          <w:sz w:val="24"/>
          <w:szCs w:val="24"/>
        </w:rPr>
        <w:t xml:space="preserve">. Sec.gov. </w:t>
      </w:r>
      <w:hyperlink r:id="rId17" w:history="1">
        <w:r w:rsidRPr="003D3142">
          <w:rPr>
            <w:rStyle w:val="Hyperlink"/>
            <w:rFonts w:ascii="Times New Roman" w:hAnsi="Times New Roman" w:cs="Times New Roman"/>
            <w:sz w:val="24"/>
            <w:szCs w:val="24"/>
          </w:rPr>
          <w:t>https://www.sec.gov/Archives/edgar/data/4515/000000451513000022/aa-10kx20121231.htm</w:t>
        </w:r>
      </w:hyperlink>
    </w:p>
    <w:p w14:paraId="28AB8F00" w14:textId="5899B755" w:rsidR="003C1B7B" w:rsidRDefault="003C1B7B" w:rsidP="00793F08">
      <w:pPr>
        <w:spacing w:line="480" w:lineRule="auto"/>
        <w:rPr>
          <w:rFonts w:ascii="Times New Roman" w:hAnsi="Times New Roman" w:cs="Times New Roman"/>
          <w:sz w:val="24"/>
          <w:szCs w:val="24"/>
        </w:rPr>
      </w:pPr>
      <w:r w:rsidRPr="00D2314F">
        <w:rPr>
          <w:rFonts w:ascii="Times New Roman" w:hAnsi="Times New Roman" w:cs="Times New Roman"/>
          <w:sz w:val="24"/>
          <w:szCs w:val="24"/>
        </w:rPr>
        <w:t xml:space="preserve">Bureau of Transportation Statistics (BTS). (2012). Air Carrier Statistics (Form 41 Traffic) - T-100 Domestic Segment (All Carriers). U.S. Department of Transportation. Retrieved from </w:t>
      </w:r>
      <w:hyperlink r:id="rId18" w:history="1">
        <w:r w:rsidRPr="001101D6">
          <w:rPr>
            <w:rStyle w:val="Hyperlink"/>
            <w:rFonts w:ascii="Times New Roman" w:hAnsi="Times New Roman" w:cs="Times New Roman"/>
            <w:sz w:val="24"/>
            <w:szCs w:val="24"/>
          </w:rPr>
          <w:t>https://www.transtats.bts.gov</w:t>
        </w:r>
      </w:hyperlink>
    </w:p>
    <w:p w14:paraId="447CF555" w14:textId="7AB7C849" w:rsidR="009A2AFF" w:rsidRDefault="009A2AFF" w:rsidP="00793F08">
      <w:pPr>
        <w:spacing w:line="480" w:lineRule="auto"/>
        <w:rPr>
          <w:rFonts w:ascii="Times New Roman" w:hAnsi="Times New Roman" w:cs="Times New Roman"/>
          <w:sz w:val="24"/>
          <w:szCs w:val="24"/>
        </w:rPr>
      </w:pPr>
      <w:r w:rsidRPr="009A2AFF">
        <w:rPr>
          <w:rFonts w:ascii="Times New Roman" w:hAnsi="Times New Roman" w:cs="Times New Roman"/>
          <w:sz w:val="24"/>
          <w:szCs w:val="24"/>
        </w:rPr>
        <w:t xml:space="preserve">Bontemps, C., Remmy, B., &amp; Wei, Z. (2020). </w:t>
      </w:r>
      <w:r w:rsidRPr="009A2AFF">
        <w:rPr>
          <w:rFonts w:ascii="Times New Roman" w:hAnsi="Times New Roman" w:cs="Times New Roman"/>
          <w:i/>
          <w:iCs/>
          <w:sz w:val="24"/>
          <w:szCs w:val="24"/>
        </w:rPr>
        <w:t>Ex-post evaluation of the American Airlines-US Airways merger: A structural analysis.</w:t>
      </w:r>
      <w:r w:rsidRPr="009A2AFF">
        <w:rPr>
          <w:rFonts w:ascii="Times New Roman" w:hAnsi="Times New Roman" w:cs="Times New Roman"/>
          <w:sz w:val="24"/>
          <w:szCs w:val="24"/>
        </w:rPr>
        <w:t xml:space="preserve"> Retrieved from </w:t>
      </w:r>
      <w:hyperlink r:id="rId19" w:tgtFrame="_new" w:history="1">
        <w:r w:rsidRPr="009A2AFF">
          <w:rPr>
            <w:rStyle w:val="Hyperlink"/>
            <w:rFonts w:ascii="Times New Roman" w:hAnsi="Times New Roman" w:cs="Times New Roman"/>
            <w:sz w:val="24"/>
            <w:szCs w:val="24"/>
          </w:rPr>
          <w:t>https://sites.socsci.uci.edu/~jkbrueck/course%20readings/Bontemps%20et%20al.pdf</w:t>
        </w:r>
      </w:hyperlink>
    </w:p>
    <w:p w14:paraId="569083E7" w14:textId="33C7D7AA" w:rsidR="00BA29A8" w:rsidRDefault="00BA29A8" w:rsidP="00793F08">
      <w:pPr>
        <w:spacing w:line="480" w:lineRule="auto"/>
        <w:rPr>
          <w:rFonts w:ascii="Times New Roman" w:hAnsi="Times New Roman" w:cs="Times New Roman"/>
          <w:sz w:val="24"/>
          <w:szCs w:val="24"/>
        </w:rPr>
      </w:pPr>
      <w:r w:rsidRPr="00BA29A8">
        <w:rPr>
          <w:rFonts w:ascii="Times New Roman" w:hAnsi="Times New Roman" w:cs="Times New Roman"/>
          <w:sz w:val="24"/>
          <w:szCs w:val="24"/>
        </w:rPr>
        <w:t xml:space="preserve">Das, S. (2019). Effect of merger on market price and product quality: American and US Airways. </w:t>
      </w:r>
      <w:r w:rsidRPr="00BA29A8">
        <w:rPr>
          <w:rFonts w:ascii="Times New Roman" w:hAnsi="Times New Roman" w:cs="Times New Roman"/>
          <w:i/>
          <w:iCs/>
          <w:sz w:val="24"/>
          <w:szCs w:val="24"/>
        </w:rPr>
        <w:t>Review of Industrial Organization, 55</w:t>
      </w:r>
      <w:r w:rsidRPr="00BA29A8">
        <w:rPr>
          <w:rFonts w:ascii="Times New Roman" w:hAnsi="Times New Roman" w:cs="Times New Roman"/>
          <w:sz w:val="24"/>
          <w:szCs w:val="24"/>
        </w:rPr>
        <w:t xml:space="preserve">(3), 339–374. </w:t>
      </w:r>
      <w:hyperlink r:id="rId20" w:history="1">
        <w:r w:rsidR="003C1B7B" w:rsidRPr="009949E0">
          <w:rPr>
            <w:rStyle w:val="Hyperlink"/>
            <w:rFonts w:ascii="Times New Roman" w:hAnsi="Times New Roman" w:cs="Times New Roman"/>
            <w:sz w:val="24"/>
            <w:szCs w:val="24"/>
          </w:rPr>
          <w:t>https://doi.org/10.1007/s11151-019-09717-2</w:t>
        </w:r>
      </w:hyperlink>
    </w:p>
    <w:p w14:paraId="7624CB5B" w14:textId="7F321F3A" w:rsidR="003C1B7B" w:rsidRDefault="003C1B7B" w:rsidP="00793F08">
      <w:pPr>
        <w:spacing w:line="480" w:lineRule="auto"/>
        <w:rPr>
          <w:rStyle w:val="Hyperlink"/>
          <w:rFonts w:ascii="Times New Roman" w:hAnsi="Times New Roman" w:cs="Times New Roman"/>
          <w:sz w:val="24"/>
          <w:szCs w:val="24"/>
        </w:rPr>
      </w:pPr>
      <w:r w:rsidRPr="00D2314F">
        <w:rPr>
          <w:rFonts w:ascii="Times New Roman" w:hAnsi="Times New Roman" w:cs="Times New Roman"/>
          <w:sz w:val="24"/>
          <w:szCs w:val="24"/>
        </w:rPr>
        <w:t xml:space="preserve">Federal Aviation Administration (FAA). (2012). Passenger Boarding (Enplanement) and All-Cargo Data for U.S. Airports. Federal Aviation Administration. Retrieved from </w:t>
      </w:r>
      <w:hyperlink r:id="rId21" w:history="1">
        <w:r w:rsidRPr="001101D6">
          <w:rPr>
            <w:rStyle w:val="Hyperlink"/>
            <w:rFonts w:ascii="Times New Roman" w:hAnsi="Times New Roman" w:cs="Times New Roman"/>
            <w:sz w:val="24"/>
            <w:szCs w:val="24"/>
          </w:rPr>
          <w:t>https://www.faa.gov/airports/planning_capacity/passenger_allcargo_stats/passenger/</w:t>
        </w:r>
      </w:hyperlink>
    </w:p>
    <w:p w14:paraId="0BB22BF5" w14:textId="305FB99A" w:rsidR="00702582" w:rsidRDefault="00702582" w:rsidP="00793F08">
      <w:pPr>
        <w:spacing w:line="480" w:lineRule="auto"/>
        <w:rPr>
          <w:rFonts w:ascii="Times New Roman" w:hAnsi="Times New Roman" w:cs="Times New Roman"/>
          <w:sz w:val="24"/>
          <w:szCs w:val="24"/>
        </w:rPr>
      </w:pPr>
      <w:r w:rsidRPr="00702582">
        <w:rPr>
          <w:rFonts w:ascii="Times New Roman" w:hAnsi="Times New Roman" w:cs="Times New Roman"/>
          <w:sz w:val="24"/>
          <w:szCs w:val="24"/>
        </w:rPr>
        <w:t xml:space="preserve">García Saavedra, L. (2017). </w:t>
      </w:r>
      <w:r w:rsidRPr="00702582">
        <w:rPr>
          <w:rFonts w:ascii="Times New Roman" w:hAnsi="Times New Roman" w:cs="Times New Roman"/>
          <w:i/>
          <w:iCs/>
          <w:sz w:val="24"/>
          <w:szCs w:val="24"/>
        </w:rPr>
        <w:t>Modeling and measuring the net revenue impacts of award passengers within current airline revenue management practices</w:t>
      </w:r>
      <w:r w:rsidRPr="00702582">
        <w:rPr>
          <w:rFonts w:ascii="Times New Roman" w:hAnsi="Times New Roman" w:cs="Times New Roman"/>
          <w:sz w:val="24"/>
          <w:szCs w:val="24"/>
        </w:rPr>
        <w:t>. Massachusetts Institute of Technology. Retrieved from https://dspace.mit.edu/handle/1721.1/113516</w:t>
      </w:r>
    </w:p>
    <w:p w14:paraId="27BB68D3" w14:textId="461EDEAC" w:rsidR="00793F08" w:rsidRDefault="00793F08" w:rsidP="00793F08">
      <w:pPr>
        <w:spacing w:line="480" w:lineRule="auto"/>
        <w:rPr>
          <w:rFonts w:ascii="Times New Roman" w:hAnsi="Times New Roman" w:cs="Times New Roman"/>
          <w:sz w:val="24"/>
          <w:szCs w:val="24"/>
        </w:rPr>
      </w:pPr>
      <w:r w:rsidRPr="00793F08">
        <w:rPr>
          <w:rFonts w:ascii="Times New Roman" w:hAnsi="Times New Roman" w:cs="Times New Roman"/>
          <w:sz w:val="24"/>
          <w:szCs w:val="24"/>
        </w:rPr>
        <w:t xml:space="preserve">George Mason Law Review. (2023). Conflict or continuity? An analysis of the 2023 merger guidelines. </w:t>
      </w:r>
      <w:r w:rsidRPr="00793F08">
        <w:rPr>
          <w:rFonts w:ascii="Times New Roman" w:hAnsi="Times New Roman" w:cs="Times New Roman"/>
          <w:i/>
          <w:iCs/>
          <w:sz w:val="24"/>
          <w:szCs w:val="24"/>
        </w:rPr>
        <w:t>George Mason Law Review</w:t>
      </w:r>
      <w:r w:rsidRPr="00793F08">
        <w:rPr>
          <w:rFonts w:ascii="Times New Roman" w:hAnsi="Times New Roman" w:cs="Times New Roman"/>
          <w:sz w:val="24"/>
          <w:szCs w:val="24"/>
        </w:rPr>
        <w:t xml:space="preserve">. Retrieved from </w:t>
      </w:r>
      <w:hyperlink r:id="rId22" w:history="1">
        <w:r w:rsidRPr="006450E5">
          <w:rPr>
            <w:rStyle w:val="Hyperlink"/>
            <w:rFonts w:ascii="Times New Roman" w:hAnsi="Times New Roman" w:cs="Times New Roman"/>
            <w:sz w:val="24"/>
            <w:szCs w:val="24"/>
          </w:rPr>
          <w:t>https://lawreview.gmu.edu/print__issues/conflict-or-continuity-an-analysis-of-the-2023-merger-guidelines/</w:t>
        </w:r>
      </w:hyperlink>
    </w:p>
    <w:p w14:paraId="7C616C02" w14:textId="13AFA11E" w:rsidR="00AC22A2" w:rsidRDefault="00AC22A2" w:rsidP="00793F08">
      <w:pPr>
        <w:spacing w:line="480" w:lineRule="auto"/>
        <w:rPr>
          <w:rStyle w:val="Hyperlink"/>
          <w:rFonts w:ascii="Times New Roman" w:hAnsi="Times New Roman" w:cs="Times New Roman"/>
          <w:sz w:val="24"/>
          <w:szCs w:val="24"/>
        </w:rPr>
      </w:pPr>
      <w:r w:rsidRPr="00AC22A2">
        <w:rPr>
          <w:rFonts w:ascii="Times New Roman" w:hAnsi="Times New Roman" w:cs="Times New Roman"/>
          <w:sz w:val="24"/>
          <w:szCs w:val="24"/>
        </w:rPr>
        <w:t xml:space="preserve">Government Accountability Office. (2013). </w:t>
      </w:r>
      <w:r w:rsidRPr="00AC22A2">
        <w:rPr>
          <w:rFonts w:ascii="Times New Roman" w:hAnsi="Times New Roman" w:cs="Times New Roman"/>
          <w:i/>
          <w:iCs/>
          <w:sz w:val="24"/>
          <w:szCs w:val="24"/>
        </w:rPr>
        <w:t>Airline Mergers: Issues Raised by the Proposed Merger of American Airlines and US Airways</w:t>
      </w:r>
      <w:r w:rsidRPr="00AC22A2">
        <w:rPr>
          <w:rFonts w:ascii="Times New Roman" w:hAnsi="Times New Roman" w:cs="Times New Roman"/>
          <w:sz w:val="24"/>
          <w:szCs w:val="24"/>
        </w:rPr>
        <w:t xml:space="preserve">. Retrieved from </w:t>
      </w:r>
      <w:hyperlink r:id="rId23" w:tgtFrame="_new" w:history="1">
        <w:r w:rsidRPr="00AC22A2">
          <w:rPr>
            <w:rStyle w:val="Hyperlink"/>
            <w:rFonts w:ascii="Times New Roman" w:hAnsi="Times New Roman" w:cs="Times New Roman"/>
            <w:sz w:val="24"/>
            <w:szCs w:val="24"/>
          </w:rPr>
          <w:t>https://www.gao.gov/products/gao-13-403t</w:t>
        </w:r>
      </w:hyperlink>
    </w:p>
    <w:p w14:paraId="1C7DE331" w14:textId="24818D4B" w:rsidR="000F4E97" w:rsidRDefault="000F4E97" w:rsidP="00793F08">
      <w:pPr>
        <w:spacing w:line="480" w:lineRule="auto"/>
        <w:rPr>
          <w:rStyle w:val="Hyperlink"/>
          <w:rFonts w:ascii="Times New Roman" w:hAnsi="Times New Roman" w:cs="Times New Roman"/>
          <w:sz w:val="24"/>
          <w:szCs w:val="24"/>
        </w:rPr>
      </w:pPr>
      <w:r w:rsidRPr="00655209">
        <w:rPr>
          <w:rFonts w:ascii="Times New Roman" w:hAnsi="Times New Roman" w:cs="Times New Roman"/>
          <w:sz w:val="24"/>
          <w:szCs w:val="24"/>
        </w:rPr>
        <w:t xml:space="preserve">Guimaraes, V. F., Soares, D., &amp; Ventura, P. (2021). Predicting missed flight connections in an airline's hub airport. </w:t>
      </w:r>
      <w:proofErr w:type="spellStart"/>
      <w:r w:rsidRPr="00655209">
        <w:rPr>
          <w:rFonts w:ascii="Times New Roman" w:hAnsi="Times New Roman" w:cs="Times New Roman"/>
          <w:i/>
          <w:iCs/>
          <w:sz w:val="24"/>
          <w:szCs w:val="24"/>
        </w:rPr>
        <w:t>arXiv</w:t>
      </w:r>
      <w:proofErr w:type="spellEnd"/>
      <w:r w:rsidRPr="00655209">
        <w:rPr>
          <w:rFonts w:ascii="Times New Roman" w:hAnsi="Times New Roman" w:cs="Times New Roman"/>
          <w:sz w:val="24"/>
          <w:szCs w:val="24"/>
        </w:rPr>
        <w:t xml:space="preserve">. </w:t>
      </w:r>
      <w:hyperlink r:id="rId24" w:tgtFrame="_new" w:history="1">
        <w:r w:rsidRPr="00655209">
          <w:rPr>
            <w:rStyle w:val="Hyperlink"/>
            <w:rFonts w:ascii="Times New Roman" w:hAnsi="Times New Roman" w:cs="Times New Roman"/>
            <w:sz w:val="24"/>
            <w:szCs w:val="24"/>
          </w:rPr>
          <w:t>https://arxiv.org/abs/2111.01915</w:t>
        </w:r>
      </w:hyperlink>
    </w:p>
    <w:p w14:paraId="275CD722" w14:textId="2FB5E81A" w:rsidR="003C1B7B" w:rsidRDefault="003C1B7B" w:rsidP="00793F08">
      <w:pPr>
        <w:spacing w:line="480" w:lineRule="auto"/>
        <w:rPr>
          <w:rStyle w:val="Hyperlink"/>
          <w:rFonts w:ascii="Times New Roman" w:hAnsi="Times New Roman" w:cs="Times New Roman"/>
          <w:sz w:val="24"/>
          <w:szCs w:val="24"/>
        </w:rPr>
      </w:pPr>
      <w:r w:rsidRPr="00D2314F">
        <w:rPr>
          <w:rFonts w:ascii="Times New Roman" w:hAnsi="Times New Roman" w:cs="Times New Roman"/>
          <w:sz w:val="24"/>
          <w:szCs w:val="24"/>
        </w:rPr>
        <w:t xml:space="preserve">International Air Transport Association (IATA). (2012). Airline Hub Dominance and Market </w:t>
      </w:r>
      <w:r>
        <w:rPr>
          <w:rFonts w:ascii="Times New Roman" w:hAnsi="Times New Roman" w:cs="Times New Roman"/>
          <w:sz w:val="24"/>
          <w:szCs w:val="24"/>
        </w:rPr>
        <w:t>S</w:t>
      </w:r>
      <w:r w:rsidRPr="00D2314F">
        <w:rPr>
          <w:rFonts w:ascii="Times New Roman" w:hAnsi="Times New Roman" w:cs="Times New Roman"/>
          <w:sz w:val="24"/>
          <w:szCs w:val="24"/>
        </w:rPr>
        <w:t xml:space="preserve">hare Analysis. Retrieved from </w:t>
      </w:r>
      <w:hyperlink r:id="rId25" w:history="1">
        <w:r w:rsidRPr="0060671A">
          <w:rPr>
            <w:rStyle w:val="Hyperlink"/>
            <w:rFonts w:ascii="Times New Roman" w:hAnsi="Times New Roman" w:cs="Times New Roman"/>
            <w:sz w:val="24"/>
            <w:szCs w:val="24"/>
          </w:rPr>
          <w:t>https://www.iata.org</w:t>
        </w:r>
      </w:hyperlink>
    </w:p>
    <w:p w14:paraId="4816A04E" w14:textId="0A236937" w:rsidR="00550BDD" w:rsidRDefault="00550BDD" w:rsidP="00793F08">
      <w:pPr>
        <w:spacing w:line="480" w:lineRule="auto"/>
        <w:rPr>
          <w:rFonts w:ascii="Times New Roman" w:hAnsi="Times New Roman" w:cs="Times New Roman"/>
          <w:color w:val="467886" w:themeColor="hyperlink"/>
          <w:sz w:val="24"/>
          <w:szCs w:val="24"/>
          <w:u w:val="single"/>
        </w:rPr>
      </w:pPr>
      <w:r w:rsidRPr="00550BDD">
        <w:rPr>
          <w:rFonts w:ascii="Times New Roman" w:hAnsi="Times New Roman" w:cs="Times New Roman"/>
          <w:color w:val="467886" w:themeColor="hyperlink"/>
          <w:sz w:val="24"/>
          <w:szCs w:val="24"/>
          <w:u w:val="single"/>
        </w:rPr>
        <w:t xml:space="preserve">Kwoka, J. (2015). </w:t>
      </w:r>
      <w:r w:rsidRPr="00550BDD">
        <w:rPr>
          <w:rFonts w:ascii="Times New Roman" w:hAnsi="Times New Roman" w:cs="Times New Roman"/>
          <w:i/>
          <w:iCs/>
          <w:color w:val="467886" w:themeColor="hyperlink"/>
          <w:sz w:val="24"/>
          <w:szCs w:val="24"/>
          <w:u w:val="single"/>
        </w:rPr>
        <w:t>Mergers, Merger Control, and Remedies: A Retrospective Analysis of U.S. Policy</w:t>
      </w:r>
      <w:r w:rsidRPr="00550BDD">
        <w:rPr>
          <w:rFonts w:ascii="Times New Roman" w:hAnsi="Times New Roman" w:cs="Times New Roman"/>
          <w:color w:val="467886" w:themeColor="hyperlink"/>
          <w:sz w:val="24"/>
          <w:szCs w:val="24"/>
          <w:u w:val="single"/>
        </w:rPr>
        <w:t>. Cambridge, MA: MIT Press.</w:t>
      </w:r>
    </w:p>
    <w:p w14:paraId="4A9A20CA" w14:textId="626B4FBA" w:rsidR="003979F9" w:rsidRPr="003979F9" w:rsidRDefault="003979F9" w:rsidP="00793F08">
      <w:pPr>
        <w:spacing w:line="480" w:lineRule="auto"/>
        <w:rPr>
          <w:rStyle w:val="Hyperlink"/>
          <w:rFonts w:ascii="Times New Roman" w:hAnsi="Times New Roman" w:cs="Times New Roman"/>
          <w:sz w:val="24"/>
          <w:szCs w:val="24"/>
        </w:rPr>
      </w:pPr>
      <w:r w:rsidRPr="003979F9">
        <w:rPr>
          <w:rFonts w:ascii="Times New Roman" w:hAnsi="Times New Roman" w:cs="Times New Roman"/>
          <w:sz w:val="24"/>
          <w:szCs w:val="24"/>
        </w:rPr>
        <w:t xml:space="preserve">Manne, G. A., &amp; Stout, K. (2020). </w:t>
      </w:r>
      <w:r w:rsidRPr="003979F9">
        <w:rPr>
          <w:rFonts w:ascii="Times New Roman" w:hAnsi="Times New Roman" w:cs="Times New Roman"/>
          <w:i/>
          <w:iCs/>
          <w:sz w:val="24"/>
          <w:szCs w:val="24"/>
        </w:rPr>
        <w:t xml:space="preserve">The Illogic of a Contract/Merger Equivalency Assumption in </w:t>
      </w:r>
      <w:r w:rsidRPr="003979F9">
        <w:rPr>
          <w:rFonts w:ascii="Times New Roman" w:hAnsi="Times New Roman" w:cs="Times New Roman"/>
          <w:i/>
          <w:iCs/>
          <w:color w:val="000000" w:themeColor="text1"/>
          <w:sz w:val="24"/>
          <w:szCs w:val="24"/>
        </w:rPr>
        <w:t>the Assessment of Vertical Mergers</w:t>
      </w:r>
      <w:r w:rsidRPr="003979F9">
        <w:rPr>
          <w:rFonts w:ascii="Times New Roman" w:hAnsi="Times New Roman" w:cs="Times New Roman"/>
          <w:color w:val="000000" w:themeColor="text1"/>
          <w:sz w:val="24"/>
          <w:szCs w:val="24"/>
        </w:rPr>
        <w:t xml:space="preserve">. International Center for Law &amp; Economics. Retrieved from </w:t>
      </w:r>
      <w:r w:rsidRPr="003979F9">
        <w:rPr>
          <w:rFonts w:ascii="Times New Roman" w:hAnsi="Times New Roman" w:cs="Times New Roman"/>
          <w:color w:val="000000" w:themeColor="text1"/>
          <w:sz w:val="24"/>
          <w:szCs w:val="24"/>
          <w:u w:val="single"/>
        </w:rPr>
        <w:t>https://www.ftc.gov/system/files/attachments/798-draft-vertical-merger-guidelines/icle_-_vmg_draft_comments_0.pdf</w:t>
      </w:r>
    </w:p>
    <w:p w14:paraId="732044D9" w14:textId="6D386B36" w:rsidR="00A856A6" w:rsidRDefault="00A856A6" w:rsidP="00793F08">
      <w:pPr>
        <w:spacing w:line="480" w:lineRule="auto"/>
        <w:rPr>
          <w:rStyle w:val="Hyperlink"/>
          <w:rFonts w:ascii="Times New Roman" w:hAnsi="Times New Roman" w:cs="Times New Roman"/>
          <w:sz w:val="24"/>
          <w:szCs w:val="24"/>
        </w:rPr>
      </w:pPr>
      <w:r w:rsidRPr="00A856A6">
        <w:rPr>
          <w:rFonts w:ascii="Times New Roman" w:hAnsi="Times New Roman" w:cs="Times New Roman"/>
          <w:sz w:val="24"/>
          <w:szCs w:val="24"/>
        </w:rPr>
        <w:t xml:space="preserve">Melamed, A. D. (2020). Antitrust law and its critics. Antitrust Law Journal, 83(1), 269–312. Retrieved from </w:t>
      </w:r>
      <w:hyperlink r:id="rId26" w:history="1">
        <w:r w:rsidR="00BA29A8" w:rsidRPr="001C51A0">
          <w:rPr>
            <w:rStyle w:val="Hyperlink"/>
            <w:rFonts w:ascii="Times New Roman" w:hAnsi="Times New Roman" w:cs="Times New Roman"/>
            <w:sz w:val="24"/>
            <w:szCs w:val="24"/>
          </w:rPr>
          <w:t>https://law.stanford.edu/wp-content/uploads/2021/11/A.-Douglas-Melamed-Antitrust-Law-and-Its-Critics-83-ANTITRUST-L.J.-269-2020.pdf</w:t>
        </w:r>
      </w:hyperlink>
    </w:p>
    <w:p w14:paraId="4E4F7C94" w14:textId="5A6B2031" w:rsidR="003C1B7B" w:rsidRDefault="003C1B7B" w:rsidP="00793F08">
      <w:pPr>
        <w:spacing w:line="480" w:lineRule="auto"/>
        <w:rPr>
          <w:rFonts w:ascii="Times New Roman" w:hAnsi="Times New Roman" w:cs="Times New Roman"/>
          <w:sz w:val="24"/>
          <w:szCs w:val="24"/>
        </w:rPr>
      </w:pPr>
      <w:r w:rsidRPr="00D2314F">
        <w:rPr>
          <w:rFonts w:ascii="Times New Roman" w:hAnsi="Times New Roman" w:cs="Times New Roman"/>
          <w:sz w:val="24"/>
          <w:szCs w:val="24"/>
        </w:rPr>
        <w:t>MIT Airline Data Project. (2012). Airline Hubs and Traffic Flow Analysis. Retrieved from http://web.mit.edu/airlinedata/www/default.html</w:t>
      </w:r>
    </w:p>
    <w:p w14:paraId="0E574F58" w14:textId="590D1255" w:rsidR="00BA29A8" w:rsidRDefault="00BA29A8" w:rsidP="00793F08">
      <w:pPr>
        <w:spacing w:line="480" w:lineRule="auto"/>
        <w:rPr>
          <w:rStyle w:val="Hyperlink"/>
          <w:rFonts w:ascii="Times New Roman" w:hAnsi="Times New Roman" w:cs="Times New Roman"/>
          <w:sz w:val="24"/>
          <w:szCs w:val="24"/>
        </w:rPr>
      </w:pPr>
      <w:r w:rsidRPr="00BA29A8">
        <w:rPr>
          <w:rFonts w:ascii="Times New Roman" w:hAnsi="Times New Roman" w:cs="Times New Roman"/>
          <w:sz w:val="24"/>
          <w:szCs w:val="24"/>
        </w:rPr>
        <w:lastRenderedPageBreak/>
        <w:t xml:space="preserve">Moss, D. L. (2013). Delivering the benefits? Efficiencies and airline mergers. </w:t>
      </w:r>
      <w:r w:rsidRPr="00BA29A8">
        <w:rPr>
          <w:rFonts w:ascii="Times New Roman" w:hAnsi="Times New Roman" w:cs="Times New Roman"/>
          <w:i/>
          <w:iCs/>
          <w:sz w:val="24"/>
          <w:szCs w:val="24"/>
        </w:rPr>
        <w:t>American Antitrust Institute</w:t>
      </w:r>
      <w:r w:rsidRPr="00BA29A8">
        <w:rPr>
          <w:rFonts w:ascii="Times New Roman" w:hAnsi="Times New Roman" w:cs="Times New Roman"/>
          <w:sz w:val="24"/>
          <w:szCs w:val="24"/>
        </w:rPr>
        <w:t xml:space="preserve">. Retrieved from </w:t>
      </w:r>
      <w:hyperlink r:id="rId27" w:tgtFrame="_new" w:history="1">
        <w:r w:rsidRPr="00BA29A8">
          <w:rPr>
            <w:rStyle w:val="Hyperlink"/>
            <w:rFonts w:ascii="Times New Roman" w:hAnsi="Times New Roman" w:cs="Times New Roman"/>
            <w:sz w:val="24"/>
            <w:szCs w:val="24"/>
          </w:rPr>
          <w:t>https://www.antitrustinstitute.org/wp-content/uploads/2013/12/AAI_USAir-AA_Efficiencies-1.pdf</w:t>
        </w:r>
      </w:hyperlink>
    </w:p>
    <w:p w14:paraId="45FE730D" w14:textId="375AF102" w:rsidR="00702582" w:rsidRDefault="00702582" w:rsidP="00793F08">
      <w:pPr>
        <w:spacing w:line="480" w:lineRule="auto"/>
        <w:rPr>
          <w:rFonts w:ascii="Times New Roman" w:hAnsi="Times New Roman" w:cs="Times New Roman"/>
          <w:sz w:val="24"/>
          <w:szCs w:val="24"/>
        </w:rPr>
      </w:pPr>
      <w:r w:rsidRPr="00702582">
        <w:rPr>
          <w:rFonts w:ascii="Times New Roman" w:hAnsi="Times New Roman" w:cs="Times New Roman"/>
          <w:sz w:val="24"/>
          <w:szCs w:val="24"/>
        </w:rPr>
        <w:t xml:space="preserve">Park, Y. (2020). </w:t>
      </w:r>
      <w:r w:rsidRPr="00702582">
        <w:rPr>
          <w:rFonts w:ascii="Times New Roman" w:hAnsi="Times New Roman" w:cs="Times New Roman"/>
          <w:i/>
          <w:iCs/>
          <w:sz w:val="24"/>
          <w:szCs w:val="24"/>
        </w:rPr>
        <w:t>Structural remedies in network industries: An assessment of slot divestitures in the American Airlines/US Airways merger</w:t>
      </w:r>
      <w:r w:rsidRPr="00702582">
        <w:rPr>
          <w:rFonts w:ascii="Times New Roman" w:hAnsi="Times New Roman" w:cs="Times New Roman"/>
          <w:sz w:val="24"/>
          <w:szCs w:val="24"/>
        </w:rPr>
        <w:t>. Retrieved from https://ssrn.com/abstract=3710262</w:t>
      </w:r>
    </w:p>
    <w:p w14:paraId="42B28467" w14:textId="214FC027" w:rsidR="00793F08" w:rsidRDefault="00793F08" w:rsidP="00793F08">
      <w:pPr>
        <w:spacing w:line="480" w:lineRule="auto"/>
        <w:rPr>
          <w:rFonts w:ascii="Times New Roman" w:hAnsi="Times New Roman" w:cs="Times New Roman"/>
          <w:sz w:val="24"/>
          <w:szCs w:val="24"/>
        </w:rPr>
      </w:pPr>
      <w:r w:rsidRPr="00793F08">
        <w:rPr>
          <w:rFonts w:ascii="Times New Roman" w:hAnsi="Times New Roman" w:cs="Times New Roman"/>
          <w:sz w:val="24"/>
          <w:szCs w:val="24"/>
        </w:rPr>
        <w:t xml:space="preserve">Peters, C. T., &amp; Wilder, J. M. (2021). Ten years of the 2010 HMG: A perspective from the Department of Justice. </w:t>
      </w:r>
      <w:r w:rsidRPr="00793F08">
        <w:rPr>
          <w:rFonts w:ascii="Times New Roman" w:hAnsi="Times New Roman" w:cs="Times New Roman"/>
          <w:i/>
          <w:iCs/>
          <w:sz w:val="24"/>
          <w:szCs w:val="24"/>
        </w:rPr>
        <w:t>Review of Industrial Organization</w:t>
      </w:r>
      <w:r w:rsidRPr="00793F08">
        <w:rPr>
          <w:rFonts w:ascii="Times New Roman" w:hAnsi="Times New Roman" w:cs="Times New Roman"/>
          <w:sz w:val="24"/>
          <w:szCs w:val="24"/>
        </w:rPr>
        <w:t xml:space="preserve">, 58(1), 13–31. </w:t>
      </w:r>
      <w:hyperlink r:id="rId28" w:history="1">
        <w:r w:rsidR="003D38BD" w:rsidRPr="001C51A0">
          <w:rPr>
            <w:rStyle w:val="Hyperlink"/>
            <w:rFonts w:ascii="Times New Roman" w:hAnsi="Times New Roman" w:cs="Times New Roman"/>
            <w:sz w:val="24"/>
            <w:szCs w:val="24"/>
          </w:rPr>
          <w:t>https://doi.org/10.1007/s11151-020-09799-3</w:t>
        </w:r>
      </w:hyperlink>
    </w:p>
    <w:p w14:paraId="39257B30" w14:textId="63759E6E" w:rsidR="003D38BD" w:rsidRDefault="003D38BD" w:rsidP="00793F08">
      <w:pPr>
        <w:spacing w:line="480" w:lineRule="auto"/>
        <w:rPr>
          <w:rStyle w:val="Hyperlink"/>
          <w:rFonts w:ascii="Times New Roman" w:hAnsi="Times New Roman" w:cs="Times New Roman"/>
          <w:sz w:val="24"/>
          <w:szCs w:val="24"/>
        </w:rPr>
      </w:pPr>
      <w:r w:rsidRPr="003D38BD">
        <w:rPr>
          <w:rFonts w:ascii="Times New Roman" w:hAnsi="Times New Roman" w:cs="Times New Roman"/>
          <w:sz w:val="24"/>
          <w:szCs w:val="24"/>
        </w:rPr>
        <w:t xml:space="preserve">Prince, J. T., &amp; Simon, D. H. (2015). The impact of mergers on quality provision: Evidence from the airline industry. </w:t>
      </w:r>
      <w:r w:rsidRPr="003D38BD">
        <w:rPr>
          <w:rFonts w:ascii="Times New Roman" w:hAnsi="Times New Roman" w:cs="Times New Roman"/>
          <w:i/>
          <w:iCs/>
          <w:sz w:val="24"/>
          <w:szCs w:val="24"/>
        </w:rPr>
        <w:t>Journal of Economics &amp; Management Strategy, 24</w:t>
      </w:r>
      <w:r w:rsidRPr="003D38BD">
        <w:rPr>
          <w:rFonts w:ascii="Times New Roman" w:hAnsi="Times New Roman" w:cs="Times New Roman"/>
          <w:sz w:val="24"/>
          <w:szCs w:val="24"/>
        </w:rPr>
        <w:t xml:space="preserve">(1), 23-47. </w:t>
      </w:r>
      <w:hyperlink r:id="rId29" w:tgtFrame="_new" w:history="1">
        <w:r w:rsidRPr="003D38BD">
          <w:rPr>
            <w:rStyle w:val="Hyperlink"/>
            <w:rFonts w:ascii="Times New Roman" w:hAnsi="Times New Roman" w:cs="Times New Roman"/>
            <w:sz w:val="24"/>
            <w:szCs w:val="24"/>
          </w:rPr>
          <w:t>https://doi.org/10.1111/jems.12095</w:t>
        </w:r>
      </w:hyperlink>
    </w:p>
    <w:p w14:paraId="618FB450" w14:textId="4AF5F039" w:rsidR="005B0230" w:rsidRDefault="005B0230" w:rsidP="00793F08">
      <w:pPr>
        <w:spacing w:line="480" w:lineRule="auto"/>
        <w:rPr>
          <w:rFonts w:ascii="Times New Roman" w:hAnsi="Times New Roman" w:cs="Times New Roman"/>
          <w:sz w:val="24"/>
          <w:szCs w:val="24"/>
        </w:rPr>
      </w:pPr>
      <w:r w:rsidRPr="005B0230">
        <w:rPr>
          <w:rFonts w:ascii="Times New Roman" w:hAnsi="Times New Roman" w:cs="Times New Roman"/>
          <w:sz w:val="24"/>
          <w:szCs w:val="24"/>
        </w:rPr>
        <w:t xml:space="preserve">Remer, M., &amp; </w:t>
      </w:r>
      <w:proofErr w:type="spellStart"/>
      <w:r w:rsidRPr="005B0230">
        <w:rPr>
          <w:rFonts w:ascii="Times New Roman" w:hAnsi="Times New Roman" w:cs="Times New Roman"/>
          <w:sz w:val="24"/>
          <w:szCs w:val="24"/>
        </w:rPr>
        <w:t>Orchinik</w:t>
      </w:r>
      <w:proofErr w:type="spellEnd"/>
      <w:r w:rsidRPr="005B0230">
        <w:rPr>
          <w:rFonts w:ascii="Times New Roman" w:hAnsi="Times New Roman" w:cs="Times New Roman"/>
          <w:sz w:val="24"/>
          <w:szCs w:val="24"/>
        </w:rPr>
        <w:t xml:space="preserve">, R. (2024). </w:t>
      </w:r>
      <w:r w:rsidRPr="005B0230">
        <w:rPr>
          <w:rFonts w:ascii="Times New Roman" w:hAnsi="Times New Roman" w:cs="Times New Roman"/>
          <w:i/>
          <w:iCs/>
          <w:sz w:val="24"/>
          <w:szCs w:val="24"/>
        </w:rPr>
        <w:t>Multimarket contact and prices: Evidence from an airline merger wave</w:t>
      </w:r>
      <w:r w:rsidRPr="005B0230">
        <w:rPr>
          <w:rFonts w:ascii="Times New Roman" w:hAnsi="Times New Roman" w:cs="Times New Roman"/>
          <w:sz w:val="24"/>
          <w:szCs w:val="24"/>
        </w:rPr>
        <w:t xml:space="preserve">. Haverford College. Retrieved from </w:t>
      </w:r>
      <w:hyperlink r:id="rId30" w:tgtFrame="_new" w:history="1">
        <w:r w:rsidRPr="005B0230">
          <w:rPr>
            <w:rStyle w:val="Hyperlink"/>
            <w:rFonts w:ascii="Times New Roman" w:hAnsi="Times New Roman" w:cs="Times New Roman"/>
            <w:sz w:val="24"/>
            <w:szCs w:val="24"/>
          </w:rPr>
          <w:t>https://www.haverford.edu/sites/default/files/Department/Economics/Remer-Orchinik-Airlines-01-31-2024-.pdf</w:t>
        </w:r>
      </w:hyperlink>
    </w:p>
    <w:p w14:paraId="396683C0" w14:textId="3262B4AC" w:rsidR="00793F08" w:rsidRDefault="00793F08" w:rsidP="00793F08">
      <w:pPr>
        <w:spacing w:line="480" w:lineRule="auto"/>
        <w:rPr>
          <w:rFonts w:ascii="Times New Roman" w:hAnsi="Times New Roman" w:cs="Times New Roman"/>
          <w:sz w:val="24"/>
          <w:szCs w:val="24"/>
        </w:rPr>
      </w:pPr>
      <w:r w:rsidRPr="00793F08">
        <w:rPr>
          <w:rFonts w:ascii="Times New Roman" w:hAnsi="Times New Roman" w:cs="Times New Roman"/>
          <w:sz w:val="24"/>
          <w:szCs w:val="24"/>
        </w:rPr>
        <w:t xml:space="preserve">Salop, S. C., &amp; Culley, D. P. (2020). </w:t>
      </w:r>
      <w:r w:rsidRPr="00793F08">
        <w:rPr>
          <w:rFonts w:ascii="Times New Roman" w:hAnsi="Times New Roman" w:cs="Times New Roman"/>
          <w:i/>
          <w:iCs/>
          <w:sz w:val="24"/>
          <w:szCs w:val="24"/>
        </w:rPr>
        <w:t>Vertical merger enforcement actions: 1994–April 2020</w:t>
      </w:r>
      <w:r w:rsidRPr="00793F08">
        <w:rPr>
          <w:rFonts w:ascii="Times New Roman" w:hAnsi="Times New Roman" w:cs="Times New Roman"/>
          <w:sz w:val="24"/>
          <w:szCs w:val="24"/>
        </w:rPr>
        <w:t xml:space="preserve">. Georgetown Law Faculty Publications and Other Works, 1529. Retrieved from </w:t>
      </w:r>
      <w:hyperlink r:id="rId31" w:tgtFrame="_new" w:history="1">
        <w:r w:rsidRPr="00793F08">
          <w:rPr>
            <w:rStyle w:val="Hyperlink"/>
            <w:rFonts w:ascii="Times New Roman" w:hAnsi="Times New Roman" w:cs="Times New Roman"/>
            <w:sz w:val="24"/>
            <w:szCs w:val="24"/>
          </w:rPr>
          <w:t>https://scholarship.law.georgetown.edu/facpub/1529/</w:t>
        </w:r>
      </w:hyperlink>
    </w:p>
    <w:p w14:paraId="2A2BE546" w14:textId="35B932BA" w:rsidR="006523A8" w:rsidRPr="006523A8" w:rsidRDefault="00AC22A2" w:rsidP="00793F08">
      <w:pPr>
        <w:spacing w:line="480" w:lineRule="auto"/>
        <w:rPr>
          <w:rFonts w:ascii="Times New Roman" w:hAnsi="Times New Roman" w:cs="Times New Roman"/>
          <w:color w:val="467886" w:themeColor="hyperlink"/>
          <w:sz w:val="24"/>
          <w:szCs w:val="24"/>
          <w:u w:val="single"/>
        </w:rPr>
      </w:pPr>
      <w:r w:rsidRPr="00AC22A2">
        <w:rPr>
          <w:rFonts w:ascii="Times New Roman" w:hAnsi="Times New Roman" w:cs="Times New Roman"/>
          <w:sz w:val="24"/>
          <w:szCs w:val="24"/>
        </w:rPr>
        <w:t xml:space="preserve">Turner, D. (2022). </w:t>
      </w:r>
      <w:r w:rsidRPr="00AC22A2">
        <w:rPr>
          <w:rFonts w:ascii="Times New Roman" w:hAnsi="Times New Roman" w:cs="Times New Roman"/>
          <w:i/>
          <w:iCs/>
          <w:sz w:val="24"/>
          <w:szCs w:val="24"/>
        </w:rPr>
        <w:t>Coordinated Effects in the American Airlines-US Airways Merger</w:t>
      </w:r>
      <w:r w:rsidRPr="00AC22A2">
        <w:rPr>
          <w:rFonts w:ascii="Times New Roman" w:hAnsi="Times New Roman" w:cs="Times New Roman"/>
          <w:sz w:val="24"/>
          <w:szCs w:val="24"/>
        </w:rPr>
        <w:t xml:space="preserve">. SSRN. Retrieved from </w:t>
      </w:r>
      <w:hyperlink r:id="rId32" w:tgtFrame="_new" w:history="1">
        <w:r w:rsidRPr="00AC22A2">
          <w:rPr>
            <w:rStyle w:val="Hyperlink"/>
            <w:rFonts w:ascii="Times New Roman" w:hAnsi="Times New Roman" w:cs="Times New Roman"/>
            <w:sz w:val="24"/>
            <w:szCs w:val="24"/>
          </w:rPr>
          <w:t>https://papers.ssrn.com/sol3/papers.cfm?abstract_id=3917112</w:t>
        </w:r>
      </w:hyperlink>
    </w:p>
    <w:p w14:paraId="70AFAD9E" w14:textId="77777777" w:rsidR="00403DED" w:rsidRDefault="003D6F35" w:rsidP="003254C0">
      <w:pPr>
        <w:spacing w:line="480" w:lineRule="auto"/>
        <w:rPr>
          <w:rFonts w:ascii="Times New Roman" w:hAnsi="Times New Roman" w:cs="Times New Roman"/>
          <w:sz w:val="24"/>
          <w:szCs w:val="24"/>
        </w:rPr>
      </w:pPr>
      <w:r w:rsidRPr="003D6F35">
        <w:rPr>
          <w:rFonts w:ascii="Times New Roman" w:hAnsi="Times New Roman" w:cs="Times New Roman"/>
          <w:sz w:val="24"/>
          <w:szCs w:val="24"/>
        </w:rPr>
        <w:lastRenderedPageBreak/>
        <w:t xml:space="preserve">Wharff, M. (2023). </w:t>
      </w:r>
      <w:r w:rsidRPr="003D6F35">
        <w:rPr>
          <w:rFonts w:ascii="Times New Roman" w:hAnsi="Times New Roman" w:cs="Times New Roman"/>
          <w:i/>
          <w:iCs/>
          <w:sz w:val="24"/>
          <w:szCs w:val="24"/>
        </w:rPr>
        <w:t>Taking Off or Turbulence? An Empirical Analysis of The U.S. Airways and American Airlines Merger</w:t>
      </w:r>
      <w:r w:rsidRPr="003D6F35">
        <w:rPr>
          <w:rFonts w:ascii="Times New Roman" w:hAnsi="Times New Roman" w:cs="Times New Roman"/>
          <w:sz w:val="24"/>
          <w:szCs w:val="24"/>
        </w:rPr>
        <w:t xml:space="preserve">. American University. Retrieved from </w:t>
      </w:r>
      <w:hyperlink r:id="rId33" w:tgtFrame="_new" w:history="1">
        <w:r w:rsidRPr="003D6F35">
          <w:rPr>
            <w:rStyle w:val="Hyperlink"/>
            <w:rFonts w:ascii="Times New Roman" w:hAnsi="Times New Roman" w:cs="Times New Roman"/>
            <w:sz w:val="24"/>
            <w:szCs w:val="24"/>
          </w:rPr>
          <w:t>https://aura.american.edu/articles/preprint/Taking_Off_or_Turbulence_An_Empirical_Analysis_of_The_U_S_Airways_and_American_Airlines_Merger/24053274</w:t>
        </w:r>
      </w:hyperlink>
      <w:r w:rsidR="003254C0" w:rsidRPr="003254C0">
        <w:rPr>
          <w:rFonts w:ascii="Times New Roman" w:hAnsi="Times New Roman" w:cs="Times New Roman"/>
          <w:sz w:val="24"/>
          <w:szCs w:val="24"/>
        </w:rPr>
        <w:t xml:space="preserve"> </w:t>
      </w:r>
    </w:p>
    <w:p w14:paraId="3BFA95F2" w14:textId="175730BF" w:rsidR="006523A8" w:rsidRDefault="006523A8" w:rsidP="003254C0">
      <w:pPr>
        <w:spacing w:line="480" w:lineRule="auto"/>
        <w:rPr>
          <w:rFonts w:ascii="Times New Roman" w:hAnsi="Times New Roman" w:cs="Times New Roman"/>
          <w:sz w:val="24"/>
          <w:szCs w:val="24"/>
        </w:rPr>
      </w:pPr>
      <w:r w:rsidRPr="006523A8">
        <w:rPr>
          <w:rFonts w:ascii="Times New Roman" w:hAnsi="Times New Roman" w:cs="Times New Roman"/>
          <w:sz w:val="24"/>
          <w:szCs w:val="24"/>
        </w:rPr>
        <w:t xml:space="preserve">Wittman, M. D., &amp; </w:t>
      </w:r>
      <w:proofErr w:type="spellStart"/>
      <w:r w:rsidRPr="006523A8">
        <w:rPr>
          <w:rFonts w:ascii="Times New Roman" w:hAnsi="Times New Roman" w:cs="Times New Roman"/>
          <w:sz w:val="24"/>
          <w:szCs w:val="24"/>
        </w:rPr>
        <w:t>Belobaba</w:t>
      </w:r>
      <w:proofErr w:type="spellEnd"/>
      <w:r w:rsidRPr="006523A8">
        <w:rPr>
          <w:rFonts w:ascii="Times New Roman" w:hAnsi="Times New Roman" w:cs="Times New Roman"/>
          <w:sz w:val="24"/>
          <w:szCs w:val="24"/>
        </w:rPr>
        <w:t xml:space="preserve">, P. P. (2018). Dynamic pricing mechanisms for the airline industry: A definitional framework. </w:t>
      </w:r>
      <w:r w:rsidRPr="006523A8">
        <w:rPr>
          <w:rFonts w:ascii="Times New Roman" w:hAnsi="Times New Roman" w:cs="Times New Roman"/>
          <w:i/>
          <w:iCs/>
          <w:sz w:val="24"/>
          <w:szCs w:val="24"/>
        </w:rPr>
        <w:t>Journal of Revenue and Pricing Management, 18</w:t>
      </w:r>
      <w:r w:rsidRPr="006523A8">
        <w:rPr>
          <w:rFonts w:ascii="Times New Roman" w:hAnsi="Times New Roman" w:cs="Times New Roman"/>
          <w:sz w:val="24"/>
          <w:szCs w:val="24"/>
        </w:rPr>
        <w:t>(2), 100–106. https://doi.org/10.1057/s41272-018-00162-6</w:t>
      </w:r>
    </w:p>
    <w:p w14:paraId="775A526D" w14:textId="6ADCEFD5" w:rsidR="00E32576" w:rsidRPr="00DE6016" w:rsidRDefault="00E32576" w:rsidP="00E32576">
      <w:pPr>
        <w:spacing w:line="480" w:lineRule="auto"/>
        <w:rPr>
          <w:rFonts w:ascii="Times New Roman" w:hAnsi="Times New Roman" w:cs="Times New Roman"/>
          <w:sz w:val="24"/>
          <w:szCs w:val="24"/>
        </w:rPr>
      </w:pPr>
      <w:r w:rsidRPr="00DE6016">
        <w:rPr>
          <w:rFonts w:ascii="Times New Roman" w:hAnsi="Times New Roman" w:cs="Times New Roman"/>
          <w:sz w:val="24"/>
          <w:szCs w:val="24"/>
        </w:rPr>
        <w:t xml:space="preserve">U.S </w:t>
      </w:r>
      <w:r w:rsidR="003E7D48" w:rsidRPr="00DE6016">
        <w:rPr>
          <w:rFonts w:ascii="Times New Roman" w:hAnsi="Times New Roman" w:cs="Times New Roman"/>
          <w:sz w:val="24"/>
          <w:szCs w:val="24"/>
        </w:rPr>
        <w:t>Airways.</w:t>
      </w:r>
      <w:r w:rsidRPr="00DE6016">
        <w:rPr>
          <w:rFonts w:ascii="Times New Roman" w:hAnsi="Times New Roman" w:cs="Times New Roman"/>
          <w:sz w:val="24"/>
          <w:szCs w:val="24"/>
        </w:rPr>
        <w:t xml:space="preserve"> (2012). </w:t>
      </w:r>
      <w:r w:rsidRPr="00DE6016">
        <w:rPr>
          <w:rFonts w:ascii="Times New Roman" w:hAnsi="Times New Roman" w:cs="Times New Roman"/>
          <w:i/>
          <w:iCs/>
          <w:sz w:val="24"/>
          <w:szCs w:val="24"/>
        </w:rPr>
        <w:t>UNITED STATES SECURITIES AND EXCHANGE COMMISSION Washington, D.C. 20549 Form 10-K</w:t>
      </w:r>
      <w:r w:rsidRPr="00DE6016">
        <w:rPr>
          <w:rFonts w:ascii="Times New Roman" w:hAnsi="Times New Roman" w:cs="Times New Roman"/>
          <w:sz w:val="24"/>
          <w:szCs w:val="24"/>
        </w:rPr>
        <w:t xml:space="preserve">. </w:t>
      </w:r>
      <w:hyperlink r:id="rId34" w:history="1">
        <w:r w:rsidRPr="00A02AFD">
          <w:rPr>
            <w:rStyle w:val="Hyperlink"/>
            <w:rFonts w:ascii="Times New Roman" w:hAnsi="Times New Roman" w:cs="Times New Roman"/>
            <w:sz w:val="24"/>
            <w:szCs w:val="24"/>
          </w:rPr>
          <w:t>https://americanairlines.gcs-web.com/static-files/42ca77e3-9908-4abb-bb54-3f653e4e33c1</w:t>
        </w:r>
      </w:hyperlink>
    </w:p>
    <w:p w14:paraId="1F03FEFF" w14:textId="5F191EF9" w:rsidR="00E32576" w:rsidRDefault="00E32576" w:rsidP="00E32576">
      <w:pPr>
        <w:spacing w:line="480" w:lineRule="auto"/>
        <w:rPr>
          <w:rStyle w:val="Hyperlink"/>
          <w:rFonts w:ascii="Times New Roman" w:hAnsi="Times New Roman" w:cs="Times New Roman"/>
          <w:sz w:val="24"/>
          <w:szCs w:val="24"/>
        </w:rPr>
      </w:pPr>
      <w:r w:rsidRPr="00DE6016">
        <w:rPr>
          <w:rFonts w:ascii="Times New Roman" w:hAnsi="Times New Roman" w:cs="Times New Roman"/>
          <w:sz w:val="24"/>
          <w:szCs w:val="24"/>
        </w:rPr>
        <w:t xml:space="preserve">United </w:t>
      </w:r>
      <w:proofErr w:type="gramStart"/>
      <w:r w:rsidRPr="00DE6016">
        <w:rPr>
          <w:rFonts w:ascii="Times New Roman" w:hAnsi="Times New Roman" w:cs="Times New Roman"/>
          <w:sz w:val="24"/>
          <w:szCs w:val="24"/>
        </w:rPr>
        <w:t>Airlines .</w:t>
      </w:r>
      <w:proofErr w:type="gramEnd"/>
      <w:r w:rsidRPr="00DE6016">
        <w:rPr>
          <w:rFonts w:ascii="Times New Roman" w:hAnsi="Times New Roman" w:cs="Times New Roman"/>
          <w:sz w:val="24"/>
          <w:szCs w:val="24"/>
        </w:rPr>
        <w:t xml:space="preserve"> (2014). </w:t>
      </w:r>
      <w:r w:rsidRPr="00DE6016">
        <w:rPr>
          <w:rFonts w:ascii="Times New Roman" w:hAnsi="Times New Roman" w:cs="Times New Roman"/>
          <w:i/>
          <w:iCs/>
          <w:sz w:val="24"/>
          <w:szCs w:val="24"/>
        </w:rPr>
        <w:t>Form 10-K</w:t>
      </w:r>
      <w:r w:rsidRPr="00DE6016">
        <w:rPr>
          <w:rFonts w:ascii="Times New Roman" w:hAnsi="Times New Roman" w:cs="Times New Roman"/>
          <w:sz w:val="24"/>
          <w:szCs w:val="24"/>
        </w:rPr>
        <w:t xml:space="preserve">. Sec.gov. </w:t>
      </w:r>
      <w:hyperlink r:id="rId35" w:history="1">
        <w:r w:rsidRPr="00DE6016">
          <w:rPr>
            <w:rStyle w:val="Hyperlink"/>
            <w:rFonts w:ascii="Times New Roman" w:hAnsi="Times New Roman" w:cs="Times New Roman"/>
            <w:sz w:val="24"/>
            <w:szCs w:val="24"/>
          </w:rPr>
          <w:t>https://www.sec.gov/Archives/edgar/data/100517/000119312513074391/d436512d10k.htm</w:t>
        </w:r>
      </w:hyperlink>
    </w:p>
    <w:p w14:paraId="3594BDF5" w14:textId="162E24D4" w:rsidR="003E7D48" w:rsidRDefault="003E7D48" w:rsidP="00E32576">
      <w:pPr>
        <w:spacing w:line="480" w:lineRule="auto"/>
        <w:rPr>
          <w:rFonts w:ascii="Times New Roman" w:hAnsi="Times New Roman" w:cs="Times New Roman"/>
          <w:sz w:val="24"/>
          <w:szCs w:val="24"/>
        </w:rPr>
      </w:pPr>
      <w:r w:rsidRPr="003979F9">
        <w:rPr>
          <w:rFonts w:ascii="Times New Roman" w:hAnsi="Times New Roman" w:cs="Times New Roman"/>
          <w:sz w:val="24"/>
          <w:szCs w:val="24"/>
        </w:rPr>
        <w:t xml:space="preserve">United Continental Holdings, Inc. (2014). </w:t>
      </w:r>
      <w:r w:rsidRPr="003979F9">
        <w:rPr>
          <w:rFonts w:ascii="Times New Roman" w:hAnsi="Times New Roman" w:cs="Times New Roman"/>
          <w:i/>
          <w:iCs/>
          <w:sz w:val="24"/>
          <w:szCs w:val="24"/>
        </w:rPr>
        <w:t>10-K</w:t>
      </w:r>
      <w:r w:rsidRPr="003979F9">
        <w:rPr>
          <w:rFonts w:ascii="Times New Roman" w:hAnsi="Times New Roman" w:cs="Times New Roman"/>
          <w:sz w:val="24"/>
          <w:szCs w:val="24"/>
        </w:rPr>
        <w:t xml:space="preserve">. Sec.gov. </w:t>
      </w:r>
      <w:hyperlink r:id="rId36" w:history="1">
        <w:r w:rsidRPr="003979F9">
          <w:rPr>
            <w:rStyle w:val="Hyperlink"/>
            <w:rFonts w:ascii="Times New Roman" w:hAnsi="Times New Roman" w:cs="Times New Roman"/>
            <w:sz w:val="24"/>
            <w:szCs w:val="24"/>
          </w:rPr>
          <w:t>https://www.sec.gov/Archives/edgar/data/100517/000119312515056493/d820060d10k.htm</w:t>
        </w:r>
      </w:hyperlink>
    </w:p>
    <w:p w14:paraId="38486A12" w14:textId="1EA47179" w:rsidR="00403DED" w:rsidRDefault="00403DED" w:rsidP="003254C0">
      <w:pPr>
        <w:spacing w:line="480" w:lineRule="auto"/>
        <w:rPr>
          <w:rFonts w:ascii="Times New Roman" w:hAnsi="Times New Roman" w:cs="Times New Roman"/>
          <w:sz w:val="24"/>
          <w:szCs w:val="24"/>
        </w:rPr>
      </w:pPr>
      <w:r w:rsidRPr="00403DED">
        <w:rPr>
          <w:rFonts w:ascii="Times New Roman" w:hAnsi="Times New Roman" w:cs="Times New Roman"/>
          <w:sz w:val="24"/>
          <w:szCs w:val="24"/>
        </w:rPr>
        <w:t>United States Bureau of Transportation Statistics. (2015). Average domestic airline itinerary fares. Retrieved from https://www.transtats.bts.gov/AverageFare/</w:t>
      </w:r>
      <w:r w:rsidR="003254C0" w:rsidRPr="003254C0">
        <w:rPr>
          <w:rFonts w:ascii="Times New Roman" w:hAnsi="Times New Roman" w:cs="Times New Roman"/>
          <w:sz w:val="24"/>
          <w:szCs w:val="24"/>
        </w:rPr>
        <w:t xml:space="preserve"> </w:t>
      </w:r>
    </w:p>
    <w:p w14:paraId="19053FCB" w14:textId="66C5609E" w:rsidR="00403DED" w:rsidRPr="003254C0" w:rsidRDefault="003254C0" w:rsidP="003254C0">
      <w:pPr>
        <w:spacing w:line="480" w:lineRule="auto"/>
        <w:rPr>
          <w:rFonts w:ascii="Times New Roman" w:hAnsi="Times New Roman" w:cs="Times New Roman"/>
          <w:sz w:val="24"/>
          <w:szCs w:val="24"/>
        </w:rPr>
      </w:pPr>
      <w:r w:rsidRPr="003254C0">
        <w:rPr>
          <w:rFonts w:ascii="Times New Roman" w:hAnsi="Times New Roman" w:cs="Times New Roman"/>
          <w:sz w:val="24"/>
          <w:szCs w:val="24"/>
        </w:rPr>
        <w:t xml:space="preserve">U.S. Department of Justice. (n.d.-a). </w:t>
      </w:r>
      <w:r w:rsidRPr="003254C0">
        <w:rPr>
          <w:rFonts w:ascii="Times New Roman" w:hAnsi="Times New Roman" w:cs="Times New Roman"/>
          <w:i/>
          <w:iCs/>
          <w:sz w:val="24"/>
          <w:szCs w:val="24"/>
        </w:rPr>
        <w:t>DOJ history</w:t>
      </w:r>
      <w:r w:rsidRPr="003254C0">
        <w:rPr>
          <w:rFonts w:ascii="Times New Roman" w:hAnsi="Times New Roman" w:cs="Times New Roman"/>
          <w:sz w:val="24"/>
          <w:szCs w:val="24"/>
        </w:rPr>
        <w:t xml:space="preserve">. Retrieved from </w:t>
      </w:r>
      <w:hyperlink r:id="rId37" w:history="1">
        <w:r w:rsidR="00403DED" w:rsidRPr="00E0237B">
          <w:rPr>
            <w:rStyle w:val="Hyperlink"/>
            <w:rFonts w:ascii="Times New Roman" w:hAnsi="Times New Roman" w:cs="Times New Roman"/>
            <w:sz w:val="24"/>
            <w:szCs w:val="24"/>
          </w:rPr>
          <w:t>https://www.justice.gov/history</w:t>
        </w:r>
      </w:hyperlink>
    </w:p>
    <w:p w14:paraId="35A85E42" w14:textId="2EDA9CC2" w:rsidR="003254C0" w:rsidRPr="003254C0" w:rsidRDefault="003254C0" w:rsidP="003254C0">
      <w:pPr>
        <w:spacing w:line="480" w:lineRule="auto"/>
        <w:rPr>
          <w:rFonts w:ascii="Times New Roman" w:hAnsi="Times New Roman" w:cs="Times New Roman"/>
          <w:sz w:val="24"/>
          <w:szCs w:val="24"/>
        </w:rPr>
      </w:pPr>
      <w:r w:rsidRPr="003254C0">
        <w:rPr>
          <w:rFonts w:ascii="Times New Roman" w:hAnsi="Times New Roman" w:cs="Times New Roman"/>
          <w:sz w:val="24"/>
          <w:szCs w:val="24"/>
        </w:rPr>
        <w:t xml:space="preserve">U.S. Department of Justice. (n.d.-b). </w:t>
      </w:r>
      <w:r w:rsidRPr="003254C0">
        <w:rPr>
          <w:rFonts w:ascii="Times New Roman" w:hAnsi="Times New Roman" w:cs="Times New Roman"/>
          <w:i/>
          <w:iCs/>
          <w:sz w:val="24"/>
          <w:szCs w:val="24"/>
        </w:rPr>
        <w:t>History of the Antitrust Division</w:t>
      </w:r>
      <w:r w:rsidRPr="003254C0">
        <w:rPr>
          <w:rFonts w:ascii="Times New Roman" w:hAnsi="Times New Roman" w:cs="Times New Roman"/>
          <w:sz w:val="24"/>
          <w:szCs w:val="24"/>
        </w:rPr>
        <w:t>. Retrieved from https://www.justice.gov/atr/history-antitrust-division</w:t>
      </w:r>
    </w:p>
    <w:p w14:paraId="3A844FAB" w14:textId="1E843752" w:rsidR="003254C0" w:rsidRDefault="003254C0" w:rsidP="003254C0">
      <w:pPr>
        <w:spacing w:line="480" w:lineRule="auto"/>
        <w:rPr>
          <w:rFonts w:ascii="Times New Roman" w:hAnsi="Times New Roman" w:cs="Times New Roman"/>
          <w:sz w:val="24"/>
          <w:szCs w:val="24"/>
        </w:rPr>
      </w:pPr>
      <w:r w:rsidRPr="003254C0">
        <w:rPr>
          <w:rFonts w:ascii="Times New Roman" w:hAnsi="Times New Roman" w:cs="Times New Roman"/>
          <w:sz w:val="24"/>
          <w:szCs w:val="24"/>
        </w:rPr>
        <w:lastRenderedPageBreak/>
        <w:t xml:space="preserve">U.S. Department of Justice. (n.d.-c). </w:t>
      </w:r>
      <w:r w:rsidRPr="003254C0">
        <w:rPr>
          <w:rFonts w:ascii="Times New Roman" w:hAnsi="Times New Roman" w:cs="Times New Roman"/>
          <w:i/>
          <w:iCs/>
          <w:sz w:val="24"/>
          <w:szCs w:val="24"/>
        </w:rPr>
        <w:t>Organization, mission, and functions manual: Antitrust Division</w:t>
      </w:r>
      <w:r w:rsidRPr="003254C0">
        <w:rPr>
          <w:rFonts w:ascii="Times New Roman" w:hAnsi="Times New Roman" w:cs="Times New Roman"/>
          <w:sz w:val="24"/>
          <w:szCs w:val="24"/>
        </w:rPr>
        <w:t>. Retrieved from https://www.justice.gov/doj/organization-mission-and-functions-manual-antitrust-division</w:t>
      </w:r>
    </w:p>
    <w:p w14:paraId="12BD1B59" w14:textId="2641469B" w:rsidR="00793F08" w:rsidRPr="00793F08" w:rsidRDefault="00793F08" w:rsidP="00793F08">
      <w:pPr>
        <w:spacing w:line="480" w:lineRule="auto"/>
        <w:rPr>
          <w:rFonts w:ascii="Times New Roman" w:hAnsi="Times New Roman" w:cs="Times New Roman"/>
          <w:sz w:val="24"/>
          <w:szCs w:val="24"/>
        </w:rPr>
      </w:pPr>
    </w:p>
    <w:sectPr w:rsidR="00793F08" w:rsidRPr="00793F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02764F"/>
    <w:multiLevelType w:val="multilevel"/>
    <w:tmpl w:val="0A58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007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9BF"/>
    <w:rsid w:val="000666D0"/>
    <w:rsid w:val="000805CA"/>
    <w:rsid w:val="000A67A0"/>
    <w:rsid w:val="000A6A03"/>
    <w:rsid w:val="000D28EB"/>
    <w:rsid w:val="000D4C5C"/>
    <w:rsid w:val="000F4E97"/>
    <w:rsid w:val="000F55A0"/>
    <w:rsid w:val="001256D0"/>
    <w:rsid w:val="001850BD"/>
    <w:rsid w:val="00193F4C"/>
    <w:rsid w:val="001E06A7"/>
    <w:rsid w:val="0022551E"/>
    <w:rsid w:val="00254404"/>
    <w:rsid w:val="002B30E7"/>
    <w:rsid w:val="002B4213"/>
    <w:rsid w:val="002B59BF"/>
    <w:rsid w:val="002C57FD"/>
    <w:rsid w:val="002F2A3A"/>
    <w:rsid w:val="003254C0"/>
    <w:rsid w:val="003309EE"/>
    <w:rsid w:val="003606FC"/>
    <w:rsid w:val="003979F9"/>
    <w:rsid w:val="003A08B7"/>
    <w:rsid w:val="003C1B7B"/>
    <w:rsid w:val="003D3142"/>
    <w:rsid w:val="003D3516"/>
    <w:rsid w:val="003D38BD"/>
    <w:rsid w:val="003D6F35"/>
    <w:rsid w:val="003E7D48"/>
    <w:rsid w:val="003F4D63"/>
    <w:rsid w:val="00403DED"/>
    <w:rsid w:val="00436EB7"/>
    <w:rsid w:val="00463DE3"/>
    <w:rsid w:val="004A550F"/>
    <w:rsid w:val="004B3821"/>
    <w:rsid w:val="004D5DD3"/>
    <w:rsid w:val="004F73AA"/>
    <w:rsid w:val="00514972"/>
    <w:rsid w:val="00523B0E"/>
    <w:rsid w:val="00531008"/>
    <w:rsid w:val="00550BDD"/>
    <w:rsid w:val="0056425F"/>
    <w:rsid w:val="00591A37"/>
    <w:rsid w:val="005B0230"/>
    <w:rsid w:val="005D1D47"/>
    <w:rsid w:val="006523A8"/>
    <w:rsid w:val="00652423"/>
    <w:rsid w:val="006A24C6"/>
    <w:rsid w:val="006A5B91"/>
    <w:rsid w:val="006A6C92"/>
    <w:rsid w:val="00701B7F"/>
    <w:rsid w:val="00702582"/>
    <w:rsid w:val="00703EFE"/>
    <w:rsid w:val="00715A04"/>
    <w:rsid w:val="00745D89"/>
    <w:rsid w:val="00755F9F"/>
    <w:rsid w:val="00774FBF"/>
    <w:rsid w:val="00793F08"/>
    <w:rsid w:val="007D3FC0"/>
    <w:rsid w:val="007E2D6C"/>
    <w:rsid w:val="0083718A"/>
    <w:rsid w:val="00854C39"/>
    <w:rsid w:val="008B2380"/>
    <w:rsid w:val="009338B1"/>
    <w:rsid w:val="00985392"/>
    <w:rsid w:val="009A2AFF"/>
    <w:rsid w:val="009D5858"/>
    <w:rsid w:val="009F3EEB"/>
    <w:rsid w:val="00A103E8"/>
    <w:rsid w:val="00A55483"/>
    <w:rsid w:val="00A856A6"/>
    <w:rsid w:val="00AC22A2"/>
    <w:rsid w:val="00B1001D"/>
    <w:rsid w:val="00B2795A"/>
    <w:rsid w:val="00B53B03"/>
    <w:rsid w:val="00BA29A8"/>
    <w:rsid w:val="00BC05E1"/>
    <w:rsid w:val="00BD46F4"/>
    <w:rsid w:val="00BE2700"/>
    <w:rsid w:val="00C14C23"/>
    <w:rsid w:val="00C20D41"/>
    <w:rsid w:val="00C21C0A"/>
    <w:rsid w:val="00C70054"/>
    <w:rsid w:val="00CB4EB1"/>
    <w:rsid w:val="00D077BA"/>
    <w:rsid w:val="00D64935"/>
    <w:rsid w:val="00D85274"/>
    <w:rsid w:val="00E32576"/>
    <w:rsid w:val="00E71DE6"/>
    <w:rsid w:val="00F01D80"/>
    <w:rsid w:val="00F402FC"/>
    <w:rsid w:val="00F57387"/>
    <w:rsid w:val="00F73505"/>
    <w:rsid w:val="00F77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8BCD5"/>
  <w15:chartTrackingRefBased/>
  <w15:docId w15:val="{53595F95-5350-438B-9AFE-025F4CB89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9BF"/>
    <w:rPr>
      <w:rFonts w:eastAsiaTheme="majorEastAsia" w:cstheme="majorBidi"/>
      <w:color w:val="272727" w:themeColor="text1" w:themeTint="D8"/>
    </w:rPr>
  </w:style>
  <w:style w:type="paragraph" w:styleId="Title">
    <w:name w:val="Title"/>
    <w:basedOn w:val="Normal"/>
    <w:next w:val="Normal"/>
    <w:link w:val="TitleChar"/>
    <w:uiPriority w:val="10"/>
    <w:qFormat/>
    <w:rsid w:val="002B5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9BF"/>
    <w:pPr>
      <w:spacing w:before="160"/>
      <w:jc w:val="center"/>
    </w:pPr>
    <w:rPr>
      <w:i/>
      <w:iCs/>
      <w:color w:val="404040" w:themeColor="text1" w:themeTint="BF"/>
    </w:rPr>
  </w:style>
  <w:style w:type="character" w:customStyle="1" w:styleId="QuoteChar">
    <w:name w:val="Quote Char"/>
    <w:basedOn w:val="DefaultParagraphFont"/>
    <w:link w:val="Quote"/>
    <w:uiPriority w:val="29"/>
    <w:rsid w:val="002B59BF"/>
    <w:rPr>
      <w:i/>
      <w:iCs/>
      <w:color w:val="404040" w:themeColor="text1" w:themeTint="BF"/>
    </w:rPr>
  </w:style>
  <w:style w:type="paragraph" w:styleId="ListParagraph">
    <w:name w:val="List Paragraph"/>
    <w:basedOn w:val="Normal"/>
    <w:uiPriority w:val="34"/>
    <w:qFormat/>
    <w:rsid w:val="002B59BF"/>
    <w:pPr>
      <w:ind w:left="720"/>
      <w:contextualSpacing/>
    </w:pPr>
  </w:style>
  <w:style w:type="character" w:styleId="IntenseEmphasis">
    <w:name w:val="Intense Emphasis"/>
    <w:basedOn w:val="DefaultParagraphFont"/>
    <w:uiPriority w:val="21"/>
    <w:qFormat/>
    <w:rsid w:val="002B59BF"/>
    <w:rPr>
      <w:i/>
      <w:iCs/>
      <w:color w:val="0F4761" w:themeColor="accent1" w:themeShade="BF"/>
    </w:rPr>
  </w:style>
  <w:style w:type="paragraph" w:styleId="IntenseQuote">
    <w:name w:val="Intense Quote"/>
    <w:basedOn w:val="Normal"/>
    <w:next w:val="Normal"/>
    <w:link w:val="IntenseQuoteChar"/>
    <w:uiPriority w:val="30"/>
    <w:qFormat/>
    <w:rsid w:val="002B5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9BF"/>
    <w:rPr>
      <w:i/>
      <w:iCs/>
      <w:color w:val="0F4761" w:themeColor="accent1" w:themeShade="BF"/>
    </w:rPr>
  </w:style>
  <w:style w:type="character" w:styleId="IntenseReference">
    <w:name w:val="Intense Reference"/>
    <w:basedOn w:val="DefaultParagraphFont"/>
    <w:uiPriority w:val="32"/>
    <w:qFormat/>
    <w:rsid w:val="002B59BF"/>
    <w:rPr>
      <w:b/>
      <w:bCs/>
      <w:smallCaps/>
      <w:color w:val="0F4761" w:themeColor="accent1" w:themeShade="BF"/>
      <w:spacing w:val="5"/>
    </w:rPr>
  </w:style>
  <w:style w:type="character" w:styleId="Hyperlink">
    <w:name w:val="Hyperlink"/>
    <w:basedOn w:val="DefaultParagraphFont"/>
    <w:uiPriority w:val="99"/>
    <w:unhideWhenUsed/>
    <w:rsid w:val="00793F08"/>
    <w:rPr>
      <w:color w:val="467886" w:themeColor="hyperlink"/>
      <w:u w:val="single"/>
    </w:rPr>
  </w:style>
  <w:style w:type="character" w:styleId="UnresolvedMention">
    <w:name w:val="Unresolved Mention"/>
    <w:basedOn w:val="DefaultParagraphFont"/>
    <w:uiPriority w:val="99"/>
    <w:semiHidden/>
    <w:unhideWhenUsed/>
    <w:rsid w:val="00793F08"/>
    <w:rPr>
      <w:color w:val="605E5C"/>
      <w:shd w:val="clear" w:color="auto" w:fill="E1DFDD"/>
    </w:rPr>
  </w:style>
  <w:style w:type="character" w:styleId="FollowedHyperlink">
    <w:name w:val="FollowedHyperlink"/>
    <w:basedOn w:val="DefaultParagraphFont"/>
    <w:uiPriority w:val="99"/>
    <w:semiHidden/>
    <w:unhideWhenUsed/>
    <w:rsid w:val="00AC22A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9812081">
      <w:bodyDiv w:val="1"/>
      <w:marLeft w:val="0"/>
      <w:marRight w:val="0"/>
      <w:marTop w:val="0"/>
      <w:marBottom w:val="0"/>
      <w:divBdr>
        <w:top w:val="none" w:sz="0" w:space="0" w:color="auto"/>
        <w:left w:val="none" w:sz="0" w:space="0" w:color="auto"/>
        <w:bottom w:val="none" w:sz="0" w:space="0" w:color="auto"/>
        <w:right w:val="none" w:sz="0" w:space="0" w:color="auto"/>
      </w:divBdr>
    </w:div>
    <w:div w:id="1106194142">
      <w:bodyDiv w:val="1"/>
      <w:marLeft w:val="0"/>
      <w:marRight w:val="0"/>
      <w:marTop w:val="0"/>
      <w:marBottom w:val="0"/>
      <w:divBdr>
        <w:top w:val="none" w:sz="0" w:space="0" w:color="auto"/>
        <w:left w:val="none" w:sz="0" w:space="0" w:color="auto"/>
        <w:bottom w:val="none" w:sz="0" w:space="0" w:color="auto"/>
        <w:right w:val="none" w:sz="0" w:space="0" w:color="auto"/>
      </w:divBdr>
    </w:div>
    <w:div w:id="1541821589">
      <w:bodyDiv w:val="1"/>
      <w:marLeft w:val="0"/>
      <w:marRight w:val="0"/>
      <w:marTop w:val="0"/>
      <w:marBottom w:val="0"/>
      <w:divBdr>
        <w:top w:val="none" w:sz="0" w:space="0" w:color="auto"/>
        <w:left w:val="none" w:sz="0" w:space="0" w:color="auto"/>
        <w:bottom w:val="none" w:sz="0" w:space="0" w:color="auto"/>
        <w:right w:val="none" w:sz="0" w:space="0" w:color="auto"/>
      </w:divBdr>
    </w:div>
    <w:div w:id="1567300303">
      <w:bodyDiv w:val="1"/>
      <w:marLeft w:val="0"/>
      <w:marRight w:val="0"/>
      <w:marTop w:val="0"/>
      <w:marBottom w:val="0"/>
      <w:divBdr>
        <w:top w:val="none" w:sz="0" w:space="0" w:color="auto"/>
        <w:left w:val="none" w:sz="0" w:space="0" w:color="auto"/>
        <w:bottom w:val="none" w:sz="0" w:space="0" w:color="auto"/>
        <w:right w:val="none" w:sz="0" w:space="0" w:color="auto"/>
      </w:divBdr>
    </w:div>
    <w:div w:id="1778401455">
      <w:bodyDiv w:val="1"/>
      <w:marLeft w:val="0"/>
      <w:marRight w:val="0"/>
      <w:marTop w:val="0"/>
      <w:marBottom w:val="0"/>
      <w:divBdr>
        <w:top w:val="none" w:sz="0" w:space="0" w:color="auto"/>
        <w:left w:val="none" w:sz="0" w:space="0" w:color="auto"/>
        <w:bottom w:val="none" w:sz="0" w:space="0" w:color="auto"/>
        <w:right w:val="none" w:sz="0" w:space="0" w:color="auto"/>
      </w:divBdr>
    </w:div>
    <w:div w:id="2105374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www.transtats.bts.gov" TargetMode="External"/><Relationship Id="rId26" Type="http://schemas.openxmlformats.org/officeDocument/2006/relationships/hyperlink" Target="https://law.stanford.edu/wp-content/uploads/2021/11/A.-Douglas-Melamed-Antitrust-Law-and-Its-Critics-83-ANTITRUST-L.J.-269-2020.pdf" TargetMode="External"/><Relationship Id="rId39" Type="http://schemas.openxmlformats.org/officeDocument/2006/relationships/theme" Target="theme/theme1.xml"/><Relationship Id="rId21" Type="http://schemas.openxmlformats.org/officeDocument/2006/relationships/hyperlink" Target="https://www.faa.gov/airports/planning_capacity/passenger_allcargo_stats/passenger/" TargetMode="External"/><Relationship Id="rId34" Type="http://schemas.openxmlformats.org/officeDocument/2006/relationships/hyperlink" Target="https://americanairlines.gcs-web.com/static-files/42ca77e3-9908-4abb-bb54-3f653e4e33c1"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sec.gov/Archives/edgar/data/4515/000000451513000022/aa-10kx20121231.htm" TargetMode="External"/><Relationship Id="rId25" Type="http://schemas.openxmlformats.org/officeDocument/2006/relationships/hyperlink" Target="https://www.iata.org" TargetMode="External"/><Relationship Id="rId33" Type="http://schemas.openxmlformats.org/officeDocument/2006/relationships/hyperlink" Target="https://aura.american.edu/articles/preprint/Taking_Off_or_Turbulence_An_Empirical_Analysis_of_The_U_S_Airways_and_American_Airlines_Merger/24053274"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oi.org/10.1007/s11151-019-09717-2" TargetMode="External"/><Relationship Id="rId29" Type="http://schemas.openxmlformats.org/officeDocument/2006/relationships/hyperlink" Target="https://doi.org/10.1111/jems.12095"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arxiv.org/abs/2111.01915" TargetMode="External"/><Relationship Id="rId32" Type="http://schemas.openxmlformats.org/officeDocument/2006/relationships/hyperlink" Target="https://papers.ssrn.com/sol3/papers.cfm?abstract_id=3917112" TargetMode="External"/><Relationship Id="rId37" Type="http://schemas.openxmlformats.org/officeDocument/2006/relationships/hyperlink" Target="https://www.justice.gov/history"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gao.gov/products/gao-13-403t" TargetMode="External"/><Relationship Id="rId28" Type="http://schemas.openxmlformats.org/officeDocument/2006/relationships/hyperlink" Target="https://doi.org/10.1007/s11151-020-09799-3" TargetMode="External"/><Relationship Id="rId36" Type="http://schemas.openxmlformats.org/officeDocument/2006/relationships/hyperlink" Target="https://www.sec.gov/Archives/edgar/data/100517/000119312515056493/d820060d10k.htm" TargetMode="External"/><Relationship Id="rId10" Type="http://schemas.openxmlformats.org/officeDocument/2006/relationships/image" Target="media/image6.png"/><Relationship Id="rId19" Type="http://schemas.openxmlformats.org/officeDocument/2006/relationships/hyperlink" Target="https://sites.socsci.uci.edu/~jkbrueck/course%20readings/Bontemps%20et%20al.pdf" TargetMode="External"/><Relationship Id="rId31" Type="http://schemas.openxmlformats.org/officeDocument/2006/relationships/hyperlink" Target="https://scholarship.law.georgetown.edu/facpub/1529/"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lawreview.gmu.edu/print__issues/conflict-or-continuity-an-analysis-of-the-2023-merger-guidelines/" TargetMode="External"/><Relationship Id="rId27" Type="http://schemas.openxmlformats.org/officeDocument/2006/relationships/hyperlink" Target="https://www.antitrustinstitute.org/wp-content/uploads/2013/12/AAI_USAir-AA_Efficiencies-1.pdf" TargetMode="External"/><Relationship Id="rId30" Type="http://schemas.openxmlformats.org/officeDocument/2006/relationships/hyperlink" Target="https://www.haverford.edu/sites/default/files/Department/Economics/Remer-Orchinik-Airlines-01-31-2024-.pdf" TargetMode="External"/><Relationship Id="rId35" Type="http://schemas.openxmlformats.org/officeDocument/2006/relationships/hyperlink" Target="https://www.sec.gov/Archives/edgar/data/100517/000119312513074391/d436512d10k.htm"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703</TotalTime>
  <Pages>24</Pages>
  <Words>5324</Words>
  <Characters>30353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Candace</dc:creator>
  <cp:keywords/>
  <dc:description/>
  <cp:lastModifiedBy>Smith, Candace</cp:lastModifiedBy>
  <cp:revision>34</cp:revision>
  <dcterms:created xsi:type="dcterms:W3CDTF">2024-12-12T14:13:00Z</dcterms:created>
  <dcterms:modified xsi:type="dcterms:W3CDTF">2024-12-22T23:38:00Z</dcterms:modified>
</cp:coreProperties>
</file>