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4"/>
          <w:szCs w:val="34"/>
        </w:rPr>
        <w:t xml:space="preserve">Optimization Design of the Heliostat Field Based on a Monte Carlo Algorithm</w:t>
      </w:r>
    </w:p>
    <w:p>
      <w:pPr>
        <w:spacing w:after="40"/>
        <w:jc w:val="center"/>
      </w:pPr>
      <w:r>
        <w:rPr>
          <w:sz w:val="22"/>
          <w:szCs w:val="22"/>
        </w:rPr>
        <w:t xml:space="preserve">Qianqiong Jia*, Qianqian Li* (co-first authors)</w:t>
      </w:r>
    </w:p>
    <w:p>
      <w:pPr>
        <w:spacing w:after="160"/>
        <w:jc w:val="center"/>
      </w:pPr>
      <w:r>
        <w:rPr>
          <w:i/>
          <w:iCs/>
          <w:color w:val="595959"/>
          <w:sz w:val="20"/>
          <w:szCs w:val="20"/>
        </w:rPr>
        <w:t xml:space="preserve">School of Science, Xi’an Shiyou University, Xi’an, Shaanxi</w:t>
      </w:r>
    </w:p>
    <w:p>
      <w:pPr>
        <w:shd w:fill="EAF1F8" w:val="clear"/>
        <w:spacing w:after="160" w:line="264"/>
      </w:pPr>
      <w:r>
        <w:rPr>
          <w:b/>
          <w:bCs/>
          <w:color w:val="1F3864"/>
          <w:sz w:val="19"/>
          <w:szCs w:val="19"/>
        </w:rPr>
        <w:t xml:space="preserve">English translation of an open-access article.</w:t>
      </w:r>
      <w:r>
        <w:rPr>
          <w:color w:val="1F3864"/>
          <w:sz w:val="19"/>
          <w:szCs w:val="19"/>
        </w:rPr>
        <w:br/>
        <w:t xml:space="preserve">Original (Chinese): </w:t>
      </w:r>
      <w:r>
        <w:rPr>
          <w:i/>
          <w:iCs/>
          <w:color w:val="1F3864"/>
          <w:sz w:val="19"/>
          <w:szCs w:val="19"/>
        </w:rPr>
        <w:t xml:space="preserve">基于蒙特卡洛算法的定日镜场的优化设计</w:t>
      </w:r>
      <w:r>
        <w:rPr>
          <w:color w:val="1F3864"/>
          <w:sz w:val="19"/>
          <w:szCs w:val="19"/>
        </w:rPr>
        <w:t xml:space="preserve">, Advances in Applied Mathematics (应用数学进展), 2024, 13(3): 1018–1026.</w:t>
      </w:r>
      <w:r>
        <w:rPr>
          <w:color w:val="1F3864"/>
          <w:sz w:val="19"/>
          <w:szCs w:val="19"/>
        </w:rPr>
        <w:br/>
        <w:t xml:space="preserve">DOI: 10.12677/aam.2024.133096.  Received 27 Feb 2024; accepted 21 Mar 2024; published 27 Mar 2024.</w:t>
      </w:r>
      <w:r>
        <w:rPr>
          <w:color w:val="1F3864"/>
          <w:sz w:val="19"/>
          <w:szCs w:val="19"/>
        </w:rPr>
        <w:br/>
        <w:t xml:space="preserve">© 2024 the authors and Hans Publishers Inc. Licensed under CC BY 4.0. This is an unofficial translation prepared for study; in case of any discrepancy the Chinese original prevails.</w:t>
      </w:r>
    </w:p>
    <w:p>
      <w:pPr>
        <w:shd w:fill="F2F2F2" w:val="clear"/>
        <w:spacing w:after="120" w:line="264"/>
      </w:pPr>
      <w:r>
        <w:rPr>
          <w:b/>
          <w:bCs/>
          <w:i/>
          <w:iCs/>
          <w:color w:val="595959"/>
          <w:sz w:val="19"/>
          <w:szCs w:val="19"/>
        </w:rPr>
        <w:t xml:space="preserve">Translator's note: </w:t>
      </w:r>
      <w:r>
        <w:rPr>
          <w:i/>
          <w:iCs/>
          <w:color w:val="595959"/>
          <w:sz w:val="19"/>
          <w:szCs w:val="19"/>
        </w:rPr>
        <w:t xml:space="preserve">Faithful translation. Equation numbering, symbols, and table values follow the source as printed; evident inconsistencies are flagged in notes but not altered.</w:t>
      </w:r>
    </w:p>
    <w:p>
      <w:pPr>
        <w:pStyle w:val="Heading2"/>
      </w:pPr>
      <w:r>
        <w:t xml:space="preserve">Abstract</w:t>
      </w:r>
    </w:p>
    <w:p>
      <w:pPr>
        <w:spacing w:after="120" w:line="276"/>
        <w:jc w:val="both"/>
      </w:pPr>
      <w:r>
        <w:rPr>
          <w:sz w:val="22"/>
          <w:szCs w:val="22"/>
        </w:rPr>
        <w:t xml:space="preserve">Addressing the heliostat-field optimization-design problem, this paper first builds a shadow-and-blocking efficiency model, combined with a Monte Carlo ray-tracing method, to solve the shadow-blocking efficiency; from the solar altitude angle, solar azimuth angle, and the direct normal irradiance, the cosine efficiency and the field’s output thermal power are obtained. Second, a nonlinear objective-programming model is established with the per-unit-area heliostat output thermal power as the maximization objective. Within a given range of adjacent-heliostat spacing, the number of heliostats on each ring and the inter-heliostat spacing are found; the heliostat coordinates are determined by Campo’s arrangement method. Using the shadow-blocking efficiency model, when the rated annual average output thermal power reaches 60 MW, the absorption-tower position is (0, 0, 80), heliostat size is 6 m × 6 m, install height 4 m, total number 2475, and total field area 89,100 m². Campo’s method simplifies the determination of specific heliostat coordinates. Finally, keeping the rated power unchanged, a heliostat size of 7 m × 7 m and install height 4 m are designed to reach a larger per-unit-area output thermal power.</w:t>
      </w:r>
    </w:p>
    <w:p>
      <w:pPr>
        <w:spacing w:after="120" w:line="276"/>
        <w:jc w:val="both"/>
      </w:pPr>
      <w:r>
        <w:rPr>
          <w:b/>
          <w:bCs/>
          <w:sz w:val="22"/>
          <w:szCs w:val="22"/>
        </w:rPr>
        <w:t xml:space="preserve">Keywords: </w:t>
      </w:r>
      <w:r>
        <w:rPr>
          <w:sz w:val="22"/>
          <w:szCs w:val="22"/>
        </w:rPr>
        <w:t xml:space="preserve">Heliostat Field, Shadow-Blocking Theory, Nonlinear Objective Programming, Monte Carlo and Ray Tracing</w:t>
      </w:r>
    </w:p>
    <w:p>
      <w:pPr>
        <w:pStyle w:val="Heading1"/>
      </w:pPr>
      <w:r>
        <w:t xml:space="preserve">1. Introduction</w:t>
      </w:r>
    </w:p>
    <w:p>
      <w:pPr>
        <w:spacing w:after="120" w:line="276"/>
        <w:ind w:firstLine="360"/>
        <w:jc w:val="both"/>
      </w:pPr>
      <w:r>
        <w:rPr>
          <w:sz w:val="22"/>
          <w:szCs w:val="22"/>
        </w:rPr>
        <w:t xml:space="preserve">Tower solar thermal (CSP) power generation is a low-carbon, environmentally friendly clean-energy technology that China has promoted to meet its “carbon-peak” and “carbon-neutral” goals. On one hand, the system uses solar energy to generate power, reducing CO₂ and other greenhouse-gas emissions and easing air and water pollution; on the other, as a new power system built around new energy, it can use solar energy efficiently and generate power continuously [1], making it a renewable technology of great potential. This paper uses Monte Carlo ray tracing to model the shadow area produced by the heliostats and, under a given rated power, establishes a nonlinear objective-programming model that maximizes the per-unit-area output thermal power, thereby completing the optimization design. The study analyzes the 2023 CUMCM Problem A.</w:t>
      </w:r>
    </w:p>
    <w:p>
      <w:pPr>
        <w:pStyle w:val="Heading1"/>
      </w:pPr>
      <w:r>
        <w:t xml:space="preserve">2. Model Establishment and Solution</w:t>
      </w:r>
    </w:p>
    <w:p>
      <w:pPr>
        <w:pStyle w:val="Heading2"/>
      </w:pPr>
      <w:r>
        <w:t xml:space="preserve">2.1. Shadow-and-Blocking Efficiency Model</w:t>
      </w:r>
    </w:p>
    <w:p>
      <w:pPr>
        <w:spacing w:after="120" w:line="276"/>
        <w:jc w:val="both"/>
      </w:pPr>
      <w:r>
        <w:rPr>
          <w:sz w:val="22"/>
          <w:szCs w:val="22"/>
        </w:rPr>
        <w:t xml:space="preserve">Sunlight losses in the field arise mainly in three ways: 1) a front heliostat blocks sunlight bound for a rear heliostat; 2) the light reflected by a rear heliostat is blocked by a front heliostat; 3) the tower casts a shadow that blocks some heliostats.</w:t>
      </w:r>
    </w:p>
    <w:p>
      <w:pPr>
        <w:spacing w:after="120" w:line="276"/>
        <w:jc w:val="both"/>
      </w:pPr>
      <w:r>
        <w:rPr>
          <w:sz w:val="22"/>
          <w:szCs w:val="22"/>
        </w:rPr>
        <w:t xml:space="preserve">A heliostat-a mirror frame (X_a, Y_a, Z_a), a ground frame (X_d, Y_d, Z_d), and a heliostat-b mirror frame (X_b, Y_b, Z_b) are established. To judge whether heliostat a’s reflected ray falls onto heliostat b, its coordinate value K₂ in b’s frame is determined; the inter-heliostat sunlight path is shown in Figure 1.</w:t>
      </w:r>
    </w:p>
    <w:p>
      <w:pPr>
        <w:spacing w:after="160" w:before="40"/>
        <w:jc w:val="center"/>
      </w:pPr>
      <w:r>
        <w:rPr>
          <w:i/>
          <w:iCs/>
          <w:color w:val="595959"/>
          <w:sz w:val="19"/>
          <w:szCs w:val="19"/>
        </w:rPr>
        <w:t xml:space="preserve">[Figure 1. Diagram of the sun-ray path between heliostats — schematic in the original.]</w:t>
      </w:r>
    </w:p>
    <w:p>
      <w:pPr>
        <w:spacing w:after="120" w:line="276"/>
        <w:jc w:val="both"/>
      </w:pPr>
      <w:r>
        <w:rPr>
          <w:sz w:val="22"/>
          <w:szCs w:val="22"/>
        </w:rPr>
        <w:t xml:space="preserve">For a heliostat E whose center has ground-frame coordinates (X_e,d, Y_e,d, Z_e,d), its azimuth within the field is:</w:t>
      </w:r>
    </w:p>
    <w:p>
      <w:pPr>
        <w:spacing w:after="120" w:before="80"/>
        <w:jc w:val="center"/>
      </w:pPr>
      <w:r>
        <w:rPr>
          <w:i/>
          <w:iCs/>
          <w:sz w:val="22"/>
          <w:szCs w:val="22"/>
        </w:rPr>
        <w:t xml:space="preserve">θ_f = arccos( X_e,d / √(X_e,d² + Y_e,d²) ),  if Y_e,d ≥ 0</w:t>
      </w:r>
    </w:p>
    <w:p>
      <w:pPr>
        <w:spacing w:after="120" w:before="80"/>
        <w:jc w:val="center"/>
      </w:pPr>
      <w:r>
        <w:rPr>
          <w:i/>
          <w:iCs/>
          <w:sz w:val="22"/>
          <w:szCs w:val="22"/>
        </w:rPr>
        <w:t xml:space="preserve">θ_f = arctan( Y_e,d / X_e,d ) + π,  if Y_e,d &lt; 0</w:t>
      </w:r>
    </w:p>
    <w:p>
      <w:pPr>
        <w:spacing w:after="120" w:line="276"/>
        <w:jc w:val="both"/>
      </w:pPr>
      <w:r>
        <w:rPr>
          <w:sz w:val="22"/>
          <w:szCs w:val="22"/>
        </w:rPr>
        <w:t xml:space="preserve">Let θ be the angle between the incident sunlight and the normal of heliostat b. Its relation to the solar altitude angle α_s [2] and solar azimuth angle γ_s [3] is:</w:t>
      </w:r>
    </w:p>
    <w:p>
      <w:pPr>
        <w:spacing w:after="120" w:before="80"/>
        <w:jc w:val="center"/>
      </w:pPr>
      <w:r>
        <w:rPr>
          <w:i/>
          <w:iCs/>
          <w:sz w:val="22"/>
          <w:szCs w:val="22"/>
        </w:rPr>
        <w:t xml:space="preserve">cos θ = (√2 / 2) · [ sin α_s cos β − cos(θ_f − γ_s) · cos α_s sin β + 1 ]^(1/2)</w:t>
      </w:r>
    </w:p>
    <w:p>
      <w:pPr>
        <w:spacing w:after="120" w:line="276"/>
        <w:jc w:val="both"/>
      </w:pPr>
      <w:r>
        <w:rPr>
          <w:sz w:val="22"/>
          <w:szCs w:val="22"/>
        </w:rPr>
        <w:t xml:space="preserve">The pitch and azimuth of the heliostat’s central normal are:</w:t>
      </w:r>
    </w:p>
    <w:p>
      <w:pPr>
        <w:spacing w:after="120" w:before="80"/>
        <w:jc w:val="center"/>
      </w:pPr>
      <w:r>
        <w:rPr>
          <w:i/>
          <w:iCs/>
          <w:sz w:val="22"/>
          <w:szCs w:val="22"/>
        </w:rPr>
        <w:t xml:space="preserve">F_y = arctan( (sin α_s + cos β) / (2 cos θ) )</w:t>
      </w:r>
    </w:p>
    <w:p>
      <w:pPr>
        <w:spacing w:after="120" w:before="80"/>
        <w:jc w:val="center"/>
      </w:pPr>
      <w:r>
        <w:rPr>
          <w:i/>
          <w:iCs/>
          <w:sz w:val="22"/>
          <w:szCs w:val="22"/>
        </w:rPr>
        <w:t xml:space="preserve">F_w = arctan( (sin θ_f sin β − sin γ_s cos α_s) / (cos θ_f sin β − cos γ_s cos α_s) )   [4]</w:t>
      </w:r>
    </w:p>
    <w:p>
      <w:pPr>
        <w:spacing w:after="120" w:line="276"/>
        <w:jc w:val="both"/>
      </w:pPr>
      <w:r>
        <w:rPr>
          <w:sz w:val="22"/>
          <w:szCs w:val="22"/>
        </w:rPr>
        <w:t xml:space="preserve">For an incidence point K₁ = (x_a, y_a) in a’s frame, coordinate transforms decide whether the reflected ray has an incidence point K₂ in b’s frame. Writing the three axes of a’s frame as ground-frame vectors (r_x, s_x, t_x), (r_y, s_y, t_y), (r_z, s_z, t_z), the transformation matrix is Eq. (2.1) [5]:</w:t>
      </w:r>
    </w:p>
    <w:p>
      <w:pPr>
        <w:spacing w:after="120" w:before="80"/>
        <w:jc w:val="center"/>
      </w:pPr>
      <w:r>
        <w:rPr>
          <w:i/>
          <w:iCs/>
          <w:sz w:val="22"/>
          <w:szCs w:val="22"/>
        </w:rPr>
        <w:t xml:space="preserve">G = [ r_x r_y r_z ; s_x s_y s_z ; t_x t_y t_z ]     (2.1)</w:t>
      </w:r>
    </w:p>
    <w:p>
      <w:pPr>
        <w:spacing w:after="120" w:before="80"/>
        <w:jc w:val="center"/>
      </w:pPr>
      <w:r>
        <w:rPr>
          <w:i/>
          <w:iCs/>
          <w:sz w:val="22"/>
          <w:szCs w:val="22"/>
        </w:rPr>
        <w:t xml:space="preserve">  = [ −sinF_w cosF_y,  −sinF_w cosF_y,  cosF_w cosF_y ;  cosF_y,  −sinF_w sinF_y,  cosF_w sinF_y ;  0,  cosF_w,  sinF_w ]</w:t>
      </w:r>
    </w:p>
    <w:p>
      <w:pPr>
        <w:spacing w:after="120" w:line="276"/>
        <w:jc w:val="both"/>
      </w:pPr>
      <w:r>
        <w:rPr>
          <w:sz w:val="22"/>
          <w:szCs w:val="22"/>
        </w:rPr>
        <w:t xml:space="preserve">With the cone of light expressed as P_j in the mirror frame and P₀ = G · P_j in the ground frame, K₂ = (x_b, y_b) is obtained in five steps: (1) transform a point K₁ of heliostat a into the ground frame, giving K₁′; (2) transform K₁′ into heliostat b’s frame, giving K₁″; (3) transform the ground-frame ray vector P₀ into b’s frame, giving P_j; (4) in b’s frame compute the ray–mirror intersection from K₁″ = (x_a″, y_a″, z_a″) and P_j = (x₀, y₀, z₀):</w:t>
      </w:r>
    </w:p>
    <w:p>
      <w:pPr>
        <w:spacing w:after="120" w:before="80"/>
        <w:jc w:val="center"/>
      </w:pPr>
      <w:r>
        <w:rPr>
          <w:i/>
          <w:iCs/>
          <w:sz w:val="22"/>
          <w:szCs w:val="22"/>
        </w:rPr>
        <w:t xml:space="preserve">K₂ = ( x_b = (z₀ x_a″ − x₀ z_a″)/z₀ ,  y_b = (z₀ y_a″ − y₀ z_a″)/z₀ ,  0 )</w:t>
      </w:r>
    </w:p>
    <w:p>
      <w:pPr>
        <w:spacing w:after="120" w:line="276"/>
        <w:jc w:val="both"/>
      </w:pPr>
      <w:r>
        <w:rPr>
          <w:sz w:val="22"/>
          <w:szCs w:val="22"/>
        </w:rPr>
        <w:t xml:space="preserve">(5) judge whether K₂ falls within heliostat b’s plane.</w:t>
      </w:r>
    </w:p>
    <w:p>
      <w:pPr>
        <w:pStyle w:val="Heading2"/>
      </w:pPr>
      <w:r>
        <w:t xml:space="preserve">2.2. Atmospheric Transmittance</w:t>
      </w:r>
    </w:p>
    <w:p>
      <w:pPr>
        <w:spacing w:after="120" w:line="276"/>
        <w:jc w:val="both"/>
      </w:pPr>
      <w:r>
        <w:rPr>
          <w:sz w:val="22"/>
          <w:szCs w:val="22"/>
        </w:rPr>
        <w:t xml:space="preserve">Let d_HR be the distance from the heliostat center to the receiver center. The atmospheric transmittance is [6]:</w:t>
      </w:r>
    </w:p>
    <w:p>
      <w:pPr>
        <w:spacing w:after="120" w:before="80"/>
        <w:jc w:val="center"/>
      </w:pPr>
      <w:r>
        <w:rPr>
          <w:i/>
          <w:iCs/>
          <w:sz w:val="22"/>
          <w:szCs w:val="22"/>
        </w:rPr>
        <w:t xml:space="preserve">η_at = 0.99321 − 0.0001176·d_HR + 1.97×10⁻⁸·d_HR²   (d_HR ≤ 1000)     (2.2)</w:t>
      </w:r>
    </w:p>
    <w:p>
      <w:pPr>
        <w:pStyle w:val="Heading2"/>
      </w:pPr>
      <w:r>
        <w:t xml:space="preserve">2.3. Cosine Efficiency</w:t>
      </w:r>
    </w:p>
    <w:p>
      <w:pPr>
        <w:spacing w:after="120" w:line="276"/>
        <w:jc w:val="both"/>
      </w:pPr>
      <w:r>
        <w:rPr>
          <w:sz w:val="22"/>
          <w:szCs w:val="22"/>
        </w:rPr>
        <w:t xml:space="preserve">Construct the heliostat’s reflected-sunlight diagram (Figure 2): receiver center A, heliostat center O_z, incident ray BO_z, reflected ray O_zA, and perpendiculars EF and BC to the xoy-plane with feet F and C. For the i-th heliostat with incidence angle θ_i, the cosine efficiency is [7]:</w:t>
      </w:r>
    </w:p>
    <w:p>
      <w:pPr>
        <w:spacing w:after="120" w:before="80"/>
        <w:jc w:val="center"/>
      </w:pPr>
      <w:r>
        <w:rPr>
          <w:i/>
          <w:iCs/>
          <w:sz w:val="22"/>
          <w:szCs w:val="22"/>
        </w:rPr>
        <w:t xml:space="preserve">η_cos = [ d_HR + sinα_s·h_a + x_z cosα_s sinγ_s + y_z cosα_s sinγ_s ]^(1/2) / (2 d_HR)^(1/2)     (2.3)</w:t>
      </w:r>
    </w:p>
    <w:p>
      <w:pPr>
        <w:spacing w:after="160" w:before="40"/>
        <w:jc w:val="center"/>
      </w:pPr>
      <w:r>
        <w:rPr>
          <w:i/>
          <w:iCs/>
          <w:color w:val="595959"/>
          <w:sz w:val="19"/>
          <w:szCs w:val="19"/>
        </w:rPr>
        <w:t xml:space="preserve">[Figure 2. Three-dimensional representation of sunlight reflected by a heliostat — schematic in the original.]</w:t>
      </w:r>
    </w:p>
    <w:p>
      <w:pPr>
        <w:pStyle w:val="Heading2"/>
      </w:pPr>
      <w:r>
        <w:t xml:space="preserve">2.4. Optical Efficiency of a Single Heliostat</w:t>
      </w:r>
    </w:p>
    <w:p>
      <w:pPr>
        <w:spacing w:after="120" w:line="276"/>
        <w:jc w:val="both"/>
      </w:pPr>
      <w:r>
        <w:rPr>
          <w:sz w:val="22"/>
          <w:szCs w:val="22"/>
        </w:rPr>
        <w:t xml:space="preserve">The optical efficiency of a single heliostat is η = η_sb · η_cos · η_at · η_trunc · η_ref, where the shadow-blocking efficiency η_sb, cosine efficiency η_cos, and atmospheric transmittance η_at are given above; the literature reports the receiver truncation efficiency η_trunc at 60%–90% [8], and the mirror reflectivity is η_ref = 0.92.</w:t>
      </w:r>
    </w:p>
    <w:p>
      <w:pPr>
        <w:shd w:fill="F2F2F2" w:val="clear"/>
        <w:spacing w:after="120" w:line="264"/>
      </w:pPr>
      <w:r>
        <w:rPr>
          <w:b/>
          <w:bCs/>
          <w:i/>
          <w:iCs/>
          <w:color w:val="595959"/>
          <w:sz w:val="19"/>
          <w:szCs w:val="19"/>
        </w:rPr>
        <w:t xml:space="preserve">Translator's note: </w:t>
      </w:r>
      <w:r>
        <w:rPr>
          <w:i/>
          <w:iCs/>
          <w:color w:val="595959"/>
          <w:sz w:val="19"/>
          <w:szCs w:val="19"/>
        </w:rPr>
        <w:t xml:space="preserve">The truncation efficiency is not modeled here; it is simply taken from the literature as 60–90%. This is the weakest link in the method, since the cone-beam “spillage” past the receiver is exactly the loss the contest emphasizes.</w:t>
      </w:r>
    </w:p>
    <w:p>
      <w:pPr>
        <w:pStyle w:val="Heading2"/>
      </w:pPr>
      <w:r>
        <w:t xml:space="preserve">2.5. Direct Normal Irradiance</w:t>
      </w:r>
    </w:p>
    <w:p>
      <w:pPr>
        <w:spacing w:after="120" w:line="276"/>
        <w:jc w:val="both"/>
      </w:pPr>
      <w:r>
        <w:rPr>
          <w:sz w:val="22"/>
          <w:szCs w:val="22"/>
        </w:rPr>
        <w:t xml:space="preserve">The direct normal irradiance [9] is:</w:t>
      </w:r>
    </w:p>
    <w:p>
      <w:pPr>
        <w:spacing w:after="120" w:before="80"/>
        <w:jc w:val="center"/>
      </w:pPr>
      <w:r>
        <w:rPr>
          <w:i/>
          <w:iCs/>
          <w:sz w:val="22"/>
          <w:szCs w:val="22"/>
        </w:rPr>
        <w:t xml:space="preserve">DNI = G₀ · [ a + b·exp( −c / sinα_s ) ]</w:t>
      </w:r>
    </w:p>
    <w:p>
      <w:pPr>
        <w:spacing w:after="120" w:before="80"/>
        <w:jc w:val="center"/>
      </w:pPr>
      <w:r>
        <w:rPr>
          <w:i/>
          <w:iCs/>
          <w:sz w:val="22"/>
          <w:szCs w:val="22"/>
        </w:rPr>
        <w:t xml:space="preserve">a = 0.4237 − 0.008216(6−H)² ,  b = 0.5055 + 0.00595(6.5−H)² ,  c = 0.2711 + 0.01858(2.5−H)²</w:t>
      </w:r>
    </w:p>
    <w:p>
      <w:pPr>
        <w:spacing w:after="120" w:line="276"/>
        <w:jc w:val="both"/>
      </w:pPr>
      <w:r>
        <w:rPr>
          <w:sz w:val="22"/>
          <w:szCs w:val="22"/>
        </w:rPr>
        <w:t xml:space="preserve">where G₀ = 1.366 kW/m² is the solar constant and H is the local altitude, 3000 m.</w:t>
      </w:r>
    </w:p>
    <w:p>
      <w:pPr>
        <w:pStyle w:val="Heading2"/>
      </w:pPr>
      <w:r>
        <w:t xml:space="preserve">2.6. Field Annual Average Output Thermal Power</w:t>
      </w:r>
    </w:p>
    <w:p>
      <w:pPr>
        <w:spacing w:after="120" w:line="276"/>
        <w:jc w:val="both"/>
      </w:pPr>
      <w:r>
        <w:rPr>
          <w:sz w:val="22"/>
          <w:szCs w:val="22"/>
        </w:rPr>
        <w:t xml:space="preserve">Each heliostat’s collecting area A_i corresponds to a 6 m × 6 m mirror; with each heliostat’s optical efficiency η_i, the DNI, and a total of N = 1745 heliostats, the field output thermal power is E_field = DNI · Σ(i=1..N) A_i · η_i. From this the average optical efficiency η̄, average cosine efficiency η̄_cos, average shadow-blocking efficiency η̄_sb, average truncation efficiency η̄_trunc, and per-unit-area average output power E_field / (N×A) are obtained (Tables 1 and 2).</w:t>
      </w:r>
    </w:p>
    <w:p>
      <w:pPr>
        <w:spacing w:after="40" w:before="120"/>
      </w:pPr>
      <w:r>
        <w:rPr>
          <w:b/>
          <w:bCs/>
          <w:sz w:val="19"/>
          <w:szCs w:val="19"/>
        </w:rPr>
        <w:t xml:space="preserve">Table 1. Average optical efficiency and output power on the 21st of each month (Problem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20"/>
        <w:gridCol w:w="1700"/>
        <w:gridCol w:w="1380"/>
        <w:gridCol w:w="1560"/>
        <w:gridCol w:w="1800"/>
      </w:tblGrid>
      <w:tr>
        <w:trPr>
          <w:tblHeader/>
        </w:trPr>
        <w:tc>
          <w:tcPr>
            <w:tcW w:type="dxa" w:w="110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Date</w:t>
            </w:r>
          </w:p>
        </w:tc>
        <w:tc>
          <w:tcPr>
            <w:tcW w:type="dxa" w:w="182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η̄ (optical)</w:t>
            </w:r>
          </w:p>
        </w:tc>
        <w:tc>
          <w:tcPr>
            <w:tcW w:type="dxa" w:w="170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η̄_cos</w:t>
            </w:r>
          </w:p>
        </w:tc>
        <w:tc>
          <w:tcPr>
            <w:tcW w:type="dxa" w:w="138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η̄_sb</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η̄_trunc</w:t>
            </w:r>
          </w:p>
        </w:tc>
        <w:tc>
          <w:tcPr>
            <w:tcW w:type="dxa" w:w="180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E_field/(N×A) (kW/m²)</w:t>
            </w:r>
          </w:p>
        </w:tc>
      </w:tr>
      <w:tr>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Jan 21</w:t>
            </w:r>
          </w:p>
        </w:tc>
        <w:tc>
          <w:tcPr>
            <w:tcW w:type="dxa" w:w="18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0.543440747</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0.790895784</w:t>
            </w:r>
          </w:p>
        </w:tc>
        <w:tc>
          <w:tcPr>
            <w:tcW w:type="dxa" w:w="13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0.88722</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0.8723459</w:t>
            </w:r>
          </w:p>
        </w:tc>
        <w:tc>
          <w:tcPr>
            <w:tcW w:type="dxa" w:w="18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0.493146841</w:t>
            </w:r>
          </w:p>
        </w:tc>
      </w:tr>
      <w:tr>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Feb 21</w:t>
            </w:r>
          </w:p>
        </w:tc>
        <w:tc>
          <w:tcPr>
            <w:tcW w:type="dxa" w:w="18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0.55498721</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0.806084862</w:t>
            </w:r>
          </w:p>
        </w:tc>
        <w:tc>
          <w:tcPr>
            <w:tcW w:type="dxa" w:w="13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0.87231</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0.8890342</w:t>
            </w:r>
          </w:p>
        </w:tc>
        <w:tc>
          <w:tcPr>
            <w:tcW w:type="dxa" w:w="18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0.518939745</w:t>
            </w:r>
          </w:p>
        </w:tc>
      </w:tr>
      <w:tr>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Mar 21</w:t>
            </w:r>
          </w:p>
        </w:tc>
        <w:tc>
          <w:tcPr>
            <w:tcW w:type="dxa" w:w="18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0.567908242</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0.81509369</w:t>
            </w:r>
          </w:p>
        </w:tc>
        <w:tc>
          <w:tcPr>
            <w:tcW w:type="dxa" w:w="13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0.87992</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0.8918967</w:t>
            </w:r>
          </w:p>
        </w:tc>
        <w:tc>
          <w:tcPr>
            <w:tcW w:type="dxa" w:w="18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0.564501479</w:t>
            </w:r>
          </w:p>
        </w:tc>
      </w:tr>
      <w:tr>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Apr 21</w:t>
            </w:r>
          </w:p>
        </w:tc>
        <w:tc>
          <w:tcPr>
            <w:tcW w:type="dxa" w:w="18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0.577014059</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0.818542441</w:t>
            </w:r>
          </w:p>
        </w:tc>
        <w:tc>
          <w:tcPr>
            <w:tcW w:type="dxa" w:w="13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0.89003</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0.892129</w:t>
            </w:r>
          </w:p>
        </w:tc>
        <w:tc>
          <w:tcPr>
            <w:tcW w:type="dxa" w:w="18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0.593527476</w:t>
            </w:r>
          </w:p>
        </w:tc>
      </w:tr>
      <w:tr>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May 21</w:t>
            </w:r>
          </w:p>
        </w:tc>
        <w:tc>
          <w:tcPr>
            <w:tcW w:type="dxa" w:w="18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0.590836903</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0.815817555</w:t>
            </w:r>
          </w:p>
        </w:tc>
        <w:tc>
          <w:tcPr>
            <w:tcW w:type="dxa" w:w="13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0.90402</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0.9023679</w:t>
            </w:r>
          </w:p>
        </w:tc>
        <w:tc>
          <w:tcPr>
            <w:tcW w:type="dxa" w:w="18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0.616706666</w:t>
            </w:r>
          </w:p>
        </w:tc>
      </w:tr>
      <w:tr>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Jun 21</w:t>
            </w:r>
          </w:p>
        </w:tc>
        <w:tc>
          <w:tcPr>
            <w:tcW w:type="dxa" w:w="18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0.596222479</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0.806293553</w:t>
            </w:r>
          </w:p>
        </w:tc>
        <w:tc>
          <w:tcPr>
            <w:tcW w:type="dxa" w:w="13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0.92301</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0.9023933</w:t>
            </w:r>
          </w:p>
        </w:tc>
        <w:tc>
          <w:tcPr>
            <w:tcW w:type="dxa" w:w="18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0.625373899</w:t>
            </w:r>
          </w:p>
        </w:tc>
      </w:tr>
      <w:tr>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Jul 21</w:t>
            </w:r>
          </w:p>
        </w:tc>
        <w:tc>
          <w:tcPr>
            <w:tcW w:type="dxa" w:w="18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0.601603651</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0.791690147</w:t>
            </w:r>
          </w:p>
        </w:tc>
        <w:tc>
          <w:tcPr>
            <w:tcW w:type="dxa" w:w="13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0.93289</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0.9175123</w:t>
            </w:r>
          </w:p>
        </w:tc>
        <w:tc>
          <w:tcPr>
            <w:tcW w:type="dxa" w:w="18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0.628606574</w:t>
            </w:r>
          </w:p>
        </w:tc>
      </w:tr>
      <w:tr>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Aug 21</w:t>
            </w:r>
          </w:p>
        </w:tc>
        <w:tc>
          <w:tcPr>
            <w:tcW w:type="dxa" w:w="18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0.585272892</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0.776101811</w:t>
            </w:r>
          </w:p>
        </w:tc>
        <w:tc>
          <w:tcPr>
            <w:tcW w:type="dxa" w:w="13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0.92331</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0.9199819</w:t>
            </w:r>
          </w:p>
        </w:tc>
        <w:tc>
          <w:tcPr>
            <w:tcW w:type="dxa" w:w="18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0.602248936</w:t>
            </w:r>
          </w:p>
        </w:tc>
      </w:tr>
      <w:tr>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Sep 21</w:t>
            </w:r>
          </w:p>
        </w:tc>
        <w:tc>
          <w:tcPr>
            <w:tcW w:type="dxa" w:w="18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0.572436585</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0.765626719</w:t>
            </w:r>
          </w:p>
        </w:tc>
        <w:tc>
          <w:tcPr>
            <w:tcW w:type="dxa" w:w="13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0.91678</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0.91861235</w:t>
            </w:r>
          </w:p>
        </w:tc>
        <w:tc>
          <w:tcPr>
            <w:tcW w:type="dxa" w:w="18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0.570268117</w:t>
            </w:r>
          </w:p>
        </w:tc>
      </w:tr>
      <w:tr>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Oct 21</w:t>
            </w:r>
          </w:p>
        </w:tc>
        <w:tc>
          <w:tcPr>
            <w:tcW w:type="dxa" w:w="18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0.554517146</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0.762241825</w:t>
            </w:r>
          </w:p>
        </w:tc>
        <w:tc>
          <w:tcPr>
            <w:tcW w:type="dxa" w:w="13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0.90203</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0.90842344</w:t>
            </w:r>
          </w:p>
        </w:tc>
        <w:tc>
          <w:tcPr>
            <w:tcW w:type="dxa" w:w="18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0.520380316</w:t>
            </w:r>
          </w:p>
        </w:tc>
      </w:tr>
      <w:tr>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Nov 21</w:t>
            </w:r>
          </w:p>
        </w:tc>
        <w:tc>
          <w:tcPr>
            <w:tcW w:type="dxa" w:w="18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0.544281187</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0.765515871</w:t>
            </w:r>
          </w:p>
        </w:tc>
        <w:tc>
          <w:tcPr>
            <w:tcW w:type="dxa" w:w="13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0.89133</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0.89849923</w:t>
            </w:r>
          </w:p>
        </w:tc>
        <w:tc>
          <w:tcPr>
            <w:tcW w:type="dxa" w:w="18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0.471132767</w:t>
            </w:r>
          </w:p>
        </w:tc>
      </w:tr>
      <w:tr>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Dec 21</w:t>
            </w:r>
          </w:p>
        </w:tc>
        <w:tc>
          <w:tcPr>
            <w:tcW w:type="dxa" w:w="18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0.537198117</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0.775443951</w:t>
            </w:r>
          </w:p>
        </w:tc>
        <w:tc>
          <w:tcPr>
            <w:tcW w:type="dxa" w:w="13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0.88544</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0.8812762</w:t>
            </w:r>
          </w:p>
        </w:tc>
        <w:tc>
          <w:tcPr>
            <w:tcW w:type="dxa" w:w="18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0.444665057</w:t>
            </w:r>
          </w:p>
        </w:tc>
      </w:tr>
    </w:tbl>
    <w:p>
      <w:pPr>
        <w:spacing w:after="40" w:before="120"/>
      </w:pPr>
      <w:r>
        <w:rPr>
          <w:b/>
          <w:bCs/>
          <w:sz w:val="19"/>
          <w:szCs w:val="19"/>
        </w:rPr>
        <w:t xml:space="preserve">Table 2. Annual average optical efficiency and output power (Problem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optical eff.</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cosine eff.</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shadow-blocking eff.</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truncation eff.</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output (MW)</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Per-unit-area annual avg output (kW/m²)</w:t>
            </w:r>
          </w:p>
        </w:tc>
      </w:tr>
      <w:tr>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0.568809935</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0.790779018</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0.900690833</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0.899539368</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34.81012136</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0.554124823</w:t>
            </w:r>
          </w:p>
        </w:tc>
      </w:tr>
    </w:tbl>
    <w:p>
      <w:pPr>
        <w:pStyle w:val="Heading2"/>
      </w:pPr>
      <w:r>
        <w:t xml:space="preserve">2.7. Campo Arrangement Method</w:t>
      </w:r>
    </w:p>
    <w:p>
      <w:pPr>
        <w:spacing w:after="120" w:line="276"/>
        <w:jc w:val="both"/>
      </w:pPr>
      <w:r>
        <w:rPr>
          <w:sz w:val="22"/>
          <w:szCs w:val="22"/>
        </w:rPr>
        <w:t xml:space="preserve">With the absorption tower at the center, the field is built as a concentric-circle model in which each heliostat’s footprint is treated as a circle. Following Campo’s method, the circular field is arranged with circumferential uniformity under the principle that no two heliostats mechanically collide (Figure 3). Let the heliostat positions be (X, Y), with (x_i, y_i) the ground-frame coordinates of the i-th heliostat, (x_b,i, y_b,i) the reflected-point coordinates in heliostat b, and x_i,j the i-th point on the j-th ring. The nonlinear-programming model is Eq. (2.4):</w:t>
      </w:r>
    </w:p>
    <w:p>
      <w:pPr>
        <w:spacing w:after="160" w:before="40"/>
        <w:jc w:val="center"/>
      </w:pPr>
      <w:r>
        <w:rPr>
          <w:i/>
          <w:iCs/>
          <w:color w:val="595959"/>
          <w:sz w:val="19"/>
          <w:szCs w:val="19"/>
        </w:rPr>
        <w:t xml:space="preserve">[Figure 3. Heliostat-field model: concentric rings about the tower — schematic in the original.]</w:t>
      </w:r>
    </w:p>
    <w:p>
      <w:pPr>
        <w:spacing w:after="120" w:before="80"/>
        <w:jc w:val="center"/>
      </w:pPr>
      <w:r>
        <w:rPr>
          <w:i/>
          <w:iCs/>
          <w:sz w:val="22"/>
          <w:szCs w:val="22"/>
        </w:rPr>
        <w:t xml:space="preserve">maximize  E_field = DNI · Σ(i=1..N) A_i · η_i     (2.4)</w:t>
      </w:r>
    </w:p>
    <w:p>
      <w:pPr>
        <w:spacing w:after="120" w:line="276"/>
        <w:jc w:val="both"/>
      </w:pPr>
      <w:r>
        <w:rPr>
          <w:sz w:val="22"/>
          <w:szCs w:val="22"/>
        </w:rPr>
        <w:t xml:space="preserve">subject to:</w:t>
      </w:r>
    </w:p>
    <w:p>
      <w:pPr>
        <w:spacing w:after="120" w:before="80"/>
        <w:jc w:val="center"/>
      </w:pPr>
      <w:r>
        <w:rPr>
          <w:i/>
          <w:iCs/>
          <w:sz w:val="22"/>
          <w:szCs w:val="22"/>
        </w:rPr>
        <w:t xml:space="preserve">DNI = G₀ [ a + b·exp(−c / sinα_s) ]</w:t>
      </w:r>
    </w:p>
    <w:p>
      <w:pPr>
        <w:spacing w:after="120" w:before="80"/>
        <w:jc w:val="center"/>
      </w:pPr>
      <w:r>
        <w:rPr>
          <w:i/>
          <w:iCs/>
          <w:sz w:val="22"/>
          <w:szCs w:val="22"/>
        </w:rPr>
        <w:t xml:space="preserve">η_i = η_sb,i · η_cos,i · η_at,i · η_trunc,i · η_ref,i</w:t>
      </w:r>
    </w:p>
    <w:p>
      <w:pPr>
        <w:spacing w:after="120" w:before="80"/>
        <w:jc w:val="center"/>
      </w:pPr>
      <w:r>
        <w:rPr>
          <w:i/>
          <w:iCs/>
          <w:sz w:val="22"/>
          <w:szCs w:val="22"/>
        </w:rPr>
        <w:t xml:space="preserve">η_at,i = 0.99321 − 0.0001176·d_HR + 1.79×10⁻⁸·d_HR²   (d_HR ≤ 1000)</w:t>
      </w:r>
    </w:p>
    <w:p>
      <w:pPr>
        <w:spacing w:after="120" w:before="80"/>
        <w:jc w:val="center"/>
      </w:pPr>
      <w:r>
        <w:rPr>
          <w:i/>
          <w:iCs/>
          <w:sz w:val="22"/>
          <w:szCs w:val="22"/>
        </w:rPr>
        <w:t xml:space="preserve">η_cos,i = cosθ_i = [ d_HR + h_a sinα_s + x_i cosα_s sinγ_s + y_i cosα_s sinγ_s ]^(1/2) / (2 d_HR)^(1/2)</w:t>
      </w:r>
    </w:p>
    <w:p>
      <w:pPr>
        <w:spacing w:after="120" w:before="80"/>
        <w:jc w:val="center"/>
      </w:pPr>
      <w:r>
        <w:rPr>
          <w:i/>
          <w:iCs/>
          <w:sz w:val="22"/>
          <w:szCs w:val="22"/>
        </w:rPr>
        <w:t xml:space="preserve">η_sb,i = (x_b,i − 3)(y_b,i − 3) / 36</w:t>
      </w:r>
    </w:p>
    <w:p>
      <w:pPr>
        <w:spacing w:after="120" w:before="80"/>
        <w:jc w:val="center"/>
      </w:pPr>
      <w:r>
        <w:rPr>
          <w:i/>
          <w:iCs/>
          <w:sz w:val="22"/>
          <w:szCs w:val="22"/>
        </w:rPr>
        <w:t xml:space="preserve">100 &lt; |x_i| &lt; 350 ,   100 &lt; |y_i| &lt; 350 ,   11 &lt; a &lt; 14</w:t>
      </w:r>
    </w:p>
    <w:p>
      <w:pPr>
        <w:spacing w:after="120" w:before="80"/>
        <w:jc w:val="center"/>
      </w:pPr>
      <w:r>
        <w:rPr>
          <w:i/>
          <w:iCs/>
          <w:sz w:val="22"/>
          <w:szCs w:val="22"/>
        </w:rPr>
        <w:t xml:space="preserve">√( (x_(i+1,j) − x_(i,j))² + (y_(i+1,j) − y_(i,j))² ) &gt; a</w:t>
      </w:r>
    </w:p>
    <w:p>
      <w:pPr>
        <w:spacing w:after="120" w:before="80"/>
        <w:jc w:val="center"/>
      </w:pPr>
      <w:r>
        <w:rPr>
          <w:i/>
          <w:iCs/>
          <w:sz w:val="22"/>
          <w:szCs w:val="22"/>
        </w:rPr>
        <w:t xml:space="preserve">√( (x_(i,j) − x_(i,j+1))² + (y_(i,j) − y_(i,j+1))² ) &gt; a</w:t>
      </w:r>
    </w:p>
    <w:p>
      <w:pPr>
        <w:spacing w:after="120" w:before="80"/>
        <w:jc w:val="center"/>
      </w:pPr>
      <w:r>
        <w:rPr>
          <w:i/>
          <w:iCs/>
          <w:sz w:val="22"/>
          <w:szCs w:val="22"/>
        </w:rPr>
        <w:t xml:space="preserve">r_j = 106 (j = 1);   r_j = 106 + a·j (j &gt; 1) ,   with 100 &lt; |r_j| &lt; 350</w:t>
      </w:r>
    </w:p>
    <w:p>
      <w:pPr>
        <w:shd w:fill="F2F2F2" w:val="clear"/>
        <w:spacing w:after="120" w:line="264"/>
      </w:pPr>
      <w:r>
        <w:rPr>
          <w:b/>
          <w:bCs/>
          <w:i/>
          <w:iCs/>
          <w:color w:val="595959"/>
          <w:sz w:val="19"/>
          <w:szCs w:val="19"/>
        </w:rPr>
        <w:t xml:space="preserve">Translator's note: </w:t>
      </w:r>
      <w:r>
        <w:rPr>
          <w:i/>
          <w:iCs/>
          <w:color w:val="595959"/>
          <w:sz w:val="19"/>
          <w:szCs w:val="19"/>
        </w:rPr>
        <w:t xml:space="preserve">Two source inconsistencies are preserved above: the η_at coefficient is printed as 1.79×10⁻⁸ in Eq. (2.4) but 1.97×10⁻⁸ in Eq. (2.2); and the keep-out constraint is written as a square box (100&lt;|x|&lt;350 and 100&lt;|y|&lt;350) rather than the problem’s true annulus 100&lt;√(x²+y²)&lt;350.</w:t>
      </w:r>
    </w:p>
    <w:p>
      <w:pPr>
        <w:spacing w:after="120" w:line="276"/>
        <w:jc w:val="both"/>
      </w:pPr>
      <w:r>
        <w:rPr>
          <w:sz w:val="22"/>
          <w:szCs w:val="22"/>
        </w:rPr>
        <w:t xml:space="preserve">Using Python, the inter-heliostat spacing is swept from 11 m to 14 m in 0.1 m steps. With r the radius of a heliostat center on the field ring and R the field radius, the number of heliostats per ring is n = 360 / [ 2·arcsin(r/R) ]. The arrangements for different spacings are illustrated in Figure 4. The optimal adjacent spacing is 12 m: at the rated annual average output of 60 MW, the tower position is (0, 0, 80), heliostat size 6 m × 6 m, install height 4 m, total number 2475, and total field area 89,100 m².</w:t>
      </w:r>
    </w:p>
    <w:p>
      <w:pPr>
        <w:spacing w:after="160" w:before="40"/>
        <w:jc w:val="center"/>
      </w:pPr>
      <w:r>
        <w:rPr>
          <w:i/>
          <w:iCs/>
          <w:color w:val="595959"/>
          <w:sz w:val="19"/>
          <w:szCs w:val="19"/>
        </w:rPr>
        <w:t xml:space="preserve">[Figure 4. Heliostat arrangements for spacings 11.5, 12, 12.5, 13, 13.5, and 14 m — six plots in the original.]</w:t>
      </w:r>
    </w:p>
    <w:p>
      <w:pPr>
        <w:pStyle w:val="Heading2"/>
      </w:pPr>
      <w:r>
        <w:t xml:space="preserve">2.8. Achieving a Larger Per-Unit-Area Output</w:t>
      </w:r>
    </w:p>
    <w:p>
      <w:pPr>
        <w:spacing w:after="120" w:line="276"/>
        <w:jc w:val="both"/>
      </w:pPr>
      <w:r>
        <w:rPr>
          <w:sz w:val="22"/>
          <w:szCs w:val="22"/>
        </w:rPr>
        <w:t xml:space="preserve">Keeping the rated power fixed, the size and install height are designed for a larger per-unit-area output. The mirror size is increased from 6 m × 6 m to 7 m × 7 m [10], the largest size that still fits within the spacing; the install height then increases progressively from the inner to the outer rings, over the range 3.5–6 m. To find the number of heliostats per ring, a MATLAB search [11] counts the heliostats within each ring’s radius range and subtracts successively; the install height is divided into 20 equal parts, the per-ring values are tabulated in Excel, and these, together with an install-height relation, are fed into the Python code. Results appear in Tables 3, 4, and 5.</w:t>
      </w:r>
    </w:p>
    <w:p>
      <w:pPr>
        <w:spacing w:after="40" w:before="120"/>
      </w:pPr>
      <w:r>
        <w:rPr>
          <w:b/>
          <w:bCs/>
          <w:sz w:val="19"/>
          <w:szCs w:val="19"/>
        </w:rPr>
        <w:t xml:space="preserve">Table 3. Average optical efficiency and output power on the 21st of each month after optimization (7×7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20"/>
        <w:gridCol w:w="1700"/>
        <w:gridCol w:w="1380"/>
        <w:gridCol w:w="1560"/>
        <w:gridCol w:w="1800"/>
      </w:tblGrid>
      <w:tr>
        <w:trPr>
          <w:tblHeader/>
        </w:trPr>
        <w:tc>
          <w:tcPr>
            <w:tcW w:type="dxa" w:w="110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Date</w:t>
            </w:r>
          </w:p>
        </w:tc>
        <w:tc>
          <w:tcPr>
            <w:tcW w:type="dxa" w:w="182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η̄ (optical)</w:t>
            </w:r>
          </w:p>
        </w:tc>
        <w:tc>
          <w:tcPr>
            <w:tcW w:type="dxa" w:w="170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η̄_cos</w:t>
            </w:r>
          </w:p>
        </w:tc>
        <w:tc>
          <w:tcPr>
            <w:tcW w:type="dxa" w:w="138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η̄_sb</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η̄_trunc</w:t>
            </w:r>
          </w:p>
        </w:tc>
        <w:tc>
          <w:tcPr>
            <w:tcW w:type="dxa" w:w="180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E_field/(N×A) (kW/m²)</w:t>
            </w:r>
          </w:p>
        </w:tc>
      </w:tr>
      <w:tr>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Jan 21</w:t>
            </w:r>
          </w:p>
        </w:tc>
        <w:tc>
          <w:tcPr>
            <w:tcW w:type="dxa" w:w="18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0.523745568</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0.763128059</w:t>
            </w:r>
          </w:p>
        </w:tc>
        <w:tc>
          <w:tcPr>
            <w:tcW w:type="dxa" w:w="13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0.88722</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0.8723459</w:t>
            </w:r>
          </w:p>
        </w:tc>
        <w:tc>
          <w:tcPr>
            <w:tcW w:type="dxa" w:w="18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0.475274395</w:t>
            </w:r>
          </w:p>
        </w:tc>
      </w:tr>
      <w:tr>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Feb 21</w:t>
            </w:r>
          </w:p>
        </w:tc>
        <w:tc>
          <w:tcPr>
            <w:tcW w:type="dxa" w:w="18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0.532102309</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0.773754046</w:t>
            </w:r>
          </w:p>
        </w:tc>
        <w:tc>
          <w:tcPr>
            <w:tcW w:type="dxa" w:w="13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0.87231</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0.8890342</w:t>
            </w:r>
          </w:p>
        </w:tc>
        <w:tc>
          <w:tcPr>
            <w:tcW w:type="dxa" w:w="18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0.49754126</w:t>
            </w:r>
          </w:p>
        </w:tc>
      </w:tr>
      <w:tr>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Mar 21</w:t>
            </w:r>
          </w:p>
        </w:tc>
        <w:tc>
          <w:tcPr>
            <w:tcW w:type="dxa" w:w="18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0.549914813</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0.790195917</w:t>
            </w:r>
          </w:p>
        </w:tc>
        <w:tc>
          <w:tcPr>
            <w:tcW w:type="dxa" w:w="13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0.87992</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0.8918967</w:t>
            </w:r>
          </w:p>
        </w:tc>
        <w:tc>
          <w:tcPr>
            <w:tcW w:type="dxa" w:w="18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0.546615989</w:t>
            </w:r>
          </w:p>
        </w:tc>
      </w:tr>
      <w:tr>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Apr 21</w:t>
            </w:r>
          </w:p>
        </w:tc>
        <w:tc>
          <w:tcPr>
            <w:tcW w:type="dxa" w:w="18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0.56768292</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0.806251682</w:t>
            </w:r>
          </w:p>
        </w:tc>
        <w:tc>
          <w:tcPr>
            <w:tcW w:type="dxa" w:w="13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0.89003</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0.892129</w:t>
            </w:r>
          </w:p>
        </w:tc>
        <w:tc>
          <w:tcPr>
            <w:tcW w:type="dxa" w:w="18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0.583929291</w:t>
            </w:r>
          </w:p>
        </w:tc>
      </w:tr>
      <w:tr>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May 21</w:t>
            </w:r>
          </w:p>
        </w:tc>
        <w:tc>
          <w:tcPr>
            <w:tcW w:type="dxa" w:w="18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0.590019553</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0.815646237</w:t>
            </w:r>
          </w:p>
        </w:tc>
        <w:tc>
          <w:tcPr>
            <w:tcW w:type="dxa" w:w="13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0.90402</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0.9023679</w:t>
            </w:r>
          </w:p>
        </w:tc>
        <w:tc>
          <w:tcPr>
            <w:tcW w:type="dxa" w:w="18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0.615853529</w:t>
            </w:r>
          </w:p>
        </w:tc>
      </w:tr>
      <w:tr>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Jun 21</w:t>
            </w:r>
          </w:p>
        </w:tc>
        <w:tc>
          <w:tcPr>
            <w:tcW w:type="dxa" w:w="18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0.605040133</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0.819179402</w:t>
            </w:r>
          </w:p>
        </w:tc>
        <w:tc>
          <w:tcPr>
            <w:tcW w:type="dxa" w:w="13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0.92301</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0.9023933</w:t>
            </w:r>
          </w:p>
        </w:tc>
        <w:tc>
          <w:tcPr>
            <w:tcW w:type="dxa" w:w="18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0.634622679</w:t>
            </w:r>
          </w:p>
        </w:tc>
      </w:tr>
      <w:tr>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Jul 21</w:t>
            </w:r>
          </w:p>
        </w:tc>
        <w:tc>
          <w:tcPr>
            <w:tcW w:type="dxa" w:w="18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0.619645784</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0.816391126</w:t>
            </w:r>
          </w:p>
        </w:tc>
        <w:tc>
          <w:tcPr>
            <w:tcW w:type="dxa" w:w="13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0.93289</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0.9175123</w:t>
            </w:r>
          </w:p>
        </w:tc>
        <w:tc>
          <w:tcPr>
            <w:tcW w:type="dxa" w:w="18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0.647458526</w:t>
            </w:r>
          </w:p>
        </w:tc>
      </w:tr>
      <w:tr>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Aug 21</w:t>
            </w:r>
          </w:p>
        </w:tc>
        <w:tc>
          <w:tcPr>
            <w:tcW w:type="dxa" w:w="18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0.607461142</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0.806471063</w:t>
            </w:r>
          </w:p>
        </w:tc>
        <w:tc>
          <w:tcPr>
            <w:tcW w:type="dxa" w:w="13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0.92331</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0.9199819</w:t>
            </w:r>
          </w:p>
        </w:tc>
        <w:tc>
          <w:tcPr>
            <w:tcW w:type="dxa" w:w="18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0.625080764</w:t>
            </w:r>
          </w:p>
        </w:tc>
      </w:tr>
      <w:tr>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Sep 21</w:t>
            </w:r>
          </w:p>
        </w:tc>
        <w:tc>
          <w:tcPr>
            <w:tcW w:type="dxa" w:w="18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0.590742135</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0.791038547</w:t>
            </w:r>
          </w:p>
        </w:tc>
        <w:tc>
          <w:tcPr>
            <w:tcW w:type="dxa" w:w="13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0.91678</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0.91861235</w:t>
            </w:r>
          </w:p>
        </w:tc>
        <w:tc>
          <w:tcPr>
            <w:tcW w:type="dxa" w:w="18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0.588504323</w:t>
            </w:r>
          </w:p>
        </w:tc>
      </w:tr>
      <w:tr>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Oct 21</w:t>
            </w:r>
          </w:p>
        </w:tc>
        <w:tc>
          <w:tcPr>
            <w:tcW w:type="dxa" w:w="18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0.562741657</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0.774456199</w:t>
            </w:r>
          </w:p>
        </w:tc>
        <w:tc>
          <w:tcPr>
            <w:tcW w:type="dxa" w:w="13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0.90203</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0.90842344</w:t>
            </w:r>
          </w:p>
        </w:tc>
        <w:tc>
          <w:tcPr>
            <w:tcW w:type="dxa" w:w="18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0.528098515</w:t>
            </w:r>
          </w:p>
        </w:tc>
      </w:tr>
      <w:tr>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Nov 21</w:t>
            </w:r>
          </w:p>
        </w:tc>
        <w:tc>
          <w:tcPr>
            <w:tcW w:type="dxa" w:w="18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0.542031167</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0.763247051</w:t>
            </w:r>
          </w:p>
        </w:tc>
        <w:tc>
          <w:tcPr>
            <w:tcW w:type="dxa" w:w="13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0.89133</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0.89849923</w:t>
            </w:r>
          </w:p>
        </w:tc>
        <w:tc>
          <w:tcPr>
            <w:tcW w:type="dxa" w:w="18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0.469185138</w:t>
            </w:r>
          </w:p>
        </w:tc>
      </w:tr>
      <w:tr>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Dec 21</w:t>
            </w:r>
          </w:p>
        </w:tc>
        <w:tc>
          <w:tcPr>
            <w:tcW w:type="dxa" w:w="18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0.525610674</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0.759609008</w:t>
            </w:r>
          </w:p>
        </w:tc>
        <w:tc>
          <w:tcPr>
            <w:tcW w:type="dxa" w:w="13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0.88544</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0.8812762</w:t>
            </w:r>
          </w:p>
        </w:tc>
        <w:tc>
          <w:tcPr>
            <w:tcW w:type="dxa" w:w="18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0.435073565</w:t>
            </w:r>
          </w:p>
        </w:tc>
      </w:tr>
    </w:tbl>
    <w:p>
      <w:pPr>
        <w:spacing w:after="40" w:before="120"/>
      </w:pPr>
      <w:r>
        <w:rPr>
          <w:b/>
          <w:bCs/>
          <w:sz w:val="19"/>
          <w:szCs w:val="19"/>
        </w:rPr>
        <w:t xml:space="preserve">Table 4. Annual average optical efficiency and output power (7×7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optical eff.</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cosine eff.</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shadow-blocking eff.</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truncation eff.</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Annual avg output (MW)</w:t>
            </w:r>
          </w:p>
        </w:tc>
        <w:tc>
          <w:tcPr>
            <w:tcW w:type="dxa" w:w="15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Per-unit-area annual avg output (kW/m²)</w:t>
            </w:r>
          </w:p>
        </w:tc>
      </w:tr>
      <w:tr>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0.568061488</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0.789947361</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0.900690833</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0.899539368</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67178.64878</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0.553936498</w:t>
            </w:r>
          </w:p>
        </w:tc>
      </w:tr>
    </w:tbl>
    <w:p>
      <w:pPr>
        <w:shd w:fill="F2F2F2" w:val="clear"/>
        <w:spacing w:after="120" w:line="264"/>
      </w:pPr>
      <w:r>
        <w:rPr>
          <w:b/>
          <w:bCs/>
          <w:i/>
          <w:iCs/>
          <w:color w:val="595959"/>
          <w:sz w:val="19"/>
          <w:szCs w:val="19"/>
        </w:rPr>
        <w:t xml:space="preserve">Translator's note: </w:t>
      </w:r>
      <w:r>
        <w:rPr>
          <w:i/>
          <w:iCs/>
          <w:color w:val="595959"/>
          <w:sz w:val="19"/>
          <w:szCs w:val="19"/>
        </w:rPr>
        <w:t xml:space="preserve">The “annual average output thermal power” is printed as 67178.64878 MW, which is impossible for a ≈60 MW plant. The value is actually in kW: 0.553936498 kW/m² × 121,275 m² ≈ 67,178 kW ≈ 67.2 MW. So this 7×7 design also overshoots the 60 MW rating. Reproduced as printed.</w:t>
      </w:r>
    </w:p>
    <w:p>
      <w:pPr>
        <w:spacing w:after="40" w:before="120"/>
      </w:pPr>
      <w:r>
        <w:rPr>
          <w:b/>
          <w:bCs/>
          <w:sz w:val="19"/>
          <w:szCs w:val="19"/>
        </w:rPr>
        <w:t xml:space="preserve">Table 5. Design parameters (7×7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700"/>
        <w:gridCol w:w="1860"/>
        <w:gridCol w:w="2000"/>
      </w:tblGrid>
      <w:tr>
        <w:trPr>
          <w:tblHeader/>
        </w:trPr>
        <w:tc>
          <w:tcPr>
            <w:tcW w:type="dxa" w:w="190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Absorption-tower position</w:t>
            </w:r>
          </w:p>
        </w:tc>
        <w:tc>
          <w:tcPr>
            <w:tcW w:type="dxa" w:w="190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Heliostat size (W × H)</w:t>
            </w:r>
          </w:p>
        </w:tc>
        <w:tc>
          <w:tcPr>
            <w:tcW w:type="dxa" w:w="170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Install height (m)</w:t>
            </w:r>
          </w:p>
        </w:tc>
        <w:tc>
          <w:tcPr>
            <w:tcW w:type="dxa" w:w="186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Total number</w:t>
            </w:r>
          </w:p>
        </w:tc>
        <w:tc>
          <w:tcPr>
            <w:tcW w:type="dxa" w:w="2000"/>
            <w:tcBorders>
              <w:top w:val="single" w:color="BFBFBF" w:sz="1"/>
              <w:left w:val="single" w:color="BFBFBF" w:sz="1"/>
              <w:bottom w:val="single" w:color="BFBFBF" w:sz="1"/>
              <w:right w:val="single" w:color="BFBFBF" w:sz="1"/>
            </w:tcBorders>
            <w:shd w:fill="DCE6F1" w:val="clear"/>
            <w:tcMar>
              <w:top w:type="dxa" w:w="60"/>
              <w:left w:type="dxa" w:w="90"/>
              <w:bottom w:type="dxa" w:w="60"/>
              <w:right w:type="dxa" w:w="90"/>
            </w:tcMar>
            <w:vAlign w:val="center"/>
          </w:tcPr>
          <w:p>
            <w:pPr>
              <w:spacing w:after="0" w:line="240"/>
              <w:jc w:val="center"/>
            </w:pPr>
            <w:r>
              <w:rPr>
                <w:b/>
                <w:bCs/>
                <w:sz w:val="18"/>
                <w:szCs w:val="18"/>
              </w:rPr>
              <w:t xml:space="preserve">Total area (m²)</w:t>
            </w:r>
          </w:p>
        </w:tc>
      </w:tr>
      <w:tr>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(0, 0, 80)</w:t>
            </w:r>
          </w:p>
        </w:tc>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7 m × 7 m</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4</w:t>
            </w:r>
          </w:p>
        </w:tc>
        <w:tc>
          <w:tcPr>
            <w:tcW w:type="dxa" w:w="1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2475</w:t>
            </w:r>
          </w:p>
        </w:tc>
        <w:tc>
          <w:tcPr>
            <w:tcW w:type="dxa" w:w="20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line="240"/>
              <w:jc w:val="center"/>
            </w:pPr>
            <w:r>
              <w:rPr>
                <w:b w:val="false"/>
                <w:bCs w:val="false"/>
                <w:sz w:val="18"/>
                <w:szCs w:val="18"/>
              </w:rPr>
              <w:t xml:space="preserve">121,275</w:t>
            </w:r>
          </w:p>
        </w:tc>
      </w:tr>
    </w:tbl>
    <w:p>
      <w:pPr>
        <w:pStyle w:val="Heading1"/>
      </w:pPr>
      <w:r>
        <w:t xml:space="preserve">3. Conclusion</w:t>
      </w:r>
    </w:p>
    <w:p>
      <w:pPr>
        <w:spacing w:after="120" w:line="276"/>
        <w:ind w:firstLine="360"/>
        <w:jc w:val="both"/>
      </w:pPr>
      <w:r>
        <w:rPr>
          <w:sz w:val="22"/>
          <w:szCs w:val="22"/>
        </w:rPr>
        <w:t xml:space="preserve">For the heliostat-field optimization-design problem, this paper establishes a shadow-and-blocking efficiency model and a nonlinear objective-programming model that maximizes the per-unit-area output thermal power. With the heliostat size fixed, Tables 1 and 2 give the field’s annual average optical efficiency, annual average output thermal power, and per-unit-area annual average output. At a rated annual average output of 60 MW, the optimal adjacent-heliostat spacing is 12 m; the tower position is (0, 0, 80), heliostat size 6 m × 6 m, install height 4 m, total number 2475, and total field area 89,100 m². Keeping the rated power fixed and maximizing the per-unit-area annual average output yields the design parameters in Table 5.</w:t>
      </w:r>
    </w:p>
    <w:p>
      <w:pPr>
        <w:pStyle w:val="Heading1"/>
      </w:pPr>
      <w:r>
        <w:t xml:space="preserve">References</w:t>
      </w:r>
    </w:p>
    <w:p>
      <w:pPr>
        <w:spacing w:after="60" w:line="264"/>
        <w:ind w:left="360" w:hanging="360"/>
      </w:pPr>
      <w:r>
        <w:rPr>
          <w:sz w:val="20"/>
          <w:szCs w:val="20"/>
        </w:rPr>
        <w:t xml:space="preserve">[1] 24-Hour Continuous Power Generation! “Clean + Storage + Peak-Shaving,” Over Ten Thousand Heliostats “Bloom” on the Gobi [EB/OL]. CCTV, 2023-08-14. https://news.cctv.com/2023/08/14/</w:t>
      </w:r>
    </w:p>
    <w:p>
      <w:pPr>
        <w:spacing w:after="60" w:line="264"/>
        <w:ind w:left="360" w:hanging="360"/>
      </w:pPr>
      <w:r>
        <w:rPr>
          <w:sz w:val="20"/>
          <w:szCs w:val="20"/>
        </w:rPr>
        <w:t xml:space="preserve">[2] Baidu Baike. Solar Altitude Angle [EB/OL]. 2023-09-08.</w:t>
      </w:r>
    </w:p>
    <w:p>
      <w:pPr>
        <w:spacing w:after="60" w:line="264"/>
        <w:ind w:left="360" w:hanging="360"/>
      </w:pPr>
      <w:r>
        <w:rPr>
          <w:sz w:val="20"/>
          <w:szCs w:val="20"/>
        </w:rPr>
        <w:t xml:space="preserve">[3] Baidu Baike. Solar Azimuth Angle [EB/OL]. 2023-09-08.</w:t>
      </w:r>
    </w:p>
    <w:p>
      <w:pPr>
        <w:spacing w:after="60" w:line="264"/>
        <w:ind w:left="360" w:hanging="360"/>
      </w:pPr>
      <w:r>
        <w:rPr>
          <w:sz w:val="20"/>
          <w:szCs w:val="20"/>
        </w:rPr>
        <w:t xml:space="preserve">[4] Yu, Q., Xu, E., Chang, C., Yang, H. Modeling and Simulation of the Heliostat Field of a Tower Solar Thermal Power Station [J]. Proceedings of the CSEE, 2012, 32(23): 90–97.</w:t>
      </w:r>
    </w:p>
    <w:p>
      <w:pPr>
        <w:spacing w:after="60" w:line="264"/>
        <w:ind w:left="360" w:hanging="360"/>
      </w:pPr>
      <w:r>
        <w:rPr>
          <w:sz w:val="20"/>
          <w:szCs w:val="20"/>
        </w:rPr>
        <w:t xml:space="preserve">[5] Zhang, P., Hua, W., Wang, J., Sun, D. A Method for Calculating the Optical Efficiency of a Solar Tower Heliostat Field [J]. Technology and Market, 2021, 28(6): 5–8.</w:t>
      </w:r>
    </w:p>
    <w:p>
      <w:pPr>
        <w:spacing w:after="60" w:line="264"/>
        <w:ind w:left="360" w:hanging="360"/>
      </w:pPr>
      <w:r>
        <w:rPr>
          <w:sz w:val="20"/>
          <w:szCs w:val="20"/>
        </w:rPr>
        <w:t xml:space="preserve">[6] Farges, O., Bezian, J.J., El Hafi, M. Global Optimization of Solar Power Tower Systems Using a Monte Carlo Algorithm: Application to a Redesign of the PS10 Solar Thermal Power Plant [J]. Renewable Energy, 2018, 119: 345–353. https://doi.org/10.1016/j.renene.2017.12.028</w:t>
      </w:r>
    </w:p>
    <w:p>
      <w:pPr>
        <w:spacing w:after="60" w:line="264"/>
        <w:ind w:left="360" w:hanging="360"/>
      </w:pPr>
      <w:r>
        <w:rPr>
          <w:sz w:val="20"/>
          <w:szCs w:val="20"/>
        </w:rPr>
        <w:t xml:space="preserve">[7] Pan, L., Li, L., Ding, T. Simulation Study of Cosine Efficiency in a Tower Solar Thermal Power Field [J]. Renewable Energy, 2013, 31(2): 1–5.</w:t>
      </w:r>
    </w:p>
    <w:p>
      <w:pPr>
        <w:spacing w:after="60" w:line="264"/>
        <w:ind w:left="360" w:hanging="360"/>
      </w:pPr>
      <w:r>
        <w:rPr>
          <w:sz w:val="20"/>
          <w:szCs w:val="20"/>
        </w:rPr>
        <w:t xml:space="preserve">[8] Fang, S. Research on the Layout and Control Strategy of the Mirror Field of a Tower Solar Thermal Power System [D]. Master’s thesis. Zhenjiang: Jiangsu University of Science and Technology, 2016.</w:t>
      </w:r>
    </w:p>
    <w:p>
      <w:pPr>
        <w:spacing w:after="60" w:line="264"/>
        <w:ind w:left="360" w:hanging="360"/>
      </w:pPr>
      <w:r>
        <w:rPr>
          <w:sz w:val="20"/>
          <w:szCs w:val="20"/>
        </w:rPr>
        <w:t xml:space="preserve">[9] Du, Y., et al. Influence Analysis of Different Focusing Strategies of Heliostats in a Tower Solar Thermal Power Station [J]. Journal of Power Engineering, 2020, 40(5): 426–432.</w:t>
      </w:r>
    </w:p>
    <w:p>
      <w:pPr>
        <w:spacing w:after="60" w:line="264"/>
        <w:ind w:left="360" w:hanging="360"/>
      </w:pPr>
      <w:r>
        <w:rPr>
          <w:sz w:val="20"/>
          <w:szCs w:val="20"/>
        </w:rPr>
        <w:t xml:space="preserve">[10] Gao, B., Liu, J., Sun, H., et al. Heliostat-Field Optimization Layout Based on an Adaptive Gravitational-Search Algorithm [J]. Acta Energiae Solaris Sinica, 2022, 43(10): 119–125.</w:t>
      </w:r>
    </w:p>
    <w:p>
      <w:pPr>
        <w:spacing w:after="60" w:line="264"/>
        <w:ind w:left="360" w:hanging="360"/>
      </w:pPr>
      <w:r>
        <w:rPr>
          <w:sz w:val="20"/>
          <w:szCs w:val="20"/>
        </w:rPr>
        <w:t xml:space="preserve">[11] Jiang, Q., Xie, J., Ye, J. Mathematical Models [M]. Beijing: Higher Education Press, 2003.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5496"/>
      <w:sz w:val="25"/>
      <w:szCs w:val="25"/>
    </w:rPr>
  </w:style>
  <w:style w:type="paragraph" w:styleId="Heading3">
    <w:name w:val="Heading 3"/>
    <w:basedOn w:val="Normal"/>
    <w:next w:val="Normal"/>
    <w:qFormat/>
    <w:pPr>
      <w:spacing w:after="80" w:before="140"/>
      <w:outlineLvl w:val="2"/>
    </w:pPr>
    <w:rPr>
      <w:rFonts w:ascii="Calibri" w:cs="Calibri" w:eastAsia="Calibri" w:hAnsi="Calibri"/>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2026-06-17T13:00:35.343Z</dcterms:created>
  <dcterms:modified xsi:type="dcterms:W3CDTF">2026-06-17T13:00:35.343Z</dcterms:modified>
</cp:coreProperties>
</file>

<file path=docProps/custom.xml><?xml version="1.0" encoding="utf-8"?>
<Properties xmlns="http://schemas.openxmlformats.org/officeDocument/2006/custom-properties" xmlns:vt="http://schemas.openxmlformats.org/officeDocument/2006/docPropsVTypes"/>
</file>