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E2302" w14:textId="7777777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Arial"/>
          <w:color w:val="000000"/>
          <w:sz w:val="20"/>
          <w:szCs w:val="20"/>
        </w:rPr>
        <w:tab/>
        <w:t xml:space="preserve"> </w:t>
      </w:r>
      <w:r w:rsidRPr="00D7003B">
        <w:rPr>
          <w:rFonts w:ascii="TeXGyreSchola" w:eastAsia="Times New Roman" w:hAnsi="TeXGyreSchola" w:cs="Arial"/>
          <w:color w:val="000000"/>
          <w:sz w:val="20"/>
          <w:szCs w:val="20"/>
        </w:rPr>
        <w:tab/>
        <w:t xml:space="preserve"> </w:t>
      </w:r>
      <w:r w:rsidRPr="00D7003B">
        <w:rPr>
          <w:rFonts w:ascii="TeXGyreSchola" w:eastAsia="Times New Roman" w:hAnsi="TeXGyreSchola" w:cs="Arial"/>
          <w:color w:val="000000"/>
          <w:sz w:val="20"/>
          <w:szCs w:val="20"/>
        </w:rPr>
        <w:tab/>
        <w:t xml:space="preserve"> </w:t>
      </w:r>
      <w:r w:rsidRPr="00D7003B">
        <w:rPr>
          <w:rFonts w:ascii="TeXGyreSchola" w:eastAsia="Times New Roman" w:hAnsi="TeXGyreSchola" w:cs="Arial"/>
          <w:color w:val="000000"/>
          <w:sz w:val="20"/>
          <w:szCs w:val="20"/>
        </w:rPr>
        <w:tab/>
      </w:r>
    </w:p>
    <w:p w14:paraId="10A1CAB0" w14:textId="4157E972" w:rsidR="00D7003B" w:rsidRPr="00D7003B" w:rsidRDefault="00D7003B" w:rsidP="00D7003B">
      <w:pPr>
        <w:spacing w:after="0" w:line="240" w:lineRule="auto"/>
        <w:jc w:val="center"/>
        <w:rPr>
          <w:rFonts w:ascii="TeXGyreSchola" w:eastAsia="Times New Roman" w:hAnsi="TeXGyreSchola" w:cs="Times New Roman"/>
          <w:sz w:val="48"/>
          <w:szCs w:val="48"/>
        </w:rPr>
      </w:pPr>
      <w:r w:rsidRPr="00D7003B">
        <w:rPr>
          <w:rFonts w:ascii="TeXGyreSchola" w:eastAsia="Times New Roman" w:hAnsi="TeXGyreSchola" w:cs="Times New Roman"/>
          <w:i/>
          <w:color w:val="000000"/>
          <w:sz w:val="48"/>
          <w:szCs w:val="48"/>
        </w:rPr>
        <w:t>TBC</w:t>
      </w:r>
      <w:r w:rsidRPr="00D7003B">
        <w:rPr>
          <w:rFonts w:ascii="TeXGyreSchola" w:eastAsia="Times New Roman" w:hAnsi="TeXGyreSchola" w:cs="Times New Roman"/>
          <w:i/>
          <w:color w:val="000000"/>
          <w:sz w:val="48"/>
          <w:szCs w:val="48"/>
        </w:rPr>
        <w:t xml:space="preserve"> Log</w:t>
      </w:r>
      <w:r w:rsidRPr="00D7003B">
        <w:rPr>
          <w:rFonts w:ascii="TeXGyreSchola" w:eastAsia="Times New Roman" w:hAnsi="TeXGyreSchola" w:cs="Times New Roman"/>
          <w:color w:val="000000"/>
          <w:sz w:val="48"/>
          <w:szCs w:val="48"/>
        </w:rPr>
        <w:t xml:space="preserve"> User Manual</w:t>
      </w:r>
    </w:p>
    <w:p w14:paraId="29E975F0" w14:textId="7777777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7C5E5445" w14:textId="707B30F4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The </w:t>
      </w:r>
      <w:proofErr w:type="spellStart"/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>TBCLog</w:t>
      </w:r>
      <w:proofErr w:type="spellEnd"/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>application</w:t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displays </w:t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the history of actions 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recorded </w:t>
      </w:r>
      <w:r w:rsidR="006406F9">
        <w:rPr>
          <w:rFonts w:ascii="TeXGyreSchola" w:eastAsia="Times New Roman" w:hAnsi="TeXGyreSchola" w:cs="Times New Roman"/>
          <w:color w:val="000000"/>
          <w:sz w:val="20"/>
          <w:szCs w:val="20"/>
        </w:rPr>
        <w:t>by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the </w:t>
      </w:r>
      <w:proofErr w:type="spellStart"/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Talkbox</w:t>
      </w:r>
      <w:proofErr w:type="spellEnd"/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 xml:space="preserve"> </w:t>
      </w:r>
      <w:proofErr w:type="spellStart"/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Configuator</w:t>
      </w:r>
      <w:proofErr w:type="spellEnd"/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>.</w:t>
      </w:r>
      <w:bookmarkStart w:id="0" w:name="_GoBack"/>
      <w:bookmarkEnd w:id="0"/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>All such events (like button presses and configuration loads) are timestamped and class-named.</w:t>
      </w:r>
    </w:p>
    <w:p w14:paraId="60EB8817" w14:textId="6CA83C72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The dropdown </w:t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>down menu will display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three buttons: </w:t>
      </w:r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Open Log Folder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, </w:t>
      </w:r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Reset Log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, and </w:t>
      </w:r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Export Log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. The log folder is simply the contained in the </w:t>
      </w:r>
      <w:proofErr w:type="spellStart"/>
      <w:r w:rsidRPr="00D7003B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TalkboxData</w:t>
      </w:r>
      <w:proofErr w:type="spellEnd"/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directory. In this case, only configuration logs are loaded. The reason we cannot use a notepad for these operations is because there are multiple log files, recorded over many uses. Thus, resetting these logs and exporting them into one file are automated with this application. </w:t>
      </w:r>
    </w:p>
    <w:p w14:paraId="46D0B3D2" w14:textId="7777777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4F8F547B" w14:textId="4C4E9C9A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48A8E0AE" w14:textId="57582F03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  <w:t xml:space="preserve"> </w:t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 xml:space="preserve">The initial application state  </w:t>
      </w:r>
      <w:r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br/>
      </w:r>
    </w:p>
    <w:p w14:paraId="11C03F91" w14:textId="6D105E0E" w:rsidR="00D7003B" w:rsidRPr="00D7003B" w:rsidRDefault="00D7003B" w:rsidP="00D7003B">
      <w:pPr>
        <w:spacing w:after="240" w:line="240" w:lineRule="auto"/>
        <w:rPr>
          <w:rFonts w:ascii="TeXGyreSchola" w:eastAsia="Times New Roman" w:hAnsi="TeXGyreSchola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E2A0E" wp14:editId="457C40FC">
            <wp:simplePos x="0" y="0"/>
            <wp:positionH relativeFrom="column">
              <wp:posOffset>780844</wp:posOffset>
            </wp:positionH>
            <wp:positionV relativeFrom="paragraph">
              <wp:posOffset>2430</wp:posOffset>
            </wp:positionV>
            <wp:extent cx="4624705" cy="3270885"/>
            <wp:effectExtent l="152400" t="152400" r="366395" b="3676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270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</w:p>
    <w:p w14:paraId="0F036A61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673DDD9C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7C3E4998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480ACA9E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2086E044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18624947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18607427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166A640C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5A87694E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7E1EC2AF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4504223F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5BD2CE09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79147571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5C2947A3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4F3991C8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3B13BA8A" w14:textId="4E24879E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267BD6B0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5CAFDD37" w14:textId="77777777" w:rsid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</w:p>
    <w:p w14:paraId="175354AD" w14:textId="216FF33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color w:val="000000"/>
          <w:sz w:val="24"/>
          <w:szCs w:val="24"/>
        </w:rPr>
      </w:pP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To open the configuration logs, </w:t>
      </w:r>
      <w:r w:rsidR="00175BC9">
        <w:rPr>
          <w:rFonts w:ascii="TeXGyreSchola" w:eastAsia="Times New Roman" w:hAnsi="TeXGyreSchola" w:cs="Times New Roman"/>
          <w:color w:val="000000"/>
          <w:sz w:val="20"/>
          <w:szCs w:val="20"/>
        </w:rPr>
        <w:t>please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press </w:t>
      </w:r>
      <w:r w:rsidRPr="00D7003B">
        <w:rPr>
          <w:rFonts w:ascii="TeXGyreSchola" w:eastAsia="Times New Roman" w:hAnsi="TeXGyreSchola" w:cs="Times New Roman"/>
          <w:color w:val="000000"/>
          <w:sz w:val="24"/>
          <w:szCs w:val="24"/>
        </w:rPr>
        <w:t>Open Log Folder</w:t>
      </w:r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. Locate to the </w:t>
      </w:r>
      <w:proofErr w:type="spellStart"/>
      <w:r>
        <w:rPr>
          <w:rFonts w:ascii="TeXGyreSchola" w:eastAsia="Times New Roman" w:hAnsi="TeXGyreSchola" w:cs="Times New Roman"/>
          <w:color w:val="000000"/>
          <w:sz w:val="20"/>
          <w:szCs w:val="20"/>
        </w:rPr>
        <w:t>TalkboxData</w:t>
      </w:r>
      <w:proofErr w:type="spellEnd"/>
      <w:r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directory and hit </w:t>
      </w:r>
      <w:r>
        <w:rPr>
          <w:rFonts w:ascii="TeXGyreSchola" w:eastAsia="Times New Roman" w:hAnsi="TeXGyreSchola" w:cs="Times New Roman"/>
          <w:color w:val="000000"/>
          <w:sz w:val="24"/>
          <w:szCs w:val="24"/>
        </w:rPr>
        <w:t>logs.</w:t>
      </w:r>
    </w:p>
    <w:p w14:paraId="72E430C2" w14:textId="12DF8B89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372F805B" w14:textId="2E891C51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345C02E5" w14:textId="7777777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48E7CAE1" w14:textId="512C84BD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i/>
          <w:iCs/>
          <w:color w:val="000000"/>
          <w:sz w:val="20"/>
          <w:szCs w:val="20"/>
        </w:rPr>
        <w:tab/>
      </w:r>
    </w:p>
    <w:p w14:paraId="14319DFE" w14:textId="231ADC2A" w:rsidR="00D7003B" w:rsidRPr="00D7003B" w:rsidRDefault="00D7003B" w:rsidP="00D7003B">
      <w:pPr>
        <w:spacing w:after="24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Times New Roman"/>
          <w:sz w:val="20"/>
          <w:szCs w:val="20"/>
        </w:rPr>
        <w:lastRenderedPageBreak/>
        <w:br/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7BCFE" wp14:editId="59780334">
            <wp:simplePos x="0" y="0"/>
            <wp:positionH relativeFrom="margin">
              <wp:align>center</wp:align>
            </wp:positionH>
            <wp:positionV relativeFrom="paragraph">
              <wp:posOffset>460895</wp:posOffset>
            </wp:positionV>
            <wp:extent cx="4303395" cy="2646045"/>
            <wp:effectExtent l="152400" t="152400" r="363855" b="3638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646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  <w:r w:rsidRPr="00D7003B">
        <w:rPr>
          <w:rFonts w:ascii="TeXGyreSchola" w:eastAsia="Times New Roman" w:hAnsi="TeXGyreSchola" w:cs="Times New Roman"/>
          <w:sz w:val="20"/>
          <w:szCs w:val="20"/>
        </w:rPr>
        <w:br/>
      </w:r>
    </w:p>
    <w:p w14:paraId="4E86E686" w14:textId="4C5B92A7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</w:p>
    <w:p w14:paraId="284686EF" w14:textId="0C0FB201" w:rsidR="00D7003B" w:rsidRPr="00D7003B" w:rsidRDefault="00D7003B" w:rsidP="00D7003B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  <w:r w:rsidRPr="00D7003B">
        <w:rPr>
          <w:rFonts w:ascii="TeXGyreSchola" w:eastAsia="Times New Roman" w:hAnsi="TeXGyreSchola" w:cs="Times New Roman"/>
          <w:color w:val="000000"/>
          <w:sz w:val="20"/>
          <w:szCs w:val="20"/>
        </w:rPr>
        <w:tab/>
      </w:r>
    </w:p>
    <w:p w14:paraId="123F597C" w14:textId="596AE4E7" w:rsidR="00D7003B" w:rsidRDefault="00D7003B">
      <w:pPr>
        <w:rPr>
          <w:rFonts w:ascii="TeXGyreSchola" w:hAnsi="TeXGyreSchola"/>
          <w:sz w:val="20"/>
          <w:szCs w:val="20"/>
        </w:rPr>
      </w:pPr>
    </w:p>
    <w:p w14:paraId="1BF29E42" w14:textId="1BEE4058" w:rsidR="00D7003B" w:rsidRDefault="00D7003B">
      <w:pPr>
        <w:rPr>
          <w:rFonts w:ascii="TeXGyreSchola" w:hAnsi="TeXGyreSchola"/>
          <w:sz w:val="20"/>
          <w:szCs w:val="20"/>
        </w:rPr>
      </w:pPr>
    </w:p>
    <w:p w14:paraId="1E272C70" w14:textId="5FE08E91" w:rsidR="00D7003B" w:rsidRDefault="00D7003B">
      <w:pPr>
        <w:rPr>
          <w:rFonts w:ascii="TeXGyreSchola" w:hAnsi="TeXGyreSchola"/>
          <w:sz w:val="20"/>
          <w:szCs w:val="20"/>
        </w:rPr>
      </w:pPr>
    </w:p>
    <w:p w14:paraId="44CA2E43" w14:textId="6A6ED0F1" w:rsidR="00D7003B" w:rsidRDefault="00D7003B">
      <w:pPr>
        <w:rPr>
          <w:rFonts w:ascii="TeXGyreSchola" w:hAnsi="TeXGyreSchola"/>
          <w:sz w:val="20"/>
          <w:szCs w:val="20"/>
        </w:rPr>
      </w:pPr>
    </w:p>
    <w:p w14:paraId="534DAA83" w14:textId="5964135A" w:rsidR="00D7003B" w:rsidRDefault="00D7003B">
      <w:pPr>
        <w:rPr>
          <w:rFonts w:ascii="TeXGyreSchola" w:hAnsi="TeXGyreSchola"/>
          <w:sz w:val="20"/>
          <w:szCs w:val="20"/>
        </w:rPr>
      </w:pPr>
    </w:p>
    <w:p w14:paraId="6F4754D6" w14:textId="77777777" w:rsidR="00D7003B" w:rsidRDefault="00D7003B">
      <w:pPr>
        <w:rPr>
          <w:rFonts w:ascii="TeXGyreSchola" w:hAnsi="TeXGyreSchola"/>
          <w:sz w:val="20"/>
          <w:szCs w:val="20"/>
        </w:rPr>
      </w:pPr>
    </w:p>
    <w:p w14:paraId="02343D8E" w14:textId="69EB868C" w:rsidR="00D7003B" w:rsidRDefault="00D7003B">
      <w:pPr>
        <w:rPr>
          <w:rFonts w:ascii="TeXGyreSchola" w:hAnsi="TeXGyreSchola"/>
          <w:sz w:val="24"/>
          <w:szCs w:val="24"/>
        </w:rPr>
      </w:pPr>
      <w:r w:rsidRPr="00D7003B">
        <w:rPr>
          <w:rFonts w:ascii="TeXGyreSchola" w:hAnsi="TeXGyreSchola"/>
          <w:sz w:val="20"/>
          <w:szCs w:val="20"/>
        </w:rPr>
        <w:t xml:space="preserve">Now all the configuration logs will be loaded. If the logs are too long and one wishes to reset everything, press </w:t>
      </w:r>
      <w:r w:rsidRPr="00D7003B">
        <w:rPr>
          <w:rFonts w:ascii="TeXGyreSchola" w:hAnsi="TeXGyreSchola"/>
          <w:sz w:val="24"/>
          <w:szCs w:val="24"/>
        </w:rPr>
        <w:t>Reset Logs</w:t>
      </w:r>
      <w:r w:rsidRPr="00D7003B">
        <w:rPr>
          <w:rFonts w:ascii="TeXGyreSchola" w:hAnsi="TeXGyreSchola"/>
          <w:sz w:val="20"/>
          <w:szCs w:val="20"/>
        </w:rPr>
        <w:t xml:space="preserve">. On the other hand, if one wants to export these logs, press </w:t>
      </w:r>
      <w:r w:rsidRPr="00D7003B">
        <w:rPr>
          <w:rFonts w:ascii="TeXGyreSchola" w:hAnsi="TeXGyreSchola"/>
          <w:sz w:val="24"/>
          <w:szCs w:val="24"/>
        </w:rPr>
        <w:t>Export Logs</w:t>
      </w:r>
      <w:r w:rsidRPr="00D7003B">
        <w:rPr>
          <w:rFonts w:ascii="TeXGyreSchola" w:hAnsi="TeXGyreSchola"/>
          <w:sz w:val="20"/>
          <w:szCs w:val="20"/>
        </w:rPr>
        <w:t xml:space="preserve"> and </w:t>
      </w:r>
      <w:r w:rsidR="00175BC9">
        <w:rPr>
          <w:rFonts w:ascii="TeXGyreSchola" w:hAnsi="TeXGyreSchola"/>
          <w:sz w:val="20"/>
          <w:szCs w:val="20"/>
        </w:rPr>
        <w:t>select</w:t>
      </w:r>
      <w:r w:rsidRPr="00D7003B">
        <w:rPr>
          <w:rFonts w:ascii="TeXGyreSchola" w:hAnsi="TeXGyreSchola"/>
          <w:sz w:val="20"/>
          <w:szCs w:val="20"/>
        </w:rPr>
        <w:t xml:space="preserve"> which directory you would like to</w:t>
      </w:r>
      <w:r w:rsidR="00175BC9">
        <w:rPr>
          <w:rFonts w:ascii="TeXGyreSchola" w:hAnsi="TeXGyreSchola"/>
          <w:sz w:val="20"/>
          <w:szCs w:val="20"/>
        </w:rPr>
        <w:t xml:space="preserve"> them</w:t>
      </w:r>
      <w:r w:rsidRPr="00D7003B">
        <w:rPr>
          <w:rFonts w:ascii="TeXGyreSchola" w:hAnsi="TeXGyreSchola"/>
          <w:sz w:val="20"/>
          <w:szCs w:val="20"/>
        </w:rPr>
        <w:t xml:space="preserve"> </w:t>
      </w:r>
      <w:r w:rsidR="00175BC9">
        <w:rPr>
          <w:rFonts w:ascii="TeXGyreSchola" w:hAnsi="TeXGyreSchola"/>
          <w:sz w:val="20"/>
          <w:szCs w:val="20"/>
        </w:rPr>
        <w:t>to place them in</w:t>
      </w:r>
      <w:r w:rsidRPr="00D7003B">
        <w:rPr>
          <w:rFonts w:ascii="TeXGyreSchola" w:hAnsi="TeXGyreSchola"/>
          <w:sz w:val="20"/>
          <w:szCs w:val="20"/>
        </w:rPr>
        <w:t xml:space="preserve">. The file </w:t>
      </w:r>
      <w:r>
        <w:rPr>
          <w:rFonts w:ascii="TeXGyreSchola" w:hAnsi="TeXGyreSchola"/>
          <w:sz w:val="20"/>
          <w:szCs w:val="20"/>
        </w:rPr>
        <w:t xml:space="preserve">will be </w:t>
      </w:r>
      <w:r w:rsidR="00175BC9">
        <w:rPr>
          <w:rFonts w:ascii="TeXGyreSchola" w:hAnsi="TeXGyreSchola"/>
          <w:sz w:val="20"/>
          <w:szCs w:val="20"/>
        </w:rPr>
        <w:t xml:space="preserve">called </w:t>
      </w:r>
      <w:r w:rsidRPr="00D7003B">
        <w:rPr>
          <w:rFonts w:ascii="TeXGyreSchola" w:hAnsi="TeXGyreSchola"/>
          <w:sz w:val="24"/>
          <w:szCs w:val="24"/>
        </w:rPr>
        <w:t>EXPORTED_LOGS.</w:t>
      </w:r>
      <w:r w:rsidR="00175BC9">
        <w:rPr>
          <w:rFonts w:ascii="TeXGyreSchola" w:hAnsi="TeXGyreSchola"/>
          <w:sz w:val="24"/>
          <w:szCs w:val="24"/>
        </w:rPr>
        <w:t xml:space="preserve"> </w:t>
      </w:r>
    </w:p>
    <w:p w14:paraId="5AF3A683" w14:textId="77777777" w:rsidR="00D7003B" w:rsidRDefault="00D7003B">
      <w:pPr>
        <w:rPr>
          <w:rFonts w:ascii="TeXGyreSchola" w:hAnsi="TeXGyreSchola"/>
          <w:sz w:val="24"/>
          <w:szCs w:val="24"/>
        </w:rPr>
      </w:pPr>
    </w:p>
    <w:p w14:paraId="39A098DC" w14:textId="299F420A" w:rsidR="00D7003B" w:rsidRPr="00D7003B" w:rsidRDefault="00D7003B">
      <w:pPr>
        <w:rPr>
          <w:rFonts w:ascii="TeXGyreSchola" w:hAnsi="TeXGyreSchol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10524B" wp14:editId="172DB19F">
            <wp:simplePos x="0" y="0"/>
            <wp:positionH relativeFrom="column">
              <wp:posOffset>247273</wp:posOffset>
            </wp:positionH>
            <wp:positionV relativeFrom="paragraph">
              <wp:posOffset>3810</wp:posOffset>
            </wp:positionV>
            <wp:extent cx="5321300" cy="3773805"/>
            <wp:effectExtent l="152400" t="152400" r="355600" b="3600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77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7003B">
        <w:rPr>
          <w:rFonts w:ascii="TeXGyreSchola" w:hAnsi="TeXGyreSchola"/>
          <w:sz w:val="20"/>
          <w:szCs w:val="20"/>
        </w:rPr>
        <w:t xml:space="preserve"> </w:t>
      </w:r>
    </w:p>
    <w:sectPr w:rsidR="00D7003B" w:rsidRPr="00D700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B1B0" w14:textId="77777777" w:rsidR="001A5E38" w:rsidRDefault="001A5E38" w:rsidP="00D7003B">
      <w:pPr>
        <w:spacing w:after="0" w:line="240" w:lineRule="auto"/>
      </w:pPr>
      <w:r>
        <w:separator/>
      </w:r>
    </w:p>
  </w:endnote>
  <w:endnote w:type="continuationSeparator" w:id="0">
    <w:p w14:paraId="0E4D4ABA" w14:textId="77777777" w:rsidR="001A5E38" w:rsidRDefault="001A5E38" w:rsidP="00D7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Schola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60F24" w14:textId="77777777" w:rsidR="001A5E38" w:rsidRDefault="001A5E38" w:rsidP="00D7003B">
      <w:pPr>
        <w:spacing w:after="0" w:line="240" w:lineRule="auto"/>
      </w:pPr>
      <w:r>
        <w:separator/>
      </w:r>
    </w:p>
  </w:footnote>
  <w:footnote w:type="continuationSeparator" w:id="0">
    <w:p w14:paraId="484EBEC4" w14:textId="77777777" w:rsidR="001A5E38" w:rsidRDefault="001A5E38" w:rsidP="00D7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2D171" w14:textId="4CC44FE0" w:rsidR="00D7003B" w:rsidRPr="00D7003B" w:rsidRDefault="00D7003B">
    <w:pPr>
      <w:pStyle w:val="Header"/>
      <w:rPr>
        <w:rFonts w:ascii="TeXGyreSchola" w:hAnsi="TeXGyreSchola"/>
        <w:sz w:val="20"/>
        <w:szCs w:val="20"/>
      </w:rPr>
    </w:pPr>
    <w:proofErr w:type="spellStart"/>
    <w:r w:rsidRPr="00D7003B">
      <w:rPr>
        <w:rFonts w:ascii="TeXGyreSchola" w:hAnsi="TeXGyreSchola"/>
        <w:sz w:val="20"/>
        <w:szCs w:val="20"/>
      </w:rPr>
      <w:t>Talkbox</w:t>
    </w:r>
    <w:proofErr w:type="spellEnd"/>
    <w:r w:rsidRPr="00D7003B">
      <w:rPr>
        <w:rFonts w:ascii="TeXGyreSchola" w:hAnsi="TeXGyreSchola"/>
        <w:sz w:val="20"/>
        <w:szCs w:val="20"/>
      </w:rPr>
      <w:t xml:space="preserve"> Project</w:t>
    </w:r>
  </w:p>
  <w:p w14:paraId="2239208A" w14:textId="1180F1DF" w:rsidR="00D7003B" w:rsidRPr="00D7003B" w:rsidRDefault="00D7003B">
    <w:pPr>
      <w:pStyle w:val="Header"/>
      <w:rPr>
        <w:rFonts w:ascii="TeXGyreSchola" w:hAnsi="TeXGyreSchola"/>
        <w:sz w:val="20"/>
        <w:szCs w:val="20"/>
      </w:rPr>
    </w:pPr>
    <w:r w:rsidRPr="00D7003B">
      <w:rPr>
        <w:rFonts w:ascii="TeXGyreSchola" w:hAnsi="TeXGyreSchola"/>
        <w:sz w:val="20"/>
        <w:szCs w:val="20"/>
      </w:rPr>
      <w:t>EECS 2311</w:t>
    </w:r>
  </w:p>
  <w:p w14:paraId="1ACBB6E1" w14:textId="014E8399" w:rsidR="00D7003B" w:rsidRPr="00D7003B" w:rsidRDefault="00D7003B">
    <w:pPr>
      <w:pStyle w:val="Header"/>
      <w:rPr>
        <w:rFonts w:ascii="TeXGyreSchola" w:hAnsi="TeXGyreSchola"/>
        <w:sz w:val="20"/>
        <w:szCs w:val="20"/>
      </w:rPr>
    </w:pPr>
    <w:r w:rsidRPr="00D7003B">
      <w:rPr>
        <w:rFonts w:ascii="TeXGyreSchola" w:hAnsi="TeXGyreSchola"/>
        <w:sz w:val="20"/>
        <w:szCs w:val="20"/>
      </w:rPr>
      <w:t>Alberto M., Rohan T., and Jordan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3B"/>
    <w:rsid w:val="000F79AF"/>
    <w:rsid w:val="00175BC9"/>
    <w:rsid w:val="001A5E38"/>
    <w:rsid w:val="006406F9"/>
    <w:rsid w:val="00D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C26"/>
  <w15:chartTrackingRefBased/>
  <w15:docId w15:val="{54B3D11F-E0E1-47D8-97D6-CA5EED5B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3B"/>
  </w:style>
  <w:style w:type="paragraph" w:styleId="Footer">
    <w:name w:val="footer"/>
    <w:basedOn w:val="Normal"/>
    <w:link w:val="FooterChar"/>
    <w:uiPriority w:val="99"/>
    <w:unhideWhenUsed/>
    <w:rsid w:val="00D7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03B"/>
  </w:style>
  <w:style w:type="paragraph" w:styleId="NormalWeb">
    <w:name w:val="Normal (Web)"/>
    <w:basedOn w:val="Normal"/>
    <w:uiPriority w:val="99"/>
    <w:semiHidden/>
    <w:unhideWhenUsed/>
    <w:rsid w:val="00D7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003B"/>
  </w:style>
  <w:style w:type="paragraph" w:styleId="BalloonText">
    <w:name w:val="Balloon Text"/>
    <w:basedOn w:val="Normal"/>
    <w:link w:val="BalloonTextChar"/>
    <w:uiPriority w:val="99"/>
    <w:semiHidden/>
    <w:unhideWhenUsed/>
    <w:rsid w:val="00D7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Talkad</dc:creator>
  <cp:keywords/>
  <dc:description/>
  <cp:lastModifiedBy>Rohan Talkad</cp:lastModifiedBy>
  <cp:revision>3</cp:revision>
  <cp:lastPrinted>2019-04-03T18:46:00Z</cp:lastPrinted>
  <dcterms:created xsi:type="dcterms:W3CDTF">2019-04-03T18:34:00Z</dcterms:created>
  <dcterms:modified xsi:type="dcterms:W3CDTF">2019-04-03T18:47:00Z</dcterms:modified>
</cp:coreProperties>
</file>