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11F3" w14:textId="77777777" w:rsidR="00483124" w:rsidRPr="004B70EE" w:rsidRDefault="00605B6E" w:rsidP="00496D2F">
      <w:pPr>
        <w:pStyle w:val="Standarduser"/>
        <w:jc w:val="center"/>
        <w:rPr>
          <w:rFonts w:ascii="TeXGyreSchola" w:hAnsi="TeXGyreSchola"/>
          <w:sz w:val="40"/>
        </w:rPr>
      </w:pPr>
      <w:proofErr w:type="spellStart"/>
      <w:r w:rsidRPr="004B70EE">
        <w:rPr>
          <w:rFonts w:ascii="TeXGyreSchola" w:hAnsi="TeXGyreSchola"/>
          <w:i/>
          <w:sz w:val="40"/>
        </w:rPr>
        <w:t>TalkBox</w:t>
      </w:r>
      <w:proofErr w:type="spellEnd"/>
      <w:r w:rsidRPr="004B70EE">
        <w:rPr>
          <w:rFonts w:ascii="TeXGyreSchola" w:hAnsi="TeXGyreSchola"/>
          <w:sz w:val="40"/>
        </w:rPr>
        <w:t xml:space="preserve"> </w:t>
      </w:r>
      <w:r w:rsidRPr="004B70EE">
        <w:rPr>
          <w:rFonts w:ascii="TeXGyreSchola" w:hAnsi="TeXGyreSchola"/>
          <w:i/>
          <w:sz w:val="40"/>
        </w:rPr>
        <w:t>Simulator</w:t>
      </w:r>
      <w:r w:rsidRPr="004B70EE">
        <w:rPr>
          <w:rFonts w:ascii="TeXGyreSchola" w:hAnsi="TeXGyreSchola"/>
          <w:sz w:val="40"/>
        </w:rPr>
        <w:t xml:space="preserve"> User Manual</w:t>
      </w:r>
    </w:p>
    <w:p w14:paraId="15F3E2C9" w14:textId="77777777" w:rsidR="004B70EE" w:rsidRDefault="004B70EE" w:rsidP="00496D2F">
      <w:pPr>
        <w:pStyle w:val="ListParagraph"/>
        <w:spacing w:before="240"/>
        <w:ind w:left="0"/>
        <w:rPr>
          <w:rFonts w:ascii="TeXGyreSchola" w:hAnsi="TeXGyreSchola" w:cs="Calibri"/>
          <w:sz w:val="20"/>
          <w:szCs w:val="20"/>
        </w:rPr>
      </w:pPr>
      <w:r>
        <w:rPr>
          <w:rFonts w:ascii="TeXGyreSchola" w:hAnsi="TeXGyreSchola" w:cs="Calibri"/>
          <w:b/>
          <w:sz w:val="20"/>
          <w:szCs w:val="20"/>
        </w:rPr>
        <w:t xml:space="preserve">Requirements: </w:t>
      </w:r>
      <w:r w:rsidRPr="004B70EE">
        <w:rPr>
          <w:rFonts w:ascii="TeXGyreSchola" w:hAnsi="TeXGyreSchola" w:cs="Calibri"/>
          <w:b/>
          <w:i/>
          <w:sz w:val="20"/>
          <w:szCs w:val="20"/>
        </w:rPr>
        <w:t>Java</w:t>
      </w:r>
      <w:r>
        <w:rPr>
          <w:rFonts w:ascii="TeXGyreSchola" w:hAnsi="TeXGyreSchola" w:cs="Calibri"/>
          <w:b/>
          <w:sz w:val="20"/>
          <w:szCs w:val="20"/>
        </w:rPr>
        <w:t xml:space="preserve"> must be installed. Click </w:t>
      </w:r>
      <w:hyperlink r:id="rId7" w:history="1">
        <w:r w:rsidRPr="00496D2F">
          <w:rPr>
            <w:rStyle w:val="Hyperlink"/>
            <w:rFonts w:ascii="TeXGyreSchola" w:hAnsi="TeXGyreSchola"/>
          </w:rPr>
          <w:t>here</w:t>
        </w:r>
      </w:hyperlink>
      <w:r>
        <w:t xml:space="preserve"> </w:t>
      </w:r>
      <w:r>
        <w:rPr>
          <w:rFonts w:ascii="TeXGyreSchola" w:hAnsi="TeXGyreSchola" w:cs="Calibri"/>
          <w:b/>
          <w:sz w:val="20"/>
          <w:szCs w:val="20"/>
        </w:rPr>
        <w:t>to install.</w:t>
      </w:r>
    </w:p>
    <w:p w14:paraId="50613176" w14:textId="23AE7E23" w:rsidR="004B70EE" w:rsidRPr="004B70EE" w:rsidRDefault="00605B6E" w:rsidP="00496D2F">
      <w:pPr>
        <w:pStyle w:val="ListParagraph"/>
        <w:spacing w:before="240"/>
        <w:ind w:left="0"/>
        <w:rPr>
          <w:rFonts w:ascii="TeXGyreSchola" w:hAnsi="TeXGyreSchola" w:cs="Calibri"/>
          <w:sz w:val="20"/>
          <w:szCs w:val="20"/>
        </w:rPr>
      </w:pPr>
      <w:r w:rsidRPr="004B70EE">
        <w:rPr>
          <w:rFonts w:ascii="TeXGyreSchola" w:hAnsi="TeXGyreSchola" w:cs="Calibri"/>
          <w:sz w:val="20"/>
          <w:szCs w:val="20"/>
        </w:rPr>
        <w:t xml:space="preserve">Before using the simulator, the user </w:t>
      </w:r>
      <w:r w:rsidR="004B70EE">
        <w:rPr>
          <w:rFonts w:ascii="TeXGyreSchola" w:hAnsi="TeXGyreSchola" w:cs="Calibri"/>
          <w:sz w:val="20"/>
          <w:szCs w:val="20"/>
        </w:rPr>
        <w:t>must</w:t>
      </w:r>
      <w:r w:rsidRPr="004B70EE">
        <w:rPr>
          <w:rFonts w:ascii="TeXGyreSchola" w:hAnsi="TeXGyreSchola" w:cs="Calibri"/>
          <w:sz w:val="20"/>
          <w:szCs w:val="20"/>
        </w:rPr>
        <w:t xml:space="preserve"> use the </w:t>
      </w:r>
      <w:proofErr w:type="spellStart"/>
      <w:r w:rsidRPr="004B70EE">
        <w:rPr>
          <w:rFonts w:ascii="TeXGyreSchola" w:hAnsi="TeXGyreSchola" w:cs="Calibri"/>
          <w:i/>
          <w:sz w:val="20"/>
          <w:szCs w:val="20"/>
        </w:rPr>
        <w:t>Talkbox</w:t>
      </w:r>
      <w:proofErr w:type="spellEnd"/>
      <w:r w:rsidRPr="004B70EE">
        <w:rPr>
          <w:rFonts w:ascii="TeXGyreSchola" w:hAnsi="TeXGyreSchola" w:cs="Calibri"/>
          <w:i/>
          <w:sz w:val="20"/>
          <w:szCs w:val="20"/>
        </w:rPr>
        <w:t xml:space="preserve"> Configurator</w:t>
      </w:r>
      <w:r w:rsidR="004B70EE">
        <w:rPr>
          <w:rFonts w:ascii="TeXGyreSchola" w:hAnsi="TeXGyreSchola" w:cs="Calibri"/>
          <w:i/>
          <w:sz w:val="20"/>
          <w:szCs w:val="20"/>
        </w:rPr>
        <w:t xml:space="preserve"> </w:t>
      </w:r>
      <w:r w:rsidR="004B70EE" w:rsidRPr="004B70EE">
        <w:rPr>
          <w:rFonts w:ascii="TeXGyreSchola" w:hAnsi="TeXGyreSchola" w:cs="Calibri"/>
          <w:sz w:val="20"/>
          <w:szCs w:val="20"/>
        </w:rPr>
        <w:t>application</w:t>
      </w:r>
      <w:r w:rsidR="004B70EE">
        <w:rPr>
          <w:rFonts w:ascii="TeXGyreSchola" w:hAnsi="TeXGyreSchola" w:cs="Calibri"/>
          <w:sz w:val="20"/>
          <w:szCs w:val="20"/>
        </w:rPr>
        <w:t xml:space="preserve"> </w:t>
      </w:r>
      <w:r w:rsidR="004B70EE" w:rsidRPr="004B70EE">
        <w:rPr>
          <w:rFonts w:ascii="TeXGyreSchola" w:hAnsi="TeXGyreSchola" w:cs="Calibri"/>
          <w:sz w:val="20"/>
          <w:szCs w:val="20"/>
        </w:rPr>
        <w:t>to</w:t>
      </w:r>
      <w:r w:rsidR="004B70EE">
        <w:rPr>
          <w:rFonts w:ascii="TeXGyreSchola" w:hAnsi="TeXGyreSchola" w:cs="Calibri"/>
          <w:sz w:val="20"/>
          <w:szCs w:val="20"/>
        </w:rPr>
        <w:t xml:space="preserve"> configure the appearance and functionality of the buttons.</w:t>
      </w:r>
      <w:r w:rsidRPr="004B70EE">
        <w:rPr>
          <w:rFonts w:ascii="TeXGyreSchola" w:hAnsi="TeXGyreSchola" w:cs="Calibri"/>
          <w:sz w:val="20"/>
          <w:szCs w:val="20"/>
        </w:rPr>
        <w:t xml:space="preserve"> After creating their custom configuration and setting it in a directory, the user can now use the </w:t>
      </w:r>
      <w:r w:rsidR="004B70EE" w:rsidRPr="004B70EE">
        <w:rPr>
          <w:rFonts w:ascii="TeXGyreSchola" w:hAnsi="TeXGyreSchola" w:cs="Calibri"/>
          <w:sz w:val="20"/>
          <w:szCs w:val="20"/>
        </w:rPr>
        <w:t>simulator</w:t>
      </w:r>
      <w:r w:rsidR="00496D2F">
        <w:rPr>
          <w:rFonts w:ascii="TeXGyreSchola" w:hAnsi="TeXGyreSchola" w:cs="Calibri"/>
          <w:sz w:val="20"/>
          <w:szCs w:val="20"/>
        </w:rPr>
        <w:t xml:space="preserve">. </w:t>
      </w:r>
    </w:p>
    <w:p w14:paraId="6BD75C4F" w14:textId="111AF017" w:rsidR="004B70EE" w:rsidRDefault="004B70EE" w:rsidP="00496D2F">
      <w:pPr>
        <w:pStyle w:val="ListParagraph"/>
        <w:spacing w:before="240"/>
        <w:rPr>
          <w:rFonts w:ascii="TeXGyreSchola" w:hAnsi="TeXGyreSchola" w:cs="Calibri"/>
          <w:i/>
          <w:iCs/>
          <w:sz w:val="20"/>
          <w:szCs w:val="20"/>
        </w:rPr>
      </w:pPr>
    </w:p>
    <w:p w14:paraId="16F1C357" w14:textId="3D223A2F" w:rsidR="00483124" w:rsidRPr="004B70EE" w:rsidRDefault="00496D2F" w:rsidP="00496D2F">
      <w:pPr>
        <w:pStyle w:val="Standarduser"/>
        <w:spacing w:before="240"/>
        <w:rPr>
          <w:rFonts w:ascii="TeXGyreSchola" w:hAnsi="TeXGyreSchola"/>
          <w:sz w:val="20"/>
          <w:szCs w:val="20"/>
        </w:rPr>
      </w:pPr>
      <w:r>
        <w:rPr>
          <w:rFonts w:ascii="TeXGyreSchola" w:hAnsi="TeXGyreSchola" w:cs="Calibri"/>
          <w:sz w:val="20"/>
          <w:szCs w:val="20"/>
        </w:rPr>
        <w:t xml:space="preserve">There are two buttons at the main menu. </w:t>
      </w:r>
      <w:r w:rsidR="00605B6E" w:rsidRPr="004B70EE">
        <w:rPr>
          <w:rFonts w:ascii="TeXGyreSchola" w:hAnsi="TeXGyreSchola" w:cs="Calibri"/>
          <w:sz w:val="20"/>
          <w:szCs w:val="20"/>
        </w:rPr>
        <w:t xml:space="preserve">The </w:t>
      </w:r>
      <w:r w:rsidR="00605B6E" w:rsidRPr="004B70EE">
        <w:rPr>
          <w:rFonts w:ascii="TeXGyreSchola" w:hAnsi="TeXGyreSchola" w:cs="Calibri"/>
          <w:b/>
          <w:bCs/>
          <w:sz w:val="20"/>
          <w:szCs w:val="20"/>
        </w:rPr>
        <w:t xml:space="preserve">Open </w:t>
      </w:r>
      <w:proofErr w:type="spellStart"/>
      <w:r w:rsidR="00605B6E" w:rsidRPr="004B70EE">
        <w:rPr>
          <w:rFonts w:ascii="TeXGyreSchola" w:hAnsi="TeXGyreSchola" w:cs="Calibri"/>
          <w:b/>
          <w:bCs/>
          <w:sz w:val="20"/>
          <w:szCs w:val="20"/>
        </w:rPr>
        <w:t>Talkbox</w:t>
      </w:r>
      <w:proofErr w:type="spellEnd"/>
      <w:r w:rsidR="00605B6E" w:rsidRPr="004B70EE">
        <w:rPr>
          <w:rFonts w:ascii="TeXGyreSchola" w:hAnsi="TeXGyreSchola" w:cs="Calibri"/>
          <w:b/>
          <w:bCs/>
          <w:sz w:val="20"/>
          <w:szCs w:val="20"/>
        </w:rPr>
        <w:t xml:space="preserve"> Configuration </w:t>
      </w:r>
      <w:r w:rsidR="004B70EE">
        <w:rPr>
          <w:rFonts w:ascii="TeXGyreSchola" w:hAnsi="TeXGyreSchola" w:cs="Calibri"/>
          <w:sz w:val="20"/>
          <w:szCs w:val="20"/>
        </w:rPr>
        <w:t>button</w:t>
      </w:r>
      <w:r w:rsidR="00605B6E" w:rsidRPr="004B70EE">
        <w:rPr>
          <w:rFonts w:ascii="TeXGyreSchola" w:hAnsi="TeXGyreSchola" w:cs="Calibri"/>
          <w:sz w:val="20"/>
          <w:szCs w:val="20"/>
        </w:rPr>
        <w:t xml:space="preserve"> allows the user to open their existing configuration. It will open </w:t>
      </w:r>
      <w:r w:rsidR="00605B6E" w:rsidRPr="004B70EE">
        <w:rPr>
          <w:rFonts w:ascii="TeXGyreSchola" w:hAnsi="TeXGyreSchola" w:cs="Calibri"/>
          <w:sz w:val="20"/>
          <w:szCs w:val="20"/>
        </w:rPr>
        <w:t>to a window that list</w:t>
      </w:r>
      <w:r>
        <w:rPr>
          <w:rFonts w:ascii="TeXGyreSchola" w:hAnsi="TeXGyreSchola" w:cs="Calibri"/>
          <w:sz w:val="20"/>
          <w:szCs w:val="20"/>
        </w:rPr>
        <w:t>s</w:t>
      </w:r>
      <w:r w:rsidR="00605B6E" w:rsidRPr="004B70EE">
        <w:rPr>
          <w:rFonts w:ascii="TeXGyreSchola" w:hAnsi="TeXGyreSchola" w:cs="Calibri"/>
          <w:sz w:val="20"/>
          <w:szCs w:val="20"/>
        </w:rPr>
        <w:t xml:space="preserve"> all </w:t>
      </w:r>
      <w:r>
        <w:rPr>
          <w:rFonts w:ascii="TeXGyreSchola" w:hAnsi="TeXGyreSchola" w:cs="Calibri"/>
          <w:sz w:val="20"/>
          <w:szCs w:val="20"/>
        </w:rPr>
        <w:t xml:space="preserve">the </w:t>
      </w:r>
      <w:r w:rsidR="00605B6E" w:rsidRPr="004B70EE">
        <w:rPr>
          <w:rFonts w:ascii="TeXGyreSchola" w:hAnsi="TeXGyreSchola" w:cs="Calibri"/>
          <w:sz w:val="20"/>
          <w:szCs w:val="20"/>
        </w:rPr>
        <w:t>directories. The user selects the directory that they saved t</w:t>
      </w:r>
      <w:r w:rsidR="004B70EE">
        <w:rPr>
          <w:rFonts w:ascii="TeXGyreSchola" w:hAnsi="TeXGyreSchola" w:cs="Calibri"/>
          <w:sz w:val="20"/>
          <w:szCs w:val="20"/>
        </w:rPr>
        <w:t>he</w:t>
      </w:r>
      <w:r w:rsidR="00605B6E" w:rsidRPr="004B70EE">
        <w:rPr>
          <w:rFonts w:ascii="TeXGyreSchola" w:hAnsi="TeXGyreSchola" w:cs="Calibri"/>
          <w:sz w:val="20"/>
          <w:szCs w:val="20"/>
        </w:rPr>
        <w:t xml:space="preserve"> configuration in</w:t>
      </w:r>
      <w:r w:rsidR="00206A39">
        <w:rPr>
          <w:rFonts w:ascii="TeXGyreSchola" w:hAnsi="TeXGyreSchola" w:cs="Calibri"/>
          <w:sz w:val="20"/>
          <w:szCs w:val="20"/>
        </w:rPr>
        <w:t>. T</w:t>
      </w:r>
      <w:r w:rsidR="00605B6E" w:rsidRPr="004B70EE">
        <w:rPr>
          <w:rFonts w:ascii="TeXGyreSchola" w:hAnsi="TeXGyreSchola" w:cs="Calibri"/>
          <w:sz w:val="20"/>
          <w:szCs w:val="20"/>
        </w:rPr>
        <w:t xml:space="preserve">he </w:t>
      </w:r>
      <w:r w:rsidR="00605B6E" w:rsidRPr="004B70EE">
        <w:rPr>
          <w:rFonts w:ascii="TeXGyreSchola" w:hAnsi="TeXGyreSchola" w:cs="Calibri"/>
          <w:b/>
          <w:bCs/>
          <w:sz w:val="20"/>
          <w:szCs w:val="20"/>
        </w:rPr>
        <w:t xml:space="preserve">Simulate Configuration </w:t>
      </w:r>
      <w:r w:rsidR="00605B6E" w:rsidRPr="004B70EE">
        <w:rPr>
          <w:rFonts w:ascii="TeXGyreSchola" w:hAnsi="TeXGyreSchola" w:cs="Calibri"/>
          <w:sz w:val="20"/>
          <w:szCs w:val="20"/>
        </w:rPr>
        <w:t>button will light up and will be ready to use.</w:t>
      </w:r>
      <w:r>
        <w:rPr>
          <w:rFonts w:ascii="TeXGyreSchola" w:hAnsi="TeXGyreSchola" w:cs="Calibri"/>
          <w:sz w:val="20"/>
          <w:szCs w:val="20"/>
        </w:rPr>
        <w:t xml:space="preserve"> Note that invalid or corrupted configurations will </w:t>
      </w:r>
      <w:r w:rsidRPr="00206A39">
        <w:rPr>
          <w:rFonts w:ascii="TeXGyreSchola" w:hAnsi="TeXGyreSchola" w:cs="Calibri"/>
          <w:i/>
          <w:sz w:val="20"/>
          <w:szCs w:val="20"/>
        </w:rPr>
        <w:t>fail</w:t>
      </w:r>
      <w:r>
        <w:rPr>
          <w:rFonts w:ascii="TeXGyreSchola" w:hAnsi="TeXGyreSchola" w:cs="Calibri"/>
          <w:sz w:val="20"/>
          <w:szCs w:val="20"/>
        </w:rPr>
        <w:t xml:space="preserve"> to load. </w:t>
      </w:r>
    </w:p>
    <w:p w14:paraId="478AC9E6" w14:textId="76368F6C" w:rsidR="00483124" w:rsidRPr="004B70EE" w:rsidRDefault="00483124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</w:p>
    <w:p w14:paraId="32705499" w14:textId="695AE826" w:rsidR="00483124" w:rsidRPr="004B70EE" w:rsidRDefault="00483124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</w:p>
    <w:p w14:paraId="1A6A3578" w14:textId="5573E481" w:rsidR="00483124" w:rsidRPr="00496D2F" w:rsidRDefault="00945A00" w:rsidP="00496D2F">
      <w:pPr>
        <w:pStyle w:val="Standarduser"/>
        <w:spacing w:before="240"/>
        <w:ind w:left="2160" w:firstLine="720"/>
        <w:rPr>
          <w:rFonts w:ascii="TeXGyreSchola" w:hAnsi="TeXGyreSchola"/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C146AF2" wp14:editId="216C4B08">
            <wp:simplePos x="0" y="0"/>
            <wp:positionH relativeFrom="margin">
              <wp:posOffset>2900782</wp:posOffset>
            </wp:positionH>
            <wp:positionV relativeFrom="paragraph">
              <wp:posOffset>320649</wp:posOffset>
            </wp:positionV>
            <wp:extent cx="3818255" cy="2612390"/>
            <wp:effectExtent l="19050" t="0" r="10795" b="75946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6123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D2F">
        <w:rPr>
          <w:rFonts w:ascii="TeXGyreSchola" w:hAnsi="TeXGyreSchol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65E051" wp14:editId="1B49359F">
                <wp:simplePos x="0" y="0"/>
                <wp:positionH relativeFrom="column">
                  <wp:posOffset>-39756</wp:posOffset>
                </wp:positionH>
                <wp:positionV relativeFrom="paragraph">
                  <wp:posOffset>1547412</wp:posOffset>
                </wp:positionV>
                <wp:extent cx="2449002" cy="612250"/>
                <wp:effectExtent l="0" t="0" r="27940" b="1651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002" cy="612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23D18F" id="Oval 8" o:spid="_x0000_s1026" style="position:absolute;margin-left:-3.15pt;margin-top:121.85pt;width:192.85pt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OCTlAIAAIMFAAAOAAAAZHJzL2Uyb0RvYy54bWysVE1v2zAMvQ/YfxB0X+0YabcGdYqgRYYB&#10;RVusHXpWZCk2IIuapMTJfv1I+aPBWuwwLAdHFMlHPork1fWhNWyvfGjAlnx2lnOmrISqsduS/3he&#10;f/rCWYjCVsKAVSU/qsCvlx8/XHVuoQqowVTKMwSxYdG5ktcxukWWBVmrVoQzcMqiUoNvRUTRb7PK&#10;iw7RW5MVeX6RdeAr50GqEPD2tlfyZcLXWsn4oHVQkZmSY24xfX36buibLa/EYuuFqxs5pCH+IYtW&#10;NBaDTlC3Igq2880bqLaRHgLoeCahzUDrRqrEAdnM8j/YPNXCqcQFixPcVKbw/2Dl/f7Rs6YqOT6U&#10;FS0+0cNeGPaFKtO5sECDJ/foByngkWgetG/pHwmwQ6rmcaqmOkQm8bKYzy/zvOBMou5iVhTnqdzZ&#10;q7fzIX5V0DI6lFwZ07hAhMVC7O9CxKBoPVrRtYV1Y0x6NGPpIoBpKrpLgt9uboxnSKDk63WOP6KB&#10;GCdmKJFrRuR6OukUj0YRhrHflcaCEIGUSWpFNcEKKZWNs15Vi0r10c5Pg1HzkkcKnQAJWWOWE/YA&#10;MFr2ICN2n/NgT64qdfLknP8tsd558kiRwcbJuW0s+PcADLIaIvf2Y5H60lCVNlAdsV089HMUnFw3&#10;+HR3IsRH4XFwcMRwGcQH/GgDXclhOHFWg//13j3ZYz+jlrMOB7Hk4edOeMWZ+Wax0y9n8zlNbhLm&#10;558LFPypZnOqsbv2BvD1Z7h2nExHso9mPGoP7QvujBVFRZWwEmOXXEY/CjexXxC4daRarZIZTqsT&#10;8c4+OUngVFXqy+fDi/Bu6N+InX8P49C+6eHeljwtrHYRdJMa/LWuQ71x0lPjDFuJVsmpnKxed+fy&#10;NwAAAP//AwBQSwMEFAAGAAgAAAAhANWP/HTeAAAACgEAAA8AAABkcnMvZG93bnJldi54bWxMj8Fu&#10;wjAMhu+T9g6RJ+0yQQqtAnRNEZrEYUdg0q6m8dpqiVM1AcrbLzttN1v+9Pv7q+3krLjSGHrPGhbz&#10;DARx403PrYaP0362BhEiskHrmTTcKcC2fnyosDT+xge6HmMrUgiHEjV0MQ6llKHpyGGY+4E43b78&#10;6DCmdWylGfGWwp2VyyxT0mHP6UOHA7111HwfL07D7i6jPYTN/sUoVip+hne0a62fn6bdK4hIU/yD&#10;4Vc/qUOdnM7+wiYIq2Gm8kRqWBb5CkQC8tWmAHFOQ5EtQNaV/F+h/gEAAP//AwBQSwECLQAUAAYA&#10;CAAAACEAtoM4kv4AAADhAQAAEwAAAAAAAAAAAAAAAAAAAAAAW0NvbnRlbnRfVHlwZXNdLnhtbFBL&#10;AQItABQABgAIAAAAIQA4/SH/1gAAAJQBAAALAAAAAAAAAAAAAAAAAC8BAABfcmVscy8ucmVsc1BL&#10;AQItABQABgAIAAAAIQBXrOCTlAIAAIMFAAAOAAAAAAAAAAAAAAAAAC4CAABkcnMvZTJvRG9jLnht&#10;bFBLAQItABQABgAIAAAAIQDVj/x0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496D2F" w:rsidRPr="00496D2F">
        <w:rPr>
          <w:i/>
          <w:noProof/>
        </w:rPr>
        <w:drawing>
          <wp:anchor distT="0" distB="0" distL="114300" distR="114300" simplePos="0" relativeHeight="251660288" behindDoc="1" locked="0" layoutInCell="1" allowOverlap="1" wp14:anchorId="1E8F2AD4" wp14:editId="2BE14C46">
            <wp:simplePos x="0" y="0"/>
            <wp:positionH relativeFrom="column">
              <wp:posOffset>-453390</wp:posOffset>
            </wp:positionH>
            <wp:positionV relativeFrom="paragraph">
              <wp:posOffset>310515</wp:posOffset>
            </wp:positionV>
            <wp:extent cx="3220085" cy="2651760"/>
            <wp:effectExtent l="19050" t="0" r="18415" b="758190"/>
            <wp:wrapTight wrapText="bothSides">
              <wp:wrapPolygon edited="0">
                <wp:start x="767" y="0"/>
                <wp:lineTo x="-128" y="155"/>
                <wp:lineTo x="-128" y="27621"/>
                <wp:lineTo x="21596" y="27621"/>
                <wp:lineTo x="21596" y="1397"/>
                <wp:lineTo x="21468" y="1086"/>
                <wp:lineTo x="20829" y="0"/>
                <wp:lineTo x="767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6517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6D2F" w:rsidRPr="00496D2F">
        <w:rPr>
          <w:rFonts w:ascii="TeXGyreSchola" w:hAnsi="TeXGyreSchola" w:cs="Calibri"/>
          <w:i/>
          <w:sz w:val="20"/>
          <w:szCs w:val="20"/>
        </w:rPr>
        <w:t xml:space="preserve">The simulator menu has two buttons. </w:t>
      </w:r>
    </w:p>
    <w:p w14:paraId="779205CC" w14:textId="3E3013C9" w:rsidR="00483124" w:rsidRPr="004B70EE" w:rsidRDefault="00483124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</w:p>
    <w:p w14:paraId="37F54EB5" w14:textId="006FD49E" w:rsidR="00483124" w:rsidRPr="004B70EE" w:rsidRDefault="00483124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</w:p>
    <w:p w14:paraId="58D9494C" w14:textId="298E01FB" w:rsidR="00483124" w:rsidRPr="004B70EE" w:rsidRDefault="00945A00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EDFA203" wp14:editId="610A514A">
            <wp:simplePos x="0" y="0"/>
            <wp:positionH relativeFrom="column">
              <wp:posOffset>3568751</wp:posOffset>
            </wp:positionH>
            <wp:positionV relativeFrom="paragraph">
              <wp:posOffset>49149</wp:posOffset>
            </wp:positionV>
            <wp:extent cx="2984500" cy="2385060"/>
            <wp:effectExtent l="19050" t="0" r="25400" b="701040"/>
            <wp:wrapTight wrapText="bothSides">
              <wp:wrapPolygon edited="0">
                <wp:start x="689" y="0"/>
                <wp:lineTo x="-138" y="518"/>
                <wp:lineTo x="-138" y="27776"/>
                <wp:lineTo x="21646" y="27776"/>
                <wp:lineTo x="21646" y="1725"/>
                <wp:lineTo x="21508" y="1035"/>
                <wp:lineTo x="20957" y="0"/>
                <wp:lineTo x="689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3850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540AB6C4" w14:textId="21F394AB" w:rsidR="00483124" w:rsidRPr="00945A00" w:rsidRDefault="00605B6E" w:rsidP="00496D2F">
      <w:pPr>
        <w:pStyle w:val="Standarduser"/>
        <w:rPr>
          <w:rFonts w:ascii="TeXGyreSchola" w:hAnsi="TeXGyreSchola" w:cs="Calibri"/>
          <w:sz w:val="20"/>
          <w:szCs w:val="20"/>
        </w:rPr>
      </w:pPr>
      <w:r w:rsidRPr="004B70EE">
        <w:rPr>
          <w:rFonts w:ascii="TeXGyreSchola" w:hAnsi="TeXGyreSchola" w:cs="Calibri"/>
          <w:sz w:val="20"/>
          <w:szCs w:val="20"/>
        </w:rPr>
        <w:t xml:space="preserve">The </w:t>
      </w:r>
      <w:r w:rsidRPr="004B70EE">
        <w:rPr>
          <w:rFonts w:ascii="TeXGyreSchola" w:hAnsi="TeXGyreSchola" w:cs="Calibri"/>
          <w:b/>
          <w:bCs/>
          <w:sz w:val="20"/>
          <w:szCs w:val="20"/>
        </w:rPr>
        <w:t xml:space="preserve">Simulate Configuration </w:t>
      </w:r>
      <w:r w:rsidRPr="00496D2F">
        <w:rPr>
          <w:rFonts w:ascii="TeXGyreSchola" w:hAnsi="TeXGyreSchola" w:cs="Calibri"/>
          <w:bCs/>
          <w:sz w:val="20"/>
          <w:szCs w:val="20"/>
        </w:rPr>
        <w:t>button</w:t>
      </w:r>
      <w:r w:rsidR="004B70EE">
        <w:rPr>
          <w:rFonts w:ascii="TeXGyreSchola" w:hAnsi="TeXGyreSchola" w:cs="Calibri"/>
          <w:sz w:val="20"/>
          <w:szCs w:val="20"/>
        </w:rPr>
        <w:t xml:space="preserve"> launches</w:t>
      </w:r>
      <w:r w:rsidRPr="004B70EE">
        <w:rPr>
          <w:rFonts w:ascii="TeXGyreSchola" w:hAnsi="TeXGyreSchola" w:cs="Calibri"/>
          <w:sz w:val="20"/>
          <w:szCs w:val="20"/>
        </w:rPr>
        <w:t xml:space="preserve"> the</w:t>
      </w:r>
      <w:r w:rsidR="00496D2F">
        <w:rPr>
          <w:rFonts w:ascii="TeXGyreSchola" w:hAnsi="TeXGyreSchola" w:cs="Calibri"/>
          <w:sz w:val="20"/>
          <w:szCs w:val="20"/>
        </w:rPr>
        <w:t xml:space="preserve"> main interface of interactive </w:t>
      </w:r>
      <w:r w:rsidRPr="004B70EE">
        <w:rPr>
          <w:rFonts w:ascii="TeXGyreSchola" w:hAnsi="TeXGyreSchola" w:cs="Calibri"/>
          <w:sz w:val="20"/>
          <w:szCs w:val="20"/>
        </w:rPr>
        <w:t xml:space="preserve">buttons </w:t>
      </w:r>
      <w:r w:rsidR="00496D2F">
        <w:rPr>
          <w:rFonts w:ascii="TeXGyreSchola" w:hAnsi="TeXGyreSchola" w:cs="Calibri"/>
          <w:sz w:val="20"/>
          <w:szCs w:val="20"/>
        </w:rPr>
        <w:t>with their saved configuration</w:t>
      </w:r>
      <w:r w:rsidR="00130871">
        <w:rPr>
          <w:rFonts w:ascii="TeXGyreSchola" w:hAnsi="TeXGyreSchola" w:cs="Calibri"/>
          <w:sz w:val="20"/>
          <w:szCs w:val="20"/>
        </w:rPr>
        <w:t>s</w:t>
      </w:r>
      <w:r w:rsidR="00496D2F">
        <w:rPr>
          <w:rFonts w:ascii="TeXGyreSchola" w:hAnsi="TeXGyreSchola" w:cs="Calibri"/>
          <w:sz w:val="20"/>
          <w:szCs w:val="20"/>
        </w:rPr>
        <w:t xml:space="preserve">. If the user wishes to change any one of these configurations, they should close the simulator and go back to the configurator. </w:t>
      </w:r>
    </w:p>
    <w:p w14:paraId="2FDFC5A1" w14:textId="131862AB" w:rsidR="00496D2F" w:rsidRDefault="00496D2F" w:rsidP="00130871">
      <w:pPr>
        <w:pStyle w:val="Standarduser"/>
        <w:spacing w:before="240"/>
        <w:rPr>
          <w:rFonts w:ascii="TeXGyreSchola" w:hAnsi="TeXGyreSchola"/>
          <w:sz w:val="20"/>
          <w:szCs w:val="20"/>
        </w:rPr>
      </w:pPr>
    </w:p>
    <w:p w14:paraId="326A916F" w14:textId="77777777" w:rsidR="00130871" w:rsidRPr="00130871" w:rsidRDefault="00130871" w:rsidP="00130871">
      <w:pPr>
        <w:pStyle w:val="Standarduser"/>
        <w:spacing w:before="240"/>
        <w:rPr>
          <w:rFonts w:ascii="TeXGyreSchola" w:hAnsi="TeXGyreSchola"/>
          <w:sz w:val="20"/>
          <w:szCs w:val="20"/>
        </w:rPr>
      </w:pPr>
    </w:p>
    <w:p w14:paraId="111421B9" w14:textId="77777777" w:rsidR="00130871" w:rsidRDefault="00130871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</w:p>
    <w:p w14:paraId="5E901EA8" w14:textId="77777777" w:rsidR="00130871" w:rsidRDefault="00130871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</w:p>
    <w:p w14:paraId="7F638B12" w14:textId="77777777" w:rsidR="00945A00" w:rsidRDefault="00945A00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</w:p>
    <w:p w14:paraId="3A344DC9" w14:textId="512A8CAA" w:rsidR="00496D2F" w:rsidRPr="004B70EE" w:rsidRDefault="00496D2F" w:rsidP="00496D2F">
      <w:pPr>
        <w:pStyle w:val="Standarduser"/>
        <w:rPr>
          <w:rFonts w:ascii="TeXGyreSchola" w:hAnsi="TeXGyreSchola" w:cs="Calibri"/>
          <w:i/>
          <w:i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FC26945" wp14:editId="2508F4DD">
            <wp:simplePos x="0" y="0"/>
            <wp:positionH relativeFrom="margin">
              <wp:align>center</wp:align>
            </wp:positionH>
            <wp:positionV relativeFrom="paragraph">
              <wp:posOffset>453481</wp:posOffset>
            </wp:positionV>
            <wp:extent cx="5943600" cy="4060190"/>
            <wp:effectExtent l="152400" t="152400" r="361950" b="359410"/>
            <wp:wrapTight wrapText="bothSides">
              <wp:wrapPolygon edited="0">
                <wp:start x="277" y="-811"/>
                <wp:lineTo x="-554" y="-608"/>
                <wp:lineTo x="-485" y="22195"/>
                <wp:lineTo x="415" y="23208"/>
                <wp:lineTo x="485" y="23411"/>
                <wp:lineTo x="21808" y="23411"/>
                <wp:lineTo x="21877" y="23208"/>
                <wp:lineTo x="22777" y="22195"/>
                <wp:lineTo x="22846" y="1013"/>
                <wp:lineTo x="22015" y="-507"/>
                <wp:lineTo x="21946" y="-811"/>
                <wp:lineTo x="277" y="-81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eXGyreSchola" w:hAnsi="TeXGyreSchola" w:cs="Calibri"/>
          <w:i/>
          <w:iCs/>
          <w:sz w:val="20"/>
          <w:szCs w:val="20"/>
        </w:rPr>
        <w:t>The p</w:t>
      </w:r>
      <w:r w:rsidRPr="004B70EE">
        <w:rPr>
          <w:rFonts w:ascii="TeXGyreSchola" w:hAnsi="TeXGyreSchola" w:cs="Calibri"/>
          <w:i/>
          <w:iCs/>
          <w:sz w:val="20"/>
          <w:szCs w:val="20"/>
        </w:rPr>
        <w:t>re</w:t>
      </w:r>
      <w:r>
        <w:rPr>
          <w:rFonts w:ascii="TeXGyreSchola" w:hAnsi="TeXGyreSchola" w:cs="Calibri"/>
          <w:i/>
          <w:iCs/>
          <w:sz w:val="20"/>
          <w:szCs w:val="20"/>
        </w:rPr>
        <w:t xml:space="preserve">vious configuration </w:t>
      </w:r>
      <w:r w:rsidRPr="004B70EE">
        <w:rPr>
          <w:rFonts w:ascii="TeXGyreSchola" w:hAnsi="TeXGyreSchola" w:cs="Calibri"/>
          <w:i/>
          <w:iCs/>
          <w:sz w:val="20"/>
          <w:szCs w:val="20"/>
        </w:rPr>
        <w:t xml:space="preserve">will be </w:t>
      </w:r>
      <w:r>
        <w:rPr>
          <w:rFonts w:ascii="TeXGyreSchola" w:hAnsi="TeXGyreSchola" w:cs="Calibri"/>
          <w:i/>
          <w:iCs/>
          <w:sz w:val="20"/>
          <w:szCs w:val="20"/>
        </w:rPr>
        <w:t>loaded</w:t>
      </w:r>
      <w:r w:rsidR="00945A00">
        <w:rPr>
          <w:rFonts w:ascii="TeXGyreSchola" w:hAnsi="TeXGyreSchola" w:cs="Calibri"/>
          <w:i/>
          <w:iCs/>
          <w:sz w:val="20"/>
          <w:szCs w:val="20"/>
        </w:rPr>
        <w:t>.</w:t>
      </w:r>
      <w:bookmarkStart w:id="0" w:name="_GoBack"/>
      <w:bookmarkEnd w:id="0"/>
    </w:p>
    <w:sectPr w:rsidR="00496D2F" w:rsidRPr="004B70EE">
      <w:head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4307A" w14:textId="77777777" w:rsidR="00605B6E" w:rsidRDefault="00605B6E">
      <w:r>
        <w:separator/>
      </w:r>
    </w:p>
  </w:endnote>
  <w:endnote w:type="continuationSeparator" w:id="0">
    <w:p w14:paraId="20B8F513" w14:textId="77777777" w:rsidR="00605B6E" w:rsidRDefault="00605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altName w:val="Arial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eXGyreSchola">
    <w:panose1 w:val="00000500000000000000"/>
    <w:charset w:val="00"/>
    <w:family w:val="modern"/>
    <w:notTrueType/>
    <w:pitch w:val="variable"/>
    <w:sig w:usb0="20000287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F3F8B" w14:textId="77777777" w:rsidR="00605B6E" w:rsidRDefault="00605B6E">
      <w:r>
        <w:rPr>
          <w:color w:val="000000"/>
        </w:rPr>
        <w:separator/>
      </w:r>
    </w:p>
  </w:footnote>
  <w:footnote w:type="continuationSeparator" w:id="0">
    <w:p w14:paraId="317E98DD" w14:textId="77777777" w:rsidR="00605B6E" w:rsidRDefault="00605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31EE7" w14:textId="77777777" w:rsidR="0076244A" w:rsidRPr="004B70EE" w:rsidRDefault="00605B6E">
    <w:pPr>
      <w:pStyle w:val="Header"/>
      <w:rPr>
        <w:rFonts w:ascii="TeXGyreSchola" w:hAnsi="TeXGyreSchola"/>
        <w:sz w:val="20"/>
        <w:szCs w:val="20"/>
      </w:rPr>
    </w:pPr>
    <w:proofErr w:type="spellStart"/>
    <w:r w:rsidRPr="004B70EE">
      <w:rPr>
        <w:rFonts w:ascii="TeXGyreSchola" w:hAnsi="TeXGyreSchola"/>
        <w:sz w:val="20"/>
        <w:szCs w:val="20"/>
      </w:rPr>
      <w:t>Talkbox</w:t>
    </w:r>
    <w:proofErr w:type="spellEnd"/>
    <w:r w:rsidRPr="004B70EE">
      <w:rPr>
        <w:rFonts w:ascii="TeXGyreSchola" w:hAnsi="TeXGyreSchola"/>
        <w:sz w:val="20"/>
        <w:szCs w:val="20"/>
      </w:rPr>
      <w:t xml:space="preserve"> Project</w:t>
    </w:r>
  </w:p>
  <w:p w14:paraId="38B583F9" w14:textId="77777777" w:rsidR="0076244A" w:rsidRPr="004B70EE" w:rsidRDefault="00605B6E">
    <w:pPr>
      <w:pStyle w:val="Header"/>
      <w:rPr>
        <w:rFonts w:ascii="TeXGyreSchola" w:hAnsi="TeXGyreSchola"/>
        <w:sz w:val="20"/>
        <w:szCs w:val="20"/>
      </w:rPr>
    </w:pPr>
    <w:r w:rsidRPr="004B70EE">
      <w:rPr>
        <w:rFonts w:ascii="TeXGyreSchola" w:hAnsi="TeXGyreSchola"/>
        <w:sz w:val="20"/>
        <w:szCs w:val="20"/>
      </w:rPr>
      <w:t>EECS 2</w:t>
    </w:r>
    <w:r w:rsidRPr="004B70EE">
      <w:rPr>
        <w:rFonts w:ascii="TeXGyreSchola" w:hAnsi="TeXGyreSchola"/>
        <w:sz w:val="20"/>
        <w:szCs w:val="20"/>
      </w:rPr>
      <w:t>3</w:t>
    </w:r>
    <w:r w:rsidRPr="004B70EE">
      <w:rPr>
        <w:rFonts w:ascii="TeXGyreSchola" w:hAnsi="TeXGyreSchola"/>
        <w:sz w:val="20"/>
        <w:szCs w:val="20"/>
      </w:rPr>
      <w:t>1</w:t>
    </w:r>
    <w:r w:rsidRPr="004B70EE">
      <w:rPr>
        <w:rFonts w:ascii="TeXGyreSchola" w:hAnsi="TeXGyreSchola"/>
        <w:sz w:val="20"/>
        <w:szCs w:val="20"/>
      </w:rPr>
      <w:t>1</w:t>
    </w:r>
  </w:p>
  <w:p w14:paraId="2694AB45" w14:textId="77777777" w:rsidR="0076244A" w:rsidRPr="004B70EE" w:rsidRDefault="00605B6E">
    <w:pPr>
      <w:pStyle w:val="Header"/>
      <w:rPr>
        <w:rFonts w:ascii="TeXGyreSchola" w:hAnsi="TeXGyreSchola"/>
        <w:sz w:val="20"/>
        <w:szCs w:val="20"/>
      </w:rPr>
    </w:pPr>
    <w:r w:rsidRPr="004B70EE">
      <w:rPr>
        <w:rFonts w:ascii="TeXGyreSchola" w:hAnsi="TeXGyreSchola"/>
        <w:sz w:val="20"/>
        <w:szCs w:val="20"/>
      </w:rPr>
      <w:t>Alberto M., Rohan T., Jordan 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4FFF"/>
    <w:multiLevelType w:val="multilevel"/>
    <w:tmpl w:val="717873CA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D6494"/>
    <w:multiLevelType w:val="multilevel"/>
    <w:tmpl w:val="A56CCA0A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97C7A9D"/>
    <w:multiLevelType w:val="multilevel"/>
    <w:tmpl w:val="3BE8A870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ECA197E"/>
    <w:multiLevelType w:val="multilevel"/>
    <w:tmpl w:val="660EC75E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4CA80298"/>
    <w:multiLevelType w:val="multilevel"/>
    <w:tmpl w:val="444A1BC4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144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216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25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288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324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360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83124"/>
    <w:rsid w:val="00130871"/>
    <w:rsid w:val="00206A39"/>
    <w:rsid w:val="00483124"/>
    <w:rsid w:val="00496D2F"/>
    <w:rsid w:val="004B70EE"/>
    <w:rsid w:val="00605B6E"/>
    <w:rsid w:val="007E21BA"/>
    <w:rsid w:val="0090383C"/>
    <w:rsid w:val="0094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45B43"/>
  <w15:docId w15:val="{EDE99903-010C-4087-BF31-3DC72CDC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Lohit Devanagari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4" w:lineRule="auto"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ListParagraph">
    <w:name w:val="List Paragraph"/>
    <w:basedOn w:val="Standarduser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ListLabel1">
    <w:name w:val="ListLabel 1"/>
    <w:rPr>
      <w:sz w:val="24"/>
      <w:szCs w:val="24"/>
    </w:rPr>
  </w:style>
  <w:style w:type="character" w:customStyle="1" w:styleId="ListLabel2">
    <w:name w:val="ListLabel 2"/>
    <w:rPr>
      <w:sz w:val="24"/>
      <w:szCs w:val="24"/>
    </w:rPr>
  </w:style>
  <w:style w:type="character" w:customStyle="1" w:styleId="ListLabel3">
    <w:name w:val="ListLabel 3"/>
    <w:rPr>
      <w:sz w:val="24"/>
      <w:szCs w:val="24"/>
    </w:rPr>
  </w:style>
  <w:style w:type="character" w:customStyle="1" w:styleId="ListLabel4">
    <w:name w:val="ListLabel 4"/>
    <w:rPr>
      <w:sz w:val="24"/>
      <w:szCs w:val="24"/>
    </w:rPr>
  </w:style>
  <w:style w:type="character" w:customStyle="1" w:styleId="ListLabel5">
    <w:name w:val="ListLabel 5"/>
    <w:rPr>
      <w:sz w:val="24"/>
      <w:szCs w:val="24"/>
    </w:rPr>
  </w:style>
  <w:style w:type="character" w:customStyle="1" w:styleId="ListLabel6">
    <w:name w:val="ListLabel 6"/>
    <w:rPr>
      <w:sz w:val="24"/>
      <w:szCs w:val="24"/>
    </w:rPr>
  </w:style>
  <w:style w:type="character" w:customStyle="1" w:styleId="ListLabel7">
    <w:name w:val="ListLabel 7"/>
    <w:rPr>
      <w:sz w:val="24"/>
      <w:szCs w:val="24"/>
    </w:rPr>
  </w:style>
  <w:style w:type="character" w:customStyle="1" w:styleId="ListLabel8">
    <w:name w:val="ListLabel 8"/>
    <w:rPr>
      <w:sz w:val="24"/>
      <w:szCs w:val="24"/>
    </w:rPr>
  </w:style>
  <w:style w:type="character" w:customStyle="1" w:styleId="ListLabel9">
    <w:name w:val="ListLabel 9"/>
    <w:rPr>
      <w:sz w:val="24"/>
      <w:szCs w:val="24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  <w:style w:type="numbering" w:customStyle="1" w:styleId="WWNum2">
    <w:name w:val="WWNum2"/>
    <w:basedOn w:val="NoList"/>
    <w:pPr>
      <w:numPr>
        <w:numId w:val="4"/>
      </w:numPr>
    </w:pPr>
  </w:style>
  <w:style w:type="numbering" w:customStyle="1" w:styleId="WWNum3">
    <w:name w:val="WWNum3"/>
    <w:basedOn w:val="NoList"/>
    <w:pPr>
      <w:numPr>
        <w:numId w:val="5"/>
      </w:numPr>
    </w:pPr>
  </w:style>
  <w:style w:type="paragraph" w:styleId="Footer">
    <w:name w:val="footer"/>
    <w:basedOn w:val="Normal"/>
    <w:link w:val="FooterChar"/>
    <w:uiPriority w:val="99"/>
    <w:unhideWhenUsed/>
    <w:rsid w:val="004B70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0EE"/>
  </w:style>
  <w:style w:type="character" w:styleId="Hyperlink">
    <w:name w:val="Hyperlink"/>
    <w:basedOn w:val="DefaultParagraphFont"/>
    <w:uiPriority w:val="99"/>
    <w:semiHidden/>
    <w:unhideWhenUsed/>
    <w:rsid w:val="004B70E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70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0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ava.com/en/download/" TargetMode="External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Mastrofrancesco</dc:creator>
  <cp:lastModifiedBy>Rohan Talkad</cp:lastModifiedBy>
  <cp:revision>5</cp:revision>
  <cp:lastPrinted>2019-04-03T17:44:00Z</cp:lastPrinted>
  <dcterms:created xsi:type="dcterms:W3CDTF">2019-04-03T17:40:00Z</dcterms:created>
  <dcterms:modified xsi:type="dcterms:W3CDTF">2019-04-03T17:47:00Z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