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0ef7127ba4d6525239b0209d57c15eb5784a85"/>
    <w:p>
      <w:pPr>
        <w:pStyle w:val="Heading1"/>
      </w:pPr>
      <w:r>
        <w:t xml:space="preserve">CORTEX — Cognitive Resilient Teaming for Extreme Search and Rescue</w:t>
      </w:r>
    </w:p>
    <w:bookmarkStart w:id="19" w:name="X452c8bc96a8206a038d9f8c4e4b49d85c75dbe9"/>
    <w:p>
      <w:pPr>
        <w:pStyle w:val="Heading2"/>
      </w:pPr>
      <w:r>
        <w:t xml:space="preserve">Internal Pitch Document | AIT Center for Technology Experience</w:t>
      </w:r>
    </w:p>
    <w:p>
      <w:r>
        <w:pict>
          <v:rect style="width:0;height:1.5pt" o:hralign="center" o:hrstd="t" o:hr="t"/>
        </w:pict>
      </w:r>
    </w:p>
    <w:bookmarkStart w:id="9" w:name="the-opportunity"/>
    <w:p>
      <w:pPr>
        <w:pStyle w:val="Heading3"/>
      </w:pPr>
      <w:r>
        <w:t xml:space="preserve">The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HORIZON-CL3-2026-01-DRS-03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Innovative tools &amp; technologies for search and rescue in hazardous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Innovation Action (IA)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 Contribution</w:t>
            </w:r>
          </w:p>
        </w:tc>
        <w:tc>
          <w:tcPr/>
          <w:p>
            <w:pPr>
              <w:pStyle w:val="Compact"/>
            </w:pPr>
            <w:r>
              <w:t xml:space="preserve">~EUR 4M per project (2 projects funded)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AIT Budget Target</w:t>
            </w:r>
          </w:p>
        </w:tc>
        <w:tc>
          <w:tcPr/>
          <w:p>
            <w:pPr>
              <w:pStyle w:val="Compact"/>
            </w:pPr>
            <w:r>
              <w:t xml:space="preserve">~EUR 900k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5 November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TRL Target</w:t>
            </w:r>
          </w:p>
        </w:tc>
        <w:tc>
          <w:tcPr/>
          <w:p>
            <w:pPr>
              <w:pStyle w:val="Compact"/>
            </w:pPr>
            <w:r>
              <w:t xml:space="preserve">7-8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36 months</w:t>
            </w:r>
          </w:p>
        </w:tc>
      </w:tr>
    </w:tbl>
    <w:bookmarkEnd w:id="9"/>
    <w:bookmarkStart w:id="1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Search-and-rescue operations in disaster environments (structural collapse, wildfire, earthquake) push human responders to their cognitive and physical limits. A decade of EU-funded innovation has produced better drones, smarter robots, and more sensors — but the human operating them is still unsupported: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closed loop.</w:t>
      </w:r>
      <w:r>
        <w:t xml:space="preserve"> </w:t>
      </w:r>
      <w:r>
        <w:t xml:space="preserve">Biosignal monitoring of responders exists (SIXTHSENSE, FASTER, RESCUER) but stops at a dashboard nobody watches during a crisis. It never feeds back into operational decisions.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All-or-nothing autonomy.</w:t>
      </w:r>
      <w:r>
        <w:t xml:space="preserve"> </w:t>
      </w:r>
      <w:r>
        <w:t xml:space="preserve">SAR robots are either teleoperated or fully autonomous. There is no adaptation based on the operator’s current cognitive capacity.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interfaces.</w:t>
      </w:r>
      <w:r>
        <w:t xml:space="preserve"> </w:t>
      </w:r>
      <w:r>
        <w:t xml:space="preserve">C2 systems present all information equally, regardless of whether the commander is fresh or overwhelmed.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training for human-AI teams.</w:t>
      </w:r>
      <w:r>
        <w:t xml:space="preserve"> </w:t>
      </w:r>
      <w:r>
        <w:t xml:space="preserve">Responders have never practiced working alongside adaptive autonomous systems.</w:t>
      </w:r>
    </w:p>
    <w:bookmarkEnd w:id="10"/>
    <w:bookmarkStart w:id="11" w:name="Xfe6ea445b85bc6004d14b38f7031086fe7ea8b0"/>
    <w:p>
      <w:pPr>
        <w:pStyle w:val="Heading3"/>
      </w:pPr>
      <w:r>
        <w:t xml:space="preserve">Our Solution: The Missing Human-AI Teaming Layer</w:t>
      </w:r>
    </w:p>
    <w:p>
      <w:pPr>
        <w:pStyle w:val="FirstParagraph"/>
      </w:pPr>
      <w:r>
        <w:t xml:space="preserve">CORTEX closes the loop between the responder, the robot, and the command post — for the first time.</w:t>
      </w:r>
    </w:p>
    <w:p>
      <w:pPr>
        <w:pStyle w:val="SourceCode"/>
      </w:pPr>
      <w:r>
        <w:rPr>
          <w:rStyle w:val="VerbatimChar"/>
        </w:rPr>
        <w:t xml:space="preserve">  RESPONDER                COMMAND POST               TRAINING</w:t>
      </w:r>
      <w:r>
        <w:br/>
      </w:r>
      <w:r>
        <w:rPr>
          <w:rStyle w:val="VerbatimChar"/>
        </w:rPr>
        <w:t xml:space="preserve">  +-----------+           +------------------+        +----------+</w:t>
      </w:r>
      <w:r>
        <w:br/>
      </w:r>
      <w:r>
        <w:rPr>
          <w:rStyle w:val="VerbatimChar"/>
        </w:rPr>
        <w:t xml:space="preserve">  | Wearable  |--edge----&gt;| Adaptive         |        | XR Human-|</w:t>
      </w:r>
      <w:r>
        <w:br/>
      </w:r>
      <w:r>
        <w:rPr>
          <w:rStyle w:val="VerbatimChar"/>
        </w:rPr>
        <w:t xml:space="preserve">  | Biosensors|  node     | Autonomy Manager |        | AI Team  |</w:t>
      </w:r>
      <w:r>
        <w:br/>
      </w:r>
      <w:r>
        <w:rPr>
          <w:rStyle w:val="VerbatimChar"/>
        </w:rPr>
        <w:t xml:space="preserve">  | (PPE-     |  (real-   | (advisory mode:  |        | Trainer  |</w:t>
      </w:r>
      <w:r>
        <w:br/>
      </w:r>
      <w:r>
        <w:rPr>
          <w:rStyle w:val="VerbatimChar"/>
        </w:rPr>
        <w:t xml:space="preserve">  |  embedded)|  time)    |  human confirms) |        +----------+</w:t>
      </w:r>
      <w:r>
        <w:br/>
      </w:r>
      <w:r>
        <w:rPr>
          <w:rStyle w:val="VerbatimChar"/>
        </w:rPr>
        <w:t xml:space="preserve">  +-----------+           +--------+---------+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+--------v---------+</w:t>
      </w:r>
      <w:r>
        <w:br/>
      </w:r>
      <w:r>
        <w:rPr>
          <w:rStyle w:val="VerbatimChar"/>
        </w:rPr>
        <w:t xml:space="preserve">                          | Adaptive C2      |</w:t>
      </w:r>
      <w:r>
        <w:br/>
      </w:r>
      <w:r>
        <w:rPr>
          <w:rStyle w:val="VerbatimChar"/>
        </w:rPr>
        <w:t xml:space="preserve">                          | Dashboard        |</w:t>
      </w:r>
      <w:r>
        <w:br/>
      </w:r>
      <w:r>
        <w:rPr>
          <w:rStyle w:val="VerbatimChar"/>
        </w:rPr>
        <w:t xml:space="preserve">                          | (overlay on      |</w:t>
      </w:r>
      <w:r>
        <w:br/>
      </w:r>
      <w:r>
        <w:rPr>
          <w:rStyle w:val="VerbatimChar"/>
        </w:rPr>
        <w:t xml:space="preserve">                          |  existing C2)    |</w:t>
      </w:r>
      <w:r>
        <w:br/>
      </w:r>
      <w:r>
        <w:rPr>
          <w:rStyle w:val="VerbatimChar"/>
        </w:rPr>
        <w:t xml:space="preserve">                          +--------+---------+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+--------v---------+</w:t>
      </w:r>
      <w:r>
        <w:br/>
      </w:r>
      <w:r>
        <w:rPr>
          <w:rStyle w:val="VerbatimChar"/>
        </w:rPr>
        <w:t xml:space="preserve">                          | Robot/Drone Fleet|        Ethics &amp;</w:t>
      </w:r>
      <w:r>
        <w:br/>
      </w:r>
      <w:r>
        <w:rPr>
          <w:rStyle w:val="VerbatimChar"/>
        </w:rPr>
        <w:t xml:space="preserve">                          | (partner-provided|        Governance</w:t>
      </w:r>
      <w:r>
        <w:br/>
      </w:r>
      <w:r>
        <w:rPr>
          <w:rStyle w:val="VerbatimChar"/>
        </w:rPr>
        <w:t xml:space="preserve">                          |  platforms)      |        (cross-cutting)</w:t>
      </w:r>
      <w:r>
        <w:br/>
      </w:r>
      <w:r>
        <w:rPr>
          <w:rStyle w:val="VerbatimChar"/>
        </w:rPr>
        <w:t xml:space="preserve">                          +------------------+</w:t>
      </w:r>
    </w:p>
    <w:p>
      <w:pPr>
        <w:pStyle w:val="FirstParagraph"/>
      </w:pPr>
      <w:r>
        <w:rPr>
          <w:b/>
          <w:bCs/>
        </w:rPr>
        <w:t xml:space="preserve">Five Key Exploitable Results: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Cognitive Twin Engine</w:t>
      </w:r>
      <w:r>
        <w:t xml:space="preserve"> </w:t>
      </w:r>
      <w:r>
        <w:t xml:space="preserve">— Real-time responder state inference (stress, fatigue, cognitive load) from PPE-embedded biosensors. Predicts degradation before the responder notices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Autonomy Manager</w:t>
      </w:r>
      <w:r>
        <w:t xml:space="preserve"> </w:t>
      </w:r>
      <w:r>
        <w:t xml:space="preserve">— Middleware that adjusts robot/drone autonomy based on operator cognitive state. Advisory mode: the system recommends, the human confirms.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C2 Overlay</w:t>
      </w:r>
      <w:r>
        <w:t xml:space="preserve"> </w:t>
      </w:r>
      <w:r>
        <w:t xml:space="preserve">— Plugin for existing C2/CAD systems that prioritizes information based on commander state. Stable layout, adaptive content.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XR Training for Human-AI Teaming</w:t>
      </w:r>
      <w:r>
        <w:t xml:space="preserve"> </w:t>
      </w:r>
      <w:r>
        <w:t xml:space="preserve">— VR/MR scenarios where responders practice trust calibration and collaboration with adaptive autonomous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Mission Replay Tool</w:t>
      </w:r>
      <w:r>
        <w:t xml:space="preserve"> </w:t>
      </w:r>
      <w:r>
        <w:t xml:space="preserve">—</w:t>
      </w:r>
      <w:r>
        <w:t xml:space="preserve"> </w:t>
      </w:r>
      <w:r>
        <w:t xml:space="preserve">“Black box for responders”</w:t>
      </w:r>
      <w:r>
        <w:t xml:space="preserve"> </w:t>
      </w:r>
      <w:r>
        <w:t xml:space="preserve">— synchronized post-mission cognitive-operational after-action review.</w:t>
      </w:r>
    </w:p>
    <w:bookmarkEnd w:id="11"/>
    <w:bookmarkStart w:id="12" w:name="why-ait-cte-should-lead-this"/>
    <w:p>
      <w:pPr>
        <w:pStyle w:val="Heading3"/>
      </w:pPr>
      <w:r>
        <w:t xml:space="preserve">Why AIT CTE Should Lead This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lineage from SHOTPROS + MED1stMR</w:t>
      </w:r>
      <w:r>
        <w:t xml:space="preserve"> </w:t>
      </w:r>
      <w:r>
        <w:t xml:space="preserve">— XR training, biosignal measurement, human performance under stress. CORTEX is the natural next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 own the innovation gap.</w:t>
      </w:r>
      <w:r>
        <w:t xml:space="preserve"> </w:t>
      </w:r>
      <w:r>
        <w:t xml:space="preserve">15 EU projects mapped — nobody has closed the biosignal-to-C2-to-autonomy loop. The robotics side is saturated (TRIFFID, HURRICANE, PROACTIF). The human side is wide 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of 9 consortium partners are warm contacts</w:t>
      </w:r>
      <w:r>
        <w:t xml:space="preserve"> </w:t>
      </w:r>
      <w:r>
        <w:t xml:space="preserve">from our past projects (PLUX, Campus Vesta, SAMUR-PC, Region Jamtland, Univ. Twente).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 lead 4 of 8 WPs</w:t>
      </w:r>
      <w:r>
        <w:t xml:space="preserve"> </w:t>
      </w:r>
      <w:r>
        <w:t xml:space="preserve">— WP1 (Management), WP2 (Cognitive Twin), WP3 co-lead (Adaptive Autonomy), WP4 co-lead (C2 Overlay), WP5 (XR Training). This is our project.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Platform-agnostic middleware</w:t>
      </w:r>
      <w:r>
        <w:t xml:space="preserve"> </w:t>
      </w:r>
      <w:r>
        <w:t xml:space="preserve">— high exploitation potential. Works with any robot and any C2 system. No hardware lock-in.</w:t>
      </w:r>
    </w:p>
    <w:bookmarkEnd w:id="12"/>
    <w:bookmarkStart w:id="13" w:name="innovation-positioning"/>
    <w:p>
      <w:pPr>
        <w:pStyle w:val="Heading3"/>
      </w:pPr>
      <w:r>
        <w:t xml:space="preserve">Innovation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21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competitors will propose</w:t>
            </w:r>
          </w:p>
        </w:tc>
        <w:tc>
          <w:tcPr/>
          <w:p>
            <w:pPr>
              <w:pStyle w:val="Compact"/>
            </w:pPr>
            <w:r>
              <w:t xml:space="preserve">What CORTEX proposes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“Better robots save more lives”</w:t>
            </w:r>
          </w:p>
        </w:tc>
        <w:tc>
          <w:tcPr/>
          <w:p>
            <w:pPr>
              <w:pStyle w:val="Compact"/>
            </w:pPr>
            <w:r>
              <w:t xml:space="preserve">“Better-supported humans, teamed with robots, save more lives”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drone/UGV platforms (TRL 4-5 to 7)</w:t>
            </w:r>
          </w:p>
        </w:tc>
        <w:tc>
          <w:tcPr/>
          <w:p>
            <w:pPr>
              <w:pStyle w:val="Compact"/>
            </w:pPr>
            <w:r>
              <w:t xml:space="preserve">Middleware layer that works with existing platforms (lower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factors as a token WP</w:t>
            </w:r>
          </w:p>
        </w:tc>
        <w:tc>
          <w:tcPr/>
          <w:p>
            <w:pPr>
              <w:pStyle w:val="Compact"/>
            </w:pPr>
            <w:r>
              <w:t xml:space="preserve">Human state as the central control signal of the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End-users test at the end</w:t>
            </w:r>
          </w:p>
        </w:tc>
        <w:tc>
          <w:tcPr/>
          <w:p>
            <w:pPr>
              <w:pStyle w:val="Compact"/>
            </w:pPr>
            <w:r>
              <w:t xml:space="preserve">End-users co-design from Month 1 (5 warm contacts)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on AI Act</w:t>
            </w:r>
          </w:p>
        </w:tc>
        <w:tc>
          <w:tcPr/>
          <w:p>
            <w:pPr>
              <w:pStyle w:val="Compact"/>
            </w:pPr>
            <w:r>
              <w:t xml:space="preserve">Compliance by architecture — human-in-the-loop, advisory mode</w:t>
            </w:r>
          </w:p>
        </w:tc>
      </w:tr>
    </w:tbl>
    <w:bookmarkEnd w:id="13"/>
    <w:bookmarkStart w:id="14" w:name="X2db0f11a6bbe2f2047b44bb6f0eb3fa9532aeca"/>
    <w:p>
      <w:pPr>
        <w:pStyle w:val="Heading3"/>
      </w:pPr>
      <w:r>
        <w:t xml:space="preserve">Consortium (Proposed, 9 Partners, 8 Countries)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284"/>
        <w:gridCol w:w="1284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Warm?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AIT CTE</w:t>
            </w:r>
          </w:p>
        </w:tc>
        <w:tc>
          <w:tcPr/>
          <w:p>
            <w:pPr>
              <w:pStyle w:val="Compact"/>
            </w:pPr>
            <w:r>
              <w:t xml:space="preserve">Austria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Coordinator, WP1/2/3/4/5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Robotnik Automation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SME</w:t>
            </w:r>
          </w:p>
        </w:tc>
        <w:tc>
          <w:tcPr/>
          <w:p>
            <w:pPr>
              <w:pStyle w:val="Compact"/>
            </w:pPr>
            <w:r>
              <w:t xml:space="preserve">Robotics (UGV/UAV)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IES / Webgenesys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SME</w:t>
            </w:r>
          </w:p>
        </w:tc>
        <w:tc>
          <w:tcPr/>
          <w:p>
            <w:pPr>
              <w:pStyle w:val="Compact"/>
            </w:pPr>
            <w:r>
              <w:t xml:space="preserve">C2 platform (JIXEL)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PLUX Biosignals</w:t>
            </w:r>
          </w:p>
        </w:tc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SME</w:t>
            </w:r>
          </w:p>
        </w:tc>
        <w:tc>
          <w:tcPr/>
          <w:p>
            <w:pPr>
              <w:pStyle w:val="Compact"/>
            </w:pPr>
            <w:r>
              <w:t xml:space="preserve">Wearable biosensors</w:t>
            </w:r>
          </w:p>
        </w:tc>
        <w:tc>
          <w:tcPr/>
          <w:p>
            <w:pPr>
              <w:pStyle w:val="Compact"/>
            </w:pPr>
            <w:r>
              <w:t xml:space="preserve">MED1stMR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 Vesta</w:t>
            </w:r>
          </w:p>
        </w:tc>
        <w:tc>
          <w:tcPr/>
          <w:p>
            <w:pPr>
              <w:pStyle w:val="Compact"/>
            </w:pPr>
            <w:r>
              <w:t xml:space="preserve">Belgium</w:t>
            </w:r>
          </w:p>
        </w:tc>
        <w:tc>
          <w:tcPr/>
          <w:p>
            <w:pPr>
              <w:pStyle w:val="Compact"/>
            </w:pPr>
            <w:r>
              <w:t xml:space="preserve">Public Body</w:t>
            </w:r>
          </w:p>
        </w:tc>
        <w:tc>
          <w:tcPr/>
          <w:p>
            <w:pPr>
              <w:pStyle w:val="Compact"/>
            </w:pPr>
            <w:r>
              <w:t xml:space="preserve">Fire/rescue end-user, exercises</w:t>
            </w:r>
          </w:p>
        </w:tc>
        <w:tc>
          <w:tcPr/>
          <w:p>
            <w:pPr>
              <w:pStyle w:val="Compact"/>
            </w:pPr>
            <w:r>
              <w:t xml:space="preserve">SHOTPROS + MED1stMR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Feuerwehr Dortmund / IFR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Public Body</w:t>
            </w:r>
          </w:p>
        </w:tc>
        <w:tc>
          <w:tcPr/>
          <w:p>
            <w:pPr>
              <w:pStyle w:val="Compact"/>
            </w:pPr>
            <w:r>
              <w:t xml:space="preserve">Fire/USAR end-user, exercises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SAMUR-PC Madrid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Public Body</w:t>
            </w:r>
          </w:p>
        </w:tc>
        <w:tc>
          <w:tcPr/>
          <w:p>
            <w:pPr>
              <w:pStyle w:val="Compact"/>
            </w:pPr>
            <w:r>
              <w:t xml:space="preserve">Medical emergency authority</w:t>
            </w:r>
          </w:p>
        </w:tc>
        <w:tc>
          <w:tcPr/>
          <w:p>
            <w:pPr>
              <w:pStyle w:val="Compact"/>
            </w:pPr>
            <w:r>
              <w:t xml:space="preserve">MED1stMR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Jamtland Harjedalen</w:t>
            </w:r>
          </w:p>
        </w:tc>
        <w:tc>
          <w:tcPr/>
          <w:p>
            <w:pPr>
              <w:pStyle w:val="Compact"/>
            </w:pPr>
            <w:r>
              <w:t xml:space="preserve">Sweden</w:t>
            </w:r>
          </w:p>
        </w:tc>
        <w:tc>
          <w:tcPr/>
          <w:p>
            <w:pPr>
              <w:pStyle w:val="Compact"/>
            </w:pPr>
            <w:r>
              <w:t xml:space="preserve">Public Body</w:t>
            </w:r>
          </w:p>
        </w:tc>
        <w:tc>
          <w:tcPr/>
          <w:p>
            <w:pPr>
              <w:pStyle w:val="Compact"/>
            </w:pPr>
            <w:r>
              <w:t xml:space="preserve">Medical/EMS authority</w:t>
            </w:r>
          </w:p>
        </w:tc>
        <w:tc>
          <w:tcPr/>
          <w:p>
            <w:pPr>
              <w:pStyle w:val="Compact"/>
            </w:pPr>
            <w:r>
              <w:t xml:space="preserve">MED1stMR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Univ. Twente</w:t>
            </w:r>
          </w:p>
        </w:tc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ELSI / ethics</w:t>
            </w:r>
          </w:p>
        </w:tc>
        <w:tc>
          <w:tcPr/>
          <w:p>
            <w:pPr>
              <w:pStyle w:val="Compact"/>
            </w:pPr>
            <w:r>
              <w:t xml:space="preserve">TechEthos with AIT</w:t>
            </w:r>
          </w:p>
        </w:tc>
      </w:tr>
    </w:tbl>
    <w:p>
      <w:pPr>
        <w:pStyle w:val="BodyText"/>
      </w:pPr>
      <w:r>
        <w:t xml:space="preserve">40+ backup candidates identified across all positions. Budget headroom (~500k) for a 10th partner (recommended: CNBOP-PIB, Poland — widening country bonus).</w:t>
      </w:r>
    </w:p>
    <w:bookmarkEnd w:id="14"/>
    <w:bookmarkStart w:id="15" w:name="budget-overview"/>
    <w:p>
      <w:pPr>
        <w:pStyle w:val="Heading3"/>
      </w:pPr>
      <w:r>
        <w:t xml:space="preserve">Budget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AIT CTE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SMEs (Robotnik, IES, PLUX)</w:t>
            </w:r>
          </w:p>
        </w:tc>
        <w:tc>
          <w:tcPr/>
          <w:p>
            <w:pPr>
              <w:pStyle w:val="Compact"/>
            </w:pPr>
            <w:r>
              <w:t xml:space="preserve">1,250,000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End-users (4 orgs)</w:t>
            </w:r>
          </w:p>
        </w:tc>
        <w:tc>
          <w:tcPr/>
          <w:p>
            <w:pPr>
              <w:pStyle w:val="Compact"/>
            </w:pPr>
            <w:r>
              <w:t xml:space="preserve">1,100,000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ELSI (Univ. Twente)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Headroom (10th partner or buffer)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~4,000,000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Note: IA funding rate is 70% (100% for non-profit). AIT as RTO qualifies for 100%. Lump sum grant.</w:t>
      </w:r>
    </w:p>
    <w:bookmarkEnd w:id="15"/>
    <w:bookmarkStart w:id="16" w:name="timeline"/>
    <w:p>
      <w:pPr>
        <w:pStyle w:val="Heading3"/>
      </w:pPr>
      <w:r>
        <w:t xml:space="preserve">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 - Nov 2026</w:t>
            </w:r>
          </w:p>
        </w:tc>
        <w:tc>
          <w:tcPr/>
          <w:p>
            <w:pPr>
              <w:pStyle w:val="Compact"/>
            </w:pPr>
            <w:r>
              <w:t xml:space="preserve">Pre-submission</w:t>
            </w:r>
          </w:p>
        </w:tc>
        <w:tc>
          <w:tcPr/>
          <w:p>
            <w:pPr>
              <w:pStyle w:val="Compact"/>
            </w:pPr>
            <w:r>
              <w:t xml:space="preserve">Internal approval, consortium outreach, proposal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Call opens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~Jun 2027</w:t>
            </w:r>
          </w:p>
        </w:tc>
        <w:tc>
          <w:tcPr/>
          <w:p>
            <w:pPr>
              <w:pStyle w:val="Compact"/>
            </w:pPr>
            <w:r>
              <w:t xml:space="preserve">Expected start</w:t>
            </w:r>
          </w:p>
        </w:tc>
        <w:tc>
          <w:tcPr/>
          <w:p>
            <w:pPr>
              <w:pStyle w:val="Compact"/>
            </w:pPr>
            <w:r>
              <w:t xml:space="preserve">If 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M1-M12</w:t>
            </w:r>
          </w:p>
        </w:tc>
        <w:tc>
          <w:tcPr/>
          <w:p>
            <w:pPr>
              <w:pStyle w:val="Compact"/>
            </w:pPr>
            <w:r>
              <w:t xml:space="preserve">Component maturation</w:t>
            </w:r>
          </w:p>
        </w:tc>
        <w:tc>
          <w:tcPr/>
          <w:p>
            <w:pPr>
              <w:pStyle w:val="Compact"/>
            </w:pPr>
            <w:r>
              <w:t xml:space="preserve">Lab validation, co-design with end-users, DPIA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M13-M24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Subsystem integration, indoor testbed, first integrated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M25-M36</w:t>
            </w:r>
          </w:p>
        </w:tc>
        <w:tc>
          <w:tcPr/>
          <w:p>
            <w:pPr>
              <w:pStyle w:val="Compac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</w:pPr>
            <w:r>
              <w:t xml:space="preserve">3 multinational field exercises (TRL 7-8)</w:t>
            </w:r>
          </w:p>
        </w:tc>
      </w:tr>
    </w:tbl>
    <w:bookmarkEnd w:id="16"/>
    <w:bookmarkStart w:id="17" w:name="what-we-need-to-proceed"/>
    <w:p>
      <w:pPr>
        <w:pStyle w:val="Heading3"/>
      </w:pPr>
      <w:r>
        <w:t xml:space="preserve">What We Need to Proceed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Internal GO decision</w:t>
      </w:r>
      <w:r>
        <w:t xml:space="preserve"> </w:t>
      </w:r>
      <w:r>
        <w:t xml:space="preserve">to invest pre-proposal effort (~3-5 PM for concept development and proposal writing over 8 months)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Approval to coordinate</w:t>
      </w:r>
      <w:r>
        <w:t xml:space="preserve"> </w:t>
      </w:r>
      <w:r>
        <w:t xml:space="preserve">(AIT CTE as lead beneficiary)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 light for outreach</w:t>
      </w:r>
      <w:r>
        <w:t xml:space="preserve"> </w:t>
      </w:r>
      <w:r>
        <w:t xml:space="preserve">to consortium partners (starting with 5 warm contacts)</w:t>
      </w:r>
    </w:p>
    <w:bookmarkEnd w:id="17"/>
    <w:bookmarkStart w:id="18" w:name="key-risk-mitigation"/>
    <w:p>
      <w:pPr>
        <w:pStyle w:val="Heading3"/>
      </w:pPr>
      <w:r>
        <w:t xml:space="preserve">Key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Biosignal reliability under SAR conditions</w:t>
            </w:r>
          </w:p>
        </w:tc>
        <w:tc>
          <w:tcPr/>
          <w:p>
            <w:pPr>
              <w:pStyle w:val="Compact"/>
            </w:pPr>
            <w:r>
              <w:t xml:space="preserve">Multi-modal fusion (no single-sensor dependency); confidence scoring; 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Responder/union acceptance of monitoring</w:t>
            </w:r>
          </w:p>
        </w:tc>
        <w:tc>
          <w:tcPr/>
          <w:p>
            <w:pPr>
              <w:pStyle w:val="Compact"/>
            </w:pPr>
            <w:r>
              <w:t xml:space="preserve">Co-design from M1; advisory-only; data stays on-device; works council engagement in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autonomy validation</w:t>
            </w:r>
          </w:p>
        </w:tc>
        <w:tc>
          <w:tcPr/>
          <w:p>
            <w:pPr>
              <w:pStyle w:val="Compact"/>
            </w:pPr>
            <w:r>
              <w:t xml:space="preserve">Wizard-of-Oz before automation; conservative policy with safety constraints; A/B evaluation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(~8-13% success rate)</w:t>
            </w:r>
          </w:p>
        </w:tc>
        <w:tc>
          <w:tcPr/>
          <w:p>
            <w:pPr>
              <w:pStyle w:val="Compact"/>
            </w:pPr>
            <w:r>
              <w:t xml:space="preserve">Human-centered angle is unique; 5 warm contacts de-risk consortium; strong AIT pedigree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Horizon Europe OS | 2026-03-06</w:t>
      </w:r>
      <w:r>
        <w:t xml:space="preserve"> </w:t>
      </w:r>
      <w:r>
        <w:rPr>
          <w:i/>
          <w:iCs/>
        </w:rPr>
        <w:t xml:space="preserve">Contact: [PI] — AIT Center for Technology Experience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2026-03-06T12:17:53Z</dcterms:created>
  <dcterms:modified xsi:type="dcterms:W3CDTF">2026-03-06T12:17:53Z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