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E29547" w14:textId="77777777" w:rsidR="00B6520F" w:rsidRDefault="00000000">
      <w:pPr>
        <w:spacing w:after="60"/>
      </w:pPr>
      <w:r>
        <w:rPr>
          <w:b/>
          <w:bCs/>
          <w:sz w:val="36"/>
          <w:szCs w:val="36"/>
        </w:rPr>
        <w:t xml:space="preserve">Plant Circadian Rhythms in the </w:t>
      </w:r>
      <w:proofErr w:type="spellStart"/>
      <w:r>
        <w:rPr>
          <w:b/>
          <w:bCs/>
          <w:sz w:val="36"/>
          <w:szCs w:val="36"/>
        </w:rPr>
        <w:t>Phaenomena</w:t>
      </w:r>
      <w:proofErr w:type="spellEnd"/>
      <w:r>
        <w:rPr>
          <w:b/>
          <w:bCs/>
          <w:sz w:val="36"/>
          <w:szCs w:val="36"/>
        </w:rPr>
        <w:t xml:space="preserve"> Dataset</w:t>
      </w:r>
    </w:p>
    <w:p w14:paraId="0B859006" w14:textId="41CB304D" w:rsidR="00B6520F" w:rsidRDefault="00000000">
      <w:pPr>
        <w:spacing w:after="240"/>
      </w:pPr>
      <w:r>
        <w:rPr>
          <w:i/>
          <w:iCs/>
          <w:color w:val="555555"/>
        </w:rPr>
        <w:t>COIN Seminar— April 2026</w:t>
      </w:r>
    </w:p>
    <w:p w14:paraId="1DF2F7BF" w14:textId="77777777" w:rsidR="00B6520F" w:rsidRDefault="00000000">
      <w:pPr>
        <w:pStyle w:val="Heading1"/>
      </w:pPr>
      <w:r>
        <w:t>1. Overview</w:t>
      </w:r>
    </w:p>
    <w:p w14:paraId="0D170B65" w14:textId="77777777" w:rsidR="00B6520F" w:rsidRDefault="00000000">
      <w:pPr>
        <w:spacing w:after="120"/>
      </w:pPr>
      <w:r>
        <w:t xml:space="preserve">Over seven weeks (3 March – 20 April 2026), the Stille </w:t>
      </w:r>
      <w:proofErr w:type="spellStart"/>
      <w:r>
        <w:t>Signale</w:t>
      </w:r>
      <w:proofErr w:type="spellEnd"/>
      <w:r>
        <w:t xml:space="preserve"> installation at the </w:t>
      </w:r>
      <w:proofErr w:type="spellStart"/>
      <w:r>
        <w:t>Phaenomena</w:t>
      </w:r>
      <w:proofErr w:type="spellEnd"/>
      <w:r>
        <w:t xml:space="preserve"> exhibition in Aarau continuously recorded the electrical signal of three different houseplants. Each plant had a single pair of electrodes connected to an AD8232 biopotential amplifier streamed via an ESP32 over WebSocket, producing roughly 100,000 short WAV recordings across the three plants. Your project is to use this dataset to ask a question that existing single-plant studies could not answer at scale: is there a detectable circadian rhythm in plant bioelectric signals, and is it consistent across independent plants?</w:t>
      </w:r>
    </w:p>
    <w:p w14:paraId="481CCD39" w14:textId="77777777" w:rsidR="00B6520F" w:rsidRDefault="00000000">
      <w:pPr>
        <w:pStyle w:val="Heading1"/>
      </w:pPr>
      <w:r>
        <w:t>2. Background</w:t>
      </w:r>
    </w:p>
    <w:p w14:paraId="13F9F201" w14:textId="0AC3F6C4" w:rsidR="00B6520F" w:rsidRDefault="00000000">
      <w:pPr>
        <w:spacing w:after="120"/>
      </w:pPr>
      <w:r>
        <w:t xml:space="preserve">Plant electrophysiology has a long history (dating back to Bose in 1926), but every modern study documenting day-night periodicity in the electrical signal has used a handful of plants over a handful of days. The question whether what is observed reflects an endogenous circadian clock, a reactive response to light or temperature, or an electrical artefact correlated with daily laboratory routines, has never been cleanly separable at small scale. The three-plant, seven-week </w:t>
      </w:r>
      <w:proofErr w:type="spellStart"/>
      <w:r>
        <w:t>Phaenomena</w:t>
      </w:r>
      <w:proofErr w:type="spellEnd"/>
      <w:r>
        <w:t xml:space="preserve"> dataset changes the arithmetic. Prior work from the </w:t>
      </w:r>
      <w:proofErr w:type="spellStart"/>
      <w:r>
        <w:t>Biolingo</w:t>
      </w:r>
      <w:proofErr w:type="spellEnd"/>
      <w:r>
        <w:t xml:space="preserve"> group (Gloor, Biomimetics 202</w:t>
      </w:r>
      <w:r w:rsidR="0027377E">
        <w:t>6</w:t>
      </w:r>
      <w:r>
        <w:t xml:space="preserve">; Gloor &amp; </w:t>
      </w:r>
      <w:proofErr w:type="spellStart"/>
      <w:r>
        <w:t>Weinbeer</w:t>
      </w:r>
      <w:proofErr w:type="spellEnd"/>
      <w:r>
        <w:t>, Biomimetics 202</w:t>
      </w:r>
      <w:r w:rsidR="0027377E">
        <w:t>5</w:t>
      </w:r>
      <w:r>
        <w:t>) established the measurement pipeline you are using; your job is to see what it produces when applied to a dataset two orders of magnitude larger.</w:t>
      </w:r>
    </w:p>
    <w:p w14:paraId="76C5D239" w14:textId="77777777" w:rsidR="00B6520F" w:rsidRDefault="00000000">
      <w:pPr>
        <w:pStyle w:val="Heading1"/>
      </w:pPr>
      <w:r>
        <w:t>3. Research questions</w:t>
      </w:r>
    </w:p>
    <w:p w14:paraId="1DE976B1" w14:textId="77777777" w:rsidR="00B6520F" w:rsidRDefault="00000000">
      <w:pPr>
        <w:pStyle w:val="ListParagraph"/>
        <w:numPr>
          <w:ilvl w:val="0"/>
          <w:numId w:val="2"/>
        </w:numPr>
        <w:spacing w:after="60"/>
      </w:pPr>
      <w:r>
        <w:t>Is there a detectable 24-hour rhythm in any bioelectric signal feature for any of the three plants?</w:t>
      </w:r>
    </w:p>
    <w:p w14:paraId="207B2DBC" w14:textId="77777777" w:rsidR="00B6520F" w:rsidRDefault="00000000">
      <w:pPr>
        <w:pStyle w:val="ListParagraph"/>
        <w:numPr>
          <w:ilvl w:val="0"/>
          <w:numId w:val="2"/>
        </w:numPr>
        <w:spacing w:after="60"/>
      </w:pPr>
      <w:r>
        <w:t>If so, does the rhythm replicate across the three plants — same period, comparable phase, comparable amplitude?</w:t>
      </w:r>
    </w:p>
    <w:p w14:paraId="30963913" w14:textId="77777777" w:rsidR="00B6520F" w:rsidRDefault="00000000">
      <w:pPr>
        <w:pStyle w:val="ListParagraph"/>
        <w:numPr>
          <w:ilvl w:val="0"/>
          <w:numId w:val="2"/>
        </w:numPr>
        <w:spacing w:after="60"/>
      </w:pPr>
      <w:r>
        <w:t>Can the signal be decomposed into (a) a per-plant circadian baseline and (b) a residual, such that the residual encodes non-circadian responses to environmental events?</w:t>
      </w:r>
    </w:p>
    <w:p w14:paraId="0E185516" w14:textId="77777777" w:rsidR="00B6520F" w:rsidRDefault="00000000">
      <w:pPr>
        <w:pStyle w:val="ListParagraph"/>
        <w:numPr>
          <w:ilvl w:val="0"/>
          <w:numId w:val="2"/>
        </w:numPr>
        <w:spacing w:after="60"/>
      </w:pPr>
      <w:r>
        <w:t>Do the per-plant residuals correlate across plants during environmental events (collective signal) and decorrelate during local events (individual responses)? This is the COIN-framing question: three plants in a shared environment as a small collective-intelligence network.</w:t>
      </w:r>
    </w:p>
    <w:p w14:paraId="5684F5E5" w14:textId="097C4553" w:rsidR="00B6520F" w:rsidRDefault="00000000">
      <w:pPr>
        <w:pStyle w:val="ListParagraph"/>
        <w:numPr>
          <w:ilvl w:val="0"/>
          <w:numId w:val="2"/>
        </w:numPr>
        <w:spacing w:after="60"/>
      </w:pPr>
      <w:r>
        <w:t>does the peak hour of the rhythm advance over the seven weeks in a way consistent with the ~50-minute advance of civil sunrise at Aarau between early March and late April?</w:t>
      </w:r>
    </w:p>
    <w:p w14:paraId="45DA4847" w14:textId="77777777" w:rsidR="00B6520F" w:rsidRDefault="00000000">
      <w:pPr>
        <w:pStyle w:val="Heading1"/>
      </w:pPr>
      <w:r>
        <w:t>4. Data provided</w:t>
      </w:r>
    </w:p>
    <w:p w14:paraId="6213AFD2" w14:textId="77777777" w:rsidR="00B6520F" w:rsidRDefault="00000000">
      <w:pPr>
        <w:spacing w:after="120"/>
      </w:pPr>
      <w:proofErr w:type="spellStart"/>
      <w:r>
        <w:rPr>
          <w:b/>
          <w:bCs/>
        </w:rPr>
        <w:t>phaenomena_student_</w:t>
      </w:r>
      <w:proofErr w:type="gramStart"/>
      <w:r>
        <w:rPr>
          <w:b/>
          <w:bCs/>
        </w:rPr>
        <w:t>data.parquet</w:t>
      </w:r>
      <w:proofErr w:type="spellEnd"/>
      <w:proofErr w:type="gramEnd"/>
      <w:r>
        <w:t xml:space="preserve"> — one row per recording, one file per dataset times plant. About 100,000 rows × 28 columns, ~10 MB. See </w:t>
      </w:r>
      <w:r>
        <w:rPr>
          <w:i/>
          <w:iCs/>
        </w:rPr>
        <w:t>data_dictionary.txt</w:t>
      </w:r>
      <w:r>
        <w:t xml:space="preserve"> for the column definitions.</w:t>
      </w:r>
    </w:p>
    <w:p w14:paraId="284CF7F0" w14:textId="77777777" w:rsidR="00B6520F" w:rsidRDefault="00000000">
      <w:pPr>
        <w:spacing w:after="120"/>
      </w:pPr>
      <w:r>
        <w:rPr>
          <w:b/>
          <w:bCs/>
        </w:rPr>
        <w:t>Raw WAV archive</w:t>
      </w:r>
      <w:r>
        <w:t xml:space="preserve"> — available on request (~360 MB across three datasets). You do not need this for the circadian questions; only reach for it if you want to </w:t>
      </w:r>
      <w:proofErr w:type="spellStart"/>
      <w:r>
        <w:t>analyse</w:t>
      </w:r>
      <w:proofErr w:type="spellEnd"/>
      <w:r>
        <w:t xml:space="preserve"> event-aligned responses at sub-second resolution.</w:t>
      </w:r>
    </w:p>
    <w:p w14:paraId="54B52023" w14:textId="77777777" w:rsidR="00B6520F" w:rsidRDefault="00000000">
      <w:pPr>
        <w:pStyle w:val="Heading1"/>
      </w:pPr>
      <w:r>
        <w:lastRenderedPageBreak/>
        <w:t>5. Suggested pipeline</w:t>
      </w:r>
    </w:p>
    <w:p w14:paraId="439ECF55" w14:textId="77777777" w:rsidR="00B6520F" w:rsidRDefault="00000000">
      <w:pPr>
        <w:pStyle w:val="ListParagraph"/>
        <w:numPr>
          <w:ilvl w:val="0"/>
          <w:numId w:val="2"/>
        </w:numPr>
        <w:spacing w:after="60"/>
      </w:pPr>
      <w:r>
        <w:t>Reproduce the basic overview: read the parquet, plot file counts by dataset × label, hour-of-day histograms, and duration distributions. Confirm you can see the known ~25 % dead-file rate and do not panic about it.</w:t>
      </w:r>
    </w:p>
    <w:p w14:paraId="3E84C9F1" w14:textId="77777777" w:rsidR="00B6520F" w:rsidRDefault="00000000">
      <w:pPr>
        <w:pStyle w:val="ListParagraph"/>
        <w:numPr>
          <w:ilvl w:val="0"/>
          <w:numId w:val="2"/>
        </w:numPr>
        <w:spacing w:after="60"/>
      </w:pPr>
      <w:r>
        <w:t xml:space="preserve">For each of the three datasets independently, fit a </w:t>
      </w:r>
      <w:proofErr w:type="spellStart"/>
      <w:r>
        <w:t>cosinor</w:t>
      </w:r>
      <w:proofErr w:type="spellEnd"/>
      <w:r>
        <w:t xml:space="preserve"> to DC-invariant features (std, </w:t>
      </w:r>
      <w:proofErr w:type="spellStart"/>
      <w:r>
        <w:t>iqr</w:t>
      </w:r>
      <w:proofErr w:type="spellEnd"/>
      <w:r>
        <w:t xml:space="preserve">, bp_0_1, bp_1_5, </w:t>
      </w:r>
      <w:proofErr w:type="spellStart"/>
      <w:r>
        <w:t>zcr</w:t>
      </w:r>
      <w:proofErr w:type="spellEnd"/>
      <w:r>
        <w:t>) with per-day z-</w:t>
      </w:r>
      <w:proofErr w:type="spellStart"/>
      <w:r>
        <w:t>normalisation</w:t>
      </w:r>
      <w:proofErr w:type="spellEnd"/>
      <w:r>
        <w:t>. Identify which features show a real rhythm and which do not.</w:t>
      </w:r>
    </w:p>
    <w:p w14:paraId="07440922" w14:textId="77777777" w:rsidR="00B6520F" w:rsidRDefault="00000000">
      <w:pPr>
        <w:pStyle w:val="ListParagraph"/>
        <w:numPr>
          <w:ilvl w:val="0"/>
          <w:numId w:val="2"/>
        </w:numPr>
        <w:spacing w:after="60"/>
      </w:pPr>
      <w:r>
        <w:t>Repeat step 2 restricted to overnight hours (18:00–09:00, i.e. when no visitors were present). A rhythm that survives this filter is strong evidence of biology rather than visitor-driven artefact.</w:t>
      </w:r>
    </w:p>
    <w:p w14:paraId="581F0403" w14:textId="77777777" w:rsidR="00B6520F" w:rsidRDefault="00000000">
      <w:pPr>
        <w:pStyle w:val="ListParagraph"/>
        <w:numPr>
          <w:ilvl w:val="0"/>
          <w:numId w:val="2"/>
        </w:numPr>
        <w:spacing w:after="60"/>
      </w:pPr>
      <w:r>
        <w:t>Compute per-plant residuals: (measured feature at time t) − (</w:t>
      </w:r>
      <w:proofErr w:type="spellStart"/>
      <w:r>
        <w:t>cosinor</w:t>
      </w:r>
      <w:proofErr w:type="spellEnd"/>
      <w:r>
        <w:t xml:space="preserve"> prediction at hour(t)). Align the three residual time-series on a common UTC clock. Rolling-window correlation of residuals across plants is your collective-intelligence signal.</w:t>
      </w:r>
    </w:p>
    <w:p w14:paraId="38E9DCCE" w14:textId="77777777" w:rsidR="00B6520F" w:rsidRDefault="00000000">
      <w:pPr>
        <w:pStyle w:val="ListParagraph"/>
        <w:numPr>
          <w:ilvl w:val="0"/>
          <w:numId w:val="2"/>
        </w:numPr>
        <w:spacing w:after="60"/>
      </w:pPr>
      <w:r>
        <w:t>Find a week of data where a memorable environmental event happened (a warm day, a storm, an HVAC failure) and see whether it shows up in the cross-plant residual correlation. If you cannot identify such a week, that itself is a finding.</w:t>
      </w:r>
    </w:p>
    <w:p w14:paraId="7EC88C05" w14:textId="77777777" w:rsidR="00B6520F" w:rsidRDefault="00000000">
      <w:pPr>
        <w:pStyle w:val="Heading1"/>
      </w:pPr>
      <w:r>
        <w:t>6. Known data-quality caveats — read before you spend time debugging</w:t>
      </w:r>
    </w:p>
    <w:p w14:paraId="6EB09D11" w14:textId="77777777" w:rsidR="00B6520F" w:rsidRDefault="00000000">
      <w:pPr>
        <w:pStyle w:val="ListParagraph"/>
        <w:numPr>
          <w:ilvl w:val="0"/>
          <w:numId w:val="3"/>
        </w:numPr>
        <w:spacing w:after="60"/>
      </w:pPr>
      <w:r>
        <w:rPr>
          <w:b/>
          <w:bCs/>
        </w:rPr>
        <w:t xml:space="preserve">Sample </w:t>
      </w:r>
      <w:proofErr w:type="gramStart"/>
      <w:r>
        <w:rPr>
          <w:b/>
          <w:bCs/>
        </w:rPr>
        <w:t>rate</w:t>
      </w:r>
      <w:proofErr w:type="gramEnd"/>
      <w:r>
        <w:rPr>
          <w:b/>
          <w:bCs/>
        </w:rPr>
        <w:t xml:space="preserve"> mislabel.</w:t>
      </w:r>
      <w:r>
        <w:t xml:space="preserve"> The WAV header says 100 Hz; the real rate off the ESP32 is ~126.67 Hz. Irrelevant for circadian (which is 9 orders of magnitude away) but important if you ever compute absolute frequencies — multiply apparent Hz by 1.267.</w:t>
      </w:r>
    </w:p>
    <w:p w14:paraId="08867BC2" w14:textId="77777777" w:rsidR="00B6520F" w:rsidRDefault="00000000">
      <w:pPr>
        <w:pStyle w:val="ListParagraph"/>
        <w:numPr>
          <w:ilvl w:val="0"/>
          <w:numId w:val="3"/>
        </w:numPr>
        <w:spacing w:after="60"/>
      </w:pPr>
      <w:r>
        <w:rPr>
          <w:b/>
          <w:bCs/>
        </w:rPr>
        <w:t>The "40 Hz" PSD peak is 50 Hz mains.</w:t>
      </w:r>
      <w:r>
        <w:t xml:space="preserve"> Do not treat it as a biological feature. It is the sample-rate mislabel folding 50 Hz mains hum into an apparent 40 Hz.</w:t>
      </w:r>
    </w:p>
    <w:p w14:paraId="2A466837" w14:textId="77777777" w:rsidR="00B6520F" w:rsidRDefault="00000000">
      <w:pPr>
        <w:pStyle w:val="ListParagraph"/>
        <w:numPr>
          <w:ilvl w:val="0"/>
          <w:numId w:val="3"/>
        </w:numPr>
        <w:spacing w:after="60"/>
      </w:pPr>
      <w:r>
        <w:rPr>
          <w:b/>
          <w:bCs/>
        </w:rPr>
        <w:t>DC is preserved.</w:t>
      </w:r>
      <w:r>
        <w:t xml:space="preserve"> The firmware computes but discards its high-pass filter, so the mean and median of each file reflect electrode-offset drift, not plant signal. Use DC-invariant features (std, </w:t>
      </w:r>
      <w:proofErr w:type="spellStart"/>
      <w:r>
        <w:t>iqr</w:t>
      </w:r>
      <w:proofErr w:type="spellEnd"/>
      <w:r>
        <w:t xml:space="preserve">, band powers, </w:t>
      </w:r>
      <w:proofErr w:type="spellStart"/>
      <w:r>
        <w:t>zcr</w:t>
      </w:r>
      <w:proofErr w:type="spellEnd"/>
      <w:r>
        <w:t>) or detrend before any analysis involving mean.</w:t>
      </w:r>
    </w:p>
    <w:p w14:paraId="6A18DC4C" w14:textId="77777777" w:rsidR="00B6520F" w:rsidRDefault="00000000">
      <w:pPr>
        <w:pStyle w:val="ListParagraph"/>
        <w:numPr>
          <w:ilvl w:val="0"/>
          <w:numId w:val="3"/>
        </w:numPr>
        <w:spacing w:after="60"/>
      </w:pPr>
      <w:r>
        <w:rPr>
          <w:b/>
          <w:bCs/>
        </w:rPr>
        <w:t>Dead files from torn electrodes.</w:t>
      </w:r>
      <w:r>
        <w:t xml:space="preserve"> About 25 % of all files are rail-pinned or otherwise invalid (52 % in the lamp set — visitors literally pulled electrodes off that plant). The </w:t>
      </w:r>
      <w:proofErr w:type="spellStart"/>
      <w:r>
        <w:t>data_dictionary</w:t>
      </w:r>
      <w:proofErr w:type="spellEnd"/>
      <w:r>
        <w:t xml:space="preserve"> explains the quality flags. Filter to </w:t>
      </w:r>
      <w:proofErr w:type="spellStart"/>
      <w:r>
        <w:t>dead_flag</w:t>
      </w:r>
      <w:proofErr w:type="spellEnd"/>
      <w:r>
        <w:t xml:space="preserve"> == False before any analysis.</w:t>
      </w:r>
    </w:p>
    <w:p w14:paraId="56C8330A" w14:textId="77777777" w:rsidR="00B6520F" w:rsidRDefault="00000000">
      <w:pPr>
        <w:pStyle w:val="ListParagraph"/>
        <w:numPr>
          <w:ilvl w:val="0"/>
          <w:numId w:val="3"/>
        </w:numPr>
        <w:spacing w:after="60"/>
      </w:pPr>
      <w:r>
        <w:rPr>
          <w:b/>
          <w:bCs/>
        </w:rPr>
        <w:t xml:space="preserve">Label noise in </w:t>
      </w:r>
      <w:proofErr w:type="spellStart"/>
      <w:r>
        <w:rPr>
          <w:b/>
          <w:bCs/>
        </w:rPr>
        <w:t>lamp_on</w:t>
      </w:r>
      <w:proofErr w:type="spellEnd"/>
      <w:r>
        <w:rPr>
          <w:b/>
          <w:bCs/>
        </w:rPr>
        <w:t xml:space="preserve"> / </w:t>
      </w:r>
      <w:proofErr w:type="spellStart"/>
      <w:r>
        <w:rPr>
          <w:b/>
          <w:bCs/>
        </w:rPr>
        <w:t>lamp_off</w:t>
      </w:r>
      <w:proofErr w:type="spellEnd"/>
      <w:r>
        <w:rPr>
          <w:b/>
          <w:bCs/>
        </w:rPr>
        <w:t>.</w:t>
      </w:r>
      <w:r>
        <w:t xml:space="preserve"> The green visitor button that toggles the lamp can desync from the recorded label; expect ~5–10 % mislabels. Irrelevant for the circadian question (which pools both classes) but will bite you if you train a classifier.</w:t>
      </w:r>
    </w:p>
    <w:p w14:paraId="595AE1E5" w14:textId="77777777" w:rsidR="00B6520F" w:rsidRDefault="00000000">
      <w:pPr>
        <w:pStyle w:val="ListParagraph"/>
        <w:numPr>
          <w:ilvl w:val="0"/>
          <w:numId w:val="3"/>
        </w:numPr>
        <w:spacing w:after="60"/>
      </w:pPr>
      <w:r>
        <w:rPr>
          <w:b/>
          <w:bCs/>
        </w:rPr>
        <w:t>Emotion-dataset labels are unreliable overnight.</w:t>
      </w:r>
      <w:r>
        <w:t xml:space="preserve"> The FER model apparently runs without face-presence gating, so overnight </w:t>
      </w:r>
      <w:proofErr w:type="spellStart"/>
      <w:r>
        <w:t>emotion_negative</w:t>
      </w:r>
      <w:proofErr w:type="spellEnd"/>
      <w:r>
        <w:t xml:space="preserve"> files are frames of nothing. Does not affect circadian (labels do not matter), does affect any classifier you might want to build later.</w:t>
      </w:r>
    </w:p>
    <w:p w14:paraId="0E98F12D" w14:textId="34743C70" w:rsidR="00B6520F" w:rsidRDefault="00000000">
      <w:pPr>
        <w:pStyle w:val="Heading1"/>
      </w:pPr>
      <w:r>
        <w:t xml:space="preserve">7. </w:t>
      </w:r>
      <w:r w:rsidR="0027377E">
        <w:t>C</w:t>
      </w:r>
      <w:r>
        <w:t>ollect your own data</w:t>
      </w:r>
    </w:p>
    <w:p w14:paraId="1C68FCCE" w14:textId="0A54CC32" w:rsidR="00B6520F" w:rsidRDefault="0027377E">
      <w:pPr>
        <w:spacing w:after="120"/>
      </w:pPr>
      <w:r>
        <w:t xml:space="preserve">Include at least one week of your own recording. Hardware: ESP32-C3 breadboard, </w:t>
      </w:r>
      <w:proofErr w:type="spellStart"/>
      <w:r>
        <w:t>SparkFun</w:t>
      </w:r>
      <w:proofErr w:type="spellEnd"/>
      <w:r>
        <w:t xml:space="preserve"> AD8232 breakout, skin-electrode patch, and a 10 </w:t>
      </w:r>
      <w:proofErr w:type="spellStart"/>
      <w:r>
        <w:t>kΩ</w:t>
      </w:r>
      <w:proofErr w:type="spellEnd"/>
      <w:r>
        <w:t xml:space="preserve"> + 1–2.2 µF RC low-pass on the analogue line before the ADC (this matters — without it, mains will dominate everything). </w:t>
      </w:r>
    </w:p>
    <w:p w14:paraId="1884E2FD" w14:textId="77777777" w:rsidR="00B6520F" w:rsidRDefault="00000000">
      <w:pPr>
        <w:pStyle w:val="Heading1"/>
      </w:pPr>
      <w:r>
        <w:t>10. References</w:t>
      </w:r>
    </w:p>
    <w:p w14:paraId="3D04D2BC" w14:textId="0EDE6308" w:rsidR="00B6520F" w:rsidRDefault="00000000">
      <w:pPr>
        <w:pStyle w:val="ListParagraph"/>
        <w:numPr>
          <w:ilvl w:val="0"/>
          <w:numId w:val="3"/>
        </w:numPr>
        <w:spacing w:after="60"/>
      </w:pPr>
      <w:r>
        <w:t>Gloor, P.A. (202</w:t>
      </w:r>
      <w:r w:rsidR="0027377E">
        <w:t>6</w:t>
      </w:r>
      <w:r>
        <w:t>). Silent Signals: Correlating Plant Bioelectric Activity with Human Emotional States via Wearable Sensing. Biomimetics 11(4):236.</w:t>
      </w:r>
    </w:p>
    <w:p w14:paraId="7D15536E" w14:textId="389A034A" w:rsidR="00B6520F" w:rsidRDefault="00000000">
      <w:pPr>
        <w:pStyle w:val="ListParagraph"/>
        <w:numPr>
          <w:ilvl w:val="0"/>
          <w:numId w:val="3"/>
        </w:numPr>
        <w:spacing w:after="60"/>
      </w:pPr>
      <w:r>
        <w:lastRenderedPageBreak/>
        <w:t xml:space="preserve">Gloor, P.A. &amp; </w:t>
      </w:r>
      <w:proofErr w:type="spellStart"/>
      <w:r>
        <w:t>Weinbeer</w:t>
      </w:r>
      <w:proofErr w:type="spellEnd"/>
      <w:r>
        <w:t>, M. (202</w:t>
      </w:r>
      <w:r w:rsidR="0027377E">
        <w:t>5</w:t>
      </w:r>
      <w:r>
        <w:t>). Machine Learning Distinguishes Plant Bioelectric Recordings with and Without Nearby Human Movement. Biomimetics 10(11):776.</w:t>
      </w:r>
    </w:p>
    <w:p w14:paraId="362E9AB3" w14:textId="77777777" w:rsidR="00B6520F" w:rsidRDefault="00000000">
      <w:pPr>
        <w:pStyle w:val="ListParagraph"/>
        <w:numPr>
          <w:ilvl w:val="0"/>
          <w:numId w:val="3"/>
        </w:numPr>
        <w:spacing w:after="60"/>
      </w:pPr>
      <w:r>
        <w:t>Bose, J.C. (1926). The Nervous Mechanism of Plants. Longmans, Green.</w:t>
      </w:r>
    </w:p>
    <w:p w14:paraId="34F1828B" w14:textId="77777777" w:rsidR="00B6520F" w:rsidRDefault="00000000">
      <w:pPr>
        <w:pStyle w:val="ListParagraph"/>
        <w:numPr>
          <w:ilvl w:val="0"/>
          <w:numId w:val="3"/>
        </w:numPr>
        <w:spacing w:after="60"/>
      </w:pPr>
      <w:r>
        <w:t xml:space="preserve">Cornelissen, G. (2014). </w:t>
      </w:r>
      <w:proofErr w:type="spellStart"/>
      <w:r>
        <w:t>Cosinor</w:t>
      </w:r>
      <w:proofErr w:type="spellEnd"/>
      <w:r>
        <w:t xml:space="preserve">-based </w:t>
      </w:r>
      <w:proofErr w:type="spellStart"/>
      <w:r>
        <w:t>rhythmometry</w:t>
      </w:r>
      <w:proofErr w:type="spellEnd"/>
      <w:r>
        <w:t>. Theoretical Biology and Medical Modelling 11:16.</w:t>
      </w:r>
    </w:p>
    <w:p w14:paraId="537DD482" w14:textId="077D0EEB" w:rsidR="00B6520F" w:rsidRDefault="00B6520F">
      <w:pPr>
        <w:spacing w:after="120"/>
      </w:pPr>
    </w:p>
    <w:sectPr w:rsidR="00B6520F">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B94224"/>
    <w:multiLevelType w:val="hybridMultilevel"/>
    <w:tmpl w:val="1E6EAF12"/>
    <w:lvl w:ilvl="0" w:tplc="DF2C4958">
      <w:start w:val="1"/>
      <w:numFmt w:val="bullet"/>
      <w:lvlText w:val="•"/>
      <w:lvlJc w:val="left"/>
      <w:pPr>
        <w:ind w:left="720" w:hanging="360"/>
      </w:pPr>
    </w:lvl>
    <w:lvl w:ilvl="1" w:tplc="1946E1AE">
      <w:numFmt w:val="decimal"/>
      <w:lvlText w:val=""/>
      <w:lvlJc w:val="left"/>
    </w:lvl>
    <w:lvl w:ilvl="2" w:tplc="53DA5622">
      <w:numFmt w:val="decimal"/>
      <w:lvlText w:val=""/>
      <w:lvlJc w:val="left"/>
    </w:lvl>
    <w:lvl w:ilvl="3" w:tplc="BB24E7DC">
      <w:numFmt w:val="decimal"/>
      <w:lvlText w:val=""/>
      <w:lvlJc w:val="left"/>
    </w:lvl>
    <w:lvl w:ilvl="4" w:tplc="7F3CC294">
      <w:numFmt w:val="decimal"/>
      <w:lvlText w:val=""/>
      <w:lvlJc w:val="left"/>
    </w:lvl>
    <w:lvl w:ilvl="5" w:tplc="33B29316">
      <w:numFmt w:val="decimal"/>
      <w:lvlText w:val=""/>
      <w:lvlJc w:val="left"/>
    </w:lvl>
    <w:lvl w:ilvl="6" w:tplc="2474D1B2">
      <w:numFmt w:val="decimal"/>
      <w:lvlText w:val=""/>
      <w:lvlJc w:val="left"/>
    </w:lvl>
    <w:lvl w:ilvl="7" w:tplc="322E7C9C">
      <w:numFmt w:val="decimal"/>
      <w:lvlText w:val=""/>
      <w:lvlJc w:val="left"/>
    </w:lvl>
    <w:lvl w:ilvl="8" w:tplc="0BD8C88C">
      <w:numFmt w:val="decimal"/>
      <w:lvlText w:val=""/>
      <w:lvlJc w:val="left"/>
    </w:lvl>
  </w:abstractNum>
  <w:abstractNum w:abstractNumId="1" w15:restartNumberingAfterBreak="0">
    <w:nsid w:val="5B7F584C"/>
    <w:multiLevelType w:val="hybridMultilevel"/>
    <w:tmpl w:val="6ACC8234"/>
    <w:lvl w:ilvl="0" w:tplc="62B07DA0">
      <w:start w:val="1"/>
      <w:numFmt w:val="decimal"/>
      <w:lvlText w:val="%1."/>
      <w:lvlJc w:val="left"/>
      <w:pPr>
        <w:ind w:left="720" w:hanging="360"/>
      </w:pPr>
    </w:lvl>
    <w:lvl w:ilvl="1" w:tplc="F6108CD0">
      <w:numFmt w:val="decimal"/>
      <w:lvlText w:val=""/>
      <w:lvlJc w:val="left"/>
    </w:lvl>
    <w:lvl w:ilvl="2" w:tplc="984286A4">
      <w:numFmt w:val="decimal"/>
      <w:lvlText w:val=""/>
      <w:lvlJc w:val="left"/>
    </w:lvl>
    <w:lvl w:ilvl="3" w:tplc="DA8A6448">
      <w:numFmt w:val="decimal"/>
      <w:lvlText w:val=""/>
      <w:lvlJc w:val="left"/>
    </w:lvl>
    <w:lvl w:ilvl="4" w:tplc="BCC4500E">
      <w:numFmt w:val="decimal"/>
      <w:lvlText w:val=""/>
      <w:lvlJc w:val="left"/>
    </w:lvl>
    <w:lvl w:ilvl="5" w:tplc="842CF77E">
      <w:numFmt w:val="decimal"/>
      <w:lvlText w:val=""/>
      <w:lvlJc w:val="left"/>
    </w:lvl>
    <w:lvl w:ilvl="6" w:tplc="3692F5AA">
      <w:numFmt w:val="decimal"/>
      <w:lvlText w:val=""/>
      <w:lvlJc w:val="left"/>
    </w:lvl>
    <w:lvl w:ilvl="7" w:tplc="0FA21534">
      <w:numFmt w:val="decimal"/>
      <w:lvlText w:val=""/>
      <w:lvlJc w:val="left"/>
    </w:lvl>
    <w:lvl w:ilvl="8" w:tplc="BCE409EA">
      <w:numFmt w:val="decimal"/>
      <w:lvlText w:val=""/>
      <w:lvlJc w:val="left"/>
    </w:lvl>
  </w:abstractNum>
  <w:abstractNum w:abstractNumId="2" w15:restartNumberingAfterBreak="0">
    <w:nsid w:val="61A0141E"/>
    <w:multiLevelType w:val="hybridMultilevel"/>
    <w:tmpl w:val="E1260E3A"/>
    <w:lvl w:ilvl="0" w:tplc="45E4A854">
      <w:start w:val="1"/>
      <w:numFmt w:val="bullet"/>
      <w:lvlText w:val="●"/>
      <w:lvlJc w:val="left"/>
      <w:pPr>
        <w:ind w:left="720" w:hanging="360"/>
      </w:pPr>
    </w:lvl>
    <w:lvl w:ilvl="1" w:tplc="13E2319C">
      <w:start w:val="1"/>
      <w:numFmt w:val="bullet"/>
      <w:lvlText w:val="○"/>
      <w:lvlJc w:val="left"/>
      <w:pPr>
        <w:ind w:left="1440" w:hanging="360"/>
      </w:pPr>
    </w:lvl>
    <w:lvl w:ilvl="2" w:tplc="B2B2F6B4">
      <w:start w:val="1"/>
      <w:numFmt w:val="bullet"/>
      <w:lvlText w:val="■"/>
      <w:lvlJc w:val="left"/>
      <w:pPr>
        <w:ind w:left="2160" w:hanging="360"/>
      </w:pPr>
    </w:lvl>
    <w:lvl w:ilvl="3" w:tplc="11D43C66">
      <w:start w:val="1"/>
      <w:numFmt w:val="bullet"/>
      <w:lvlText w:val="●"/>
      <w:lvlJc w:val="left"/>
      <w:pPr>
        <w:ind w:left="2880" w:hanging="360"/>
      </w:pPr>
    </w:lvl>
    <w:lvl w:ilvl="4" w:tplc="866447B8">
      <w:start w:val="1"/>
      <w:numFmt w:val="bullet"/>
      <w:lvlText w:val="○"/>
      <w:lvlJc w:val="left"/>
      <w:pPr>
        <w:ind w:left="3600" w:hanging="360"/>
      </w:pPr>
    </w:lvl>
    <w:lvl w:ilvl="5" w:tplc="ED86E73C">
      <w:start w:val="1"/>
      <w:numFmt w:val="bullet"/>
      <w:lvlText w:val="■"/>
      <w:lvlJc w:val="left"/>
      <w:pPr>
        <w:ind w:left="4320" w:hanging="360"/>
      </w:pPr>
    </w:lvl>
    <w:lvl w:ilvl="6" w:tplc="93627E3A">
      <w:start w:val="1"/>
      <w:numFmt w:val="bullet"/>
      <w:lvlText w:val="●"/>
      <w:lvlJc w:val="left"/>
      <w:pPr>
        <w:ind w:left="5040" w:hanging="360"/>
      </w:pPr>
    </w:lvl>
    <w:lvl w:ilvl="7" w:tplc="DFB6FD26">
      <w:start w:val="1"/>
      <w:numFmt w:val="bullet"/>
      <w:lvlText w:val="●"/>
      <w:lvlJc w:val="left"/>
      <w:pPr>
        <w:ind w:left="5760" w:hanging="360"/>
      </w:pPr>
    </w:lvl>
    <w:lvl w:ilvl="8" w:tplc="2C4CA806">
      <w:start w:val="1"/>
      <w:numFmt w:val="bullet"/>
      <w:lvlText w:val="●"/>
      <w:lvlJc w:val="left"/>
      <w:pPr>
        <w:ind w:left="6480" w:hanging="360"/>
      </w:pPr>
    </w:lvl>
  </w:abstractNum>
  <w:num w:numId="1" w16cid:durableId="1113599227">
    <w:abstractNumId w:val="2"/>
    <w:lvlOverride w:ilvl="0">
      <w:startOverride w:val="1"/>
    </w:lvlOverride>
  </w:num>
  <w:num w:numId="2" w16cid:durableId="1500273828">
    <w:abstractNumId w:val="1"/>
    <w:lvlOverride w:ilvl="0">
      <w:startOverride w:val="1"/>
    </w:lvlOverride>
  </w:num>
  <w:num w:numId="3" w16cid:durableId="170999234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520F"/>
    <w:rsid w:val="00181AC2"/>
    <w:rsid w:val="0027377E"/>
    <w:rsid w:val="00B6520F"/>
    <w:rsid w:val="00E877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D32318A"/>
  <w15:docId w15:val="{8C380344-D3B5-8A49-A07D-6A1E1D35DB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28"/>
      <w:szCs w:val="28"/>
    </w:rPr>
  </w:style>
  <w:style w:type="paragraph" w:styleId="Heading2">
    <w:name w:val="heading 2"/>
    <w:uiPriority w:val="9"/>
    <w:semiHidden/>
    <w:unhideWhenUsed/>
    <w:qFormat/>
    <w:pPr>
      <w:spacing w:before="200" w:after="10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923</Words>
  <Characters>5265</Characters>
  <Application>Microsoft Office Word</Application>
  <DocSecurity>0</DocSecurity>
  <Lines>43</Lines>
  <Paragraphs>12</Paragraphs>
  <ScaleCrop>false</ScaleCrop>
  <Company/>
  <LinksUpToDate>false</LinksUpToDate>
  <CharactersWithSpaces>6176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Phaenomena COIN Seminar Project Brief</dc:title>
  <dc:creator>Peter Gloor</dc:creator>
  <cp:lastModifiedBy>Peter A Gloor</cp:lastModifiedBy>
  <cp:revision>3</cp:revision>
  <dcterms:created xsi:type="dcterms:W3CDTF">2026-04-20T20:14:00Z</dcterms:created>
  <dcterms:modified xsi:type="dcterms:W3CDTF">2026-04-20T20:21:00Z</dcterms:modified>
</cp:coreProperties>
</file>