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3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Bolagsanalys</w:t>
      </w:r>
      <w:r>
        <w:t xml:space="preserve"> </w:t>
      </w:r>
      <w:r>
        <w:t xml:space="preserve">av</w:t>
      </w:r>
      <w:r>
        <w:t xml:space="preserve"> </w:t>
      </w:r>
      <w:r>
        <w:t xml:space="preserve">Evolution</w:t>
      </w:r>
      <w:r>
        <w:t xml:space="preserve"> </w:t>
      </w:r>
      <w:r>
        <w:t xml:space="preserve">Gaming</w:t>
      </w:r>
    </w:p>
    <w:p>
      <w:pPr>
        <w:pStyle w:val="Subtitle"/>
      </w:pPr>
      <w:r>
        <w:t xml:space="preserve">2021-03-02</w:t>
      </w:r>
    </w:p>
    <w:bookmarkStart w:id="22" w:name="nyckelfaktorer"/>
    <w:p>
      <w:pPr>
        <w:pStyle w:val="Heading1"/>
      </w:pPr>
      <w:r>
        <w:t xml:space="preserve">Nyckelfaktorer</w:t>
      </w:r>
    </w:p>
    <w:bookmarkStart w:id="20" w:name="nyckelfaktor-1"/>
    <w:p>
      <w:pPr>
        <w:pStyle w:val="Heading3"/>
      </w:pPr>
      <w:r>
        <w:t xml:space="preserve">Nyckelfaktor 1</w:t>
      </w:r>
    </w:p>
    <w:bookmarkEnd w:id="20"/>
    <w:bookmarkStart w:id="21" w:name="nyktorfaktor-2"/>
    <w:p>
      <w:pPr>
        <w:pStyle w:val="Heading3"/>
      </w:pPr>
      <w:r>
        <w:t xml:space="preserve">Nyktorfaktor 2</w:t>
      </w:r>
    </w:p>
    <w:bookmarkEnd w:id="21"/>
    <w:bookmarkEnd w:id="22"/>
    <w:bookmarkStart w:id="26" w:name="om-evolution-gaming"/>
    <w:p>
      <w:pPr>
        <w:pStyle w:val="Heading1"/>
      </w:pPr>
      <w:r>
        <w:t xml:space="preserve">Om Evolution Gaming</w:t>
      </w:r>
    </w:p>
    <w:p>
      <w:pPr>
        <w:pStyle w:val="FirstParagraph"/>
      </w:pPr>
      <w:r>
        <w:t xml:space="preserve">Evolution Gaming (EVO) är verksamt inom branschen Betting &amp; Casino som är en del av sektorn Sällanköpsvaror. Evolution Gaming noterades 2015-03-20 och blev då en del av marknadsplatsen Large Cap i Sverige.</w:t>
      </w:r>
    </w:p>
    <w:p>
      <w:pPr>
        <w:pStyle w:val="BodyText"/>
      </w:pPr>
      <w:r>
        <w:t xml:space="preserve">Evolution Gaming har 7395 anställda i sitt företag, där huvudkontorets address är Hamngatan 11 5Tr i Stockholm. Totalt finns det 181.3 miljoner akiter och företagets hemsida är</w:t>
      </w:r>
      <w:r>
        <w:t xml:space="preserve"> </w:t>
      </w:r>
      <w:hyperlink r:id="rId23">
        <w:r>
          <w:rPr>
            <w:rStyle w:val="Hyperlink"/>
            <w:i/>
          </w:rPr>
          <w:t xml:space="preserve">https://www.evolution.com/</w:t>
        </w:r>
      </w:hyperlink>
      <w:r>
        <w:t xml:space="preserve">.</w:t>
      </w:r>
    </w:p>
    <w:bookmarkStart w:id="24" w:name="börsdata-beskrivning"/>
    <w:p>
      <w:pPr>
        <w:pStyle w:val="Heading2"/>
      </w:pPr>
      <w:r>
        <w:t xml:space="preserve">Börsdata beskrivning</w:t>
      </w:r>
    </w:p>
    <w:p>
      <w:pPr>
        <w:pStyle w:val="FirstParagraph"/>
      </w:pPr>
      <w:r>
        <w:t xml:space="preserve">Evolution Gaming Group AB (publ) är ett Sverigebaserat företag aktivt inom sektorn för Internet-tjänster. Det utvecklar, producerar, marknadsför och licensierar integrerad live casino-lösningar business-to-business för speloperatörer. Dess lösningar erbjuder ett livespelbord genom streaming av professionella croupier-tjänster till slutanvändare via online-casinon och spelplattformar. Företaget har kontor och produktionsstudios i Storbritannien, Sverige, Malta, Italien, Spanien och Lettland.</w:t>
      </w:r>
    </w:p>
    <w:bookmarkEnd w:id="24"/>
    <w:bookmarkStart w:id="25" w:name="affärsidé"/>
    <w:p>
      <w:pPr>
        <w:pStyle w:val="Heading2"/>
      </w:pPr>
      <w:r>
        <w:t xml:space="preserve">Affärsidé</w:t>
      </w:r>
    </w:p>
    <w:bookmarkEnd w:id="25"/>
    <w:bookmarkEnd w:id="26"/>
    <w:bookmarkStart w:id="30" w:name="verksamhet-och-produkter"/>
    <w:p>
      <w:pPr>
        <w:pStyle w:val="Heading1"/>
      </w:pPr>
      <w:r>
        <w:t xml:space="preserve">Verksamhet och produkter</w:t>
      </w:r>
    </w:p>
    <w:bookmarkStart w:id="27" w:name="risker"/>
    <w:p>
      <w:pPr>
        <w:pStyle w:val="Heading2"/>
      </w:pPr>
      <w:r>
        <w:t xml:space="preserve">Risker</w:t>
      </w:r>
    </w:p>
    <w:bookmarkEnd w:id="27"/>
    <w:bookmarkStart w:id="29" w:name="konkurrenter"/>
    <w:p>
      <w:pPr>
        <w:pStyle w:val="Heading2"/>
      </w:pPr>
      <w:r>
        <w:t xml:space="preserve">Konkurrenter</w:t>
      </w:r>
    </w:p>
    <w:bookmarkStart w:id="28" w:name="moats"/>
    <w:p>
      <w:pPr>
        <w:pStyle w:val="Heading3"/>
      </w:pPr>
      <w:r>
        <w:t xml:space="preserve">Moats</w:t>
      </w:r>
    </w:p>
    <w:bookmarkEnd w:id="28"/>
    <w:bookmarkEnd w:id="29"/>
    <w:bookmarkEnd w:id="30"/>
    <w:bookmarkStart w:id="32" w:name="ledning-och-styrelse"/>
    <w:p>
      <w:pPr>
        <w:pStyle w:val="Heading1"/>
      </w:pPr>
      <w:r>
        <w:t xml:space="preserve">Ledning och styrelse</w:t>
      </w:r>
    </w:p>
    <w:bookmarkStart w:id="31" w:name="insiderhandel"/>
    <w:p>
      <w:pPr>
        <w:pStyle w:val="Heading2"/>
      </w:pPr>
      <w:r>
        <w:t xml:space="preserve">Insiderhandel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296"/>
        <w:gridCol w:w="1544"/>
        <w:gridCol w:w="1296"/>
        <w:gridCol w:w="1718"/>
        <w:gridCol w:w="1296"/>
        <w:gridCol w:w="1331"/>
      </w:tblGrid>
      <w:tr>
        <w:trPr>
          <w:cantSplit/>
          <w:trHeight w:val="4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Datum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Person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Befattning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Pris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Volymenhet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Volym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Karaktär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2021-03-02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Todd Haushalter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Annan ledande befattningshavare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72.6 SEK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50,000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2021-03-02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Todd Haushalter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Annan ledande befattningshavare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2021-02-28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Sebastian Johannisson Mählqvist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Annan ledande befattningshavare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72.6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2021-02-27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Louise Wiwen-Nilsson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Annan ledande befattningshavare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72.6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Jacob Kaplan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Ekonomichef/finanschef/finansdirektör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72.6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Jesper von Bahr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Annan ledande befattningshavare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72.6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Förvärv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Martin Carlesund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Verkställande direktör (VD)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72.6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650,000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2020-09-10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Jens von Bahr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Styrelseledamot/suppleant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561.4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15,310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Förvärv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2020-09-10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JOvB Investment 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Styrelseledamot/suppleant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561.4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15,310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Förvärv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2020-09-10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Jens von Bahr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Styrelseledamot/suppleant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561.4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15,310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Avyttring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2020-03-21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Jesper von Bahr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Director of M&amp;A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322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65,000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Avyttring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2020-03-18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Sebastian Johannisson Mählqvist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CCO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319.24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Avyttring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2020-03-02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Johan Nordström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CEO Malta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361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5,857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Förvärv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David Craelius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Group CTO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17.87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28,000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Tania Johannisson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Director of Game Integrity and Risk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17.87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Tania Johannisson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Director of Game Integrity and Risk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Olesja Ivanova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Chief Operations Officer - Latvia, Romania, Malta, Belgium &amp; Spain (part of Group Management)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17.87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Olesja Ivanova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Chief Operations Officer - Latvia, Romania, Malta, Belgium &amp; Spain (part of Group Management)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Todd Haushalter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Chief Product Officer and Games Operations (part of Group Management)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17.87 SEK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60,000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2020-02-18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Todd Haushalter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Chief Product Officer and Games Operations (part of Group Management)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 SEK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Antal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60,000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Tilldelning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666666"/>
              </w:rPr>
              <w:t xml:space="preserve">Insiderhandel i Evolution Gaming</w:t>
            </w:r>
          </w:p>
        </w:tc>
      </w:tr>
    </w:tbl>
    <w:bookmarkEnd w:id="31"/>
    <w:bookmarkEnd w:id="32"/>
    <w:bookmarkStart w:id="36" w:name="finansiell-historik"/>
    <w:p>
      <w:pPr>
        <w:pStyle w:val="Heading1"/>
      </w:pPr>
      <w:r>
        <w:t xml:space="preserve">Finansiell historik</w:t>
      </w:r>
    </w:p>
    <w:p>
      <w:pPr>
        <w:pStyle w:val="FirstParagraph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största-kapitalägarna"/>
    <w:p>
      <w:pPr>
        <w:pStyle w:val="Heading2"/>
      </w:pPr>
      <w:r>
        <w:t xml:space="preserve">Största kapitalägarna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3359"/>
      </w:tblGrid>
      <w:tr>
        <w:trPr>
          <w:cantSplit/>
          <w:trHeight w:val="4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Kapital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Röster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Ägare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16,5%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16,5%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Richard And Ian Livingstone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15,2%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15,2%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Österbahr Ventures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9,0%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9,0%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Swedbank Robur Fonder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666666"/>
              </w:rPr>
              <w:t xml:space="preserve">Största ägarna i Evolution Gaming</w:t>
            </w:r>
          </w:p>
        </w:tc>
      </w:tr>
    </w:tbl>
    <w:bookmarkStart w:id="34" w:name="blankning"/>
    <w:p>
      <w:pPr>
        <w:pStyle w:val="Heading3"/>
      </w:pPr>
      <w:r>
        <w:t xml:space="preserve">Blankning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33"/>
        <w:gridCol w:w="1440"/>
      </w:tblGrid>
      <w:tr>
        <w:trPr>
          <w:cantSplit/>
          <w:trHeight w:val="3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Händelse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Värde</w:t>
            </w:r>
          </w:p>
        </w:tc>
      </w:tr>
      <w:tr>
        <w:trPr>
          <w:cantSplit/>
          <w:trHeight w:val="441" w:hRule="auto"/>
        </w:trPr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Genomsnittlig förändring i blankning - 1 månad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44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Snittblankning - 1 månad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0,7%</w:t>
            </w:r>
          </w:p>
        </w:tc>
      </w:tr>
      <w:tr>
        <w:trPr>
          <w:cantSplit/>
          <w:trHeight w:val="44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Snittblankning - 1 år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0,7%</w:t>
            </w:r>
          </w:p>
        </w:tc>
      </w:tr>
      <w:tr>
        <w:trPr>
          <w:cantSplit/>
          <w:trHeight w:val="47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Återköp av aktier MKR - Totalt - 1 månad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47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Återköp av aktier MKR - Totalt - 1 år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61,7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666666"/>
              </w:rPr>
              <w:t xml:space="preserve">Blankning och återköp i Evolution Gaming</w:t>
            </w:r>
          </w:p>
        </w:tc>
      </w:tr>
    </w:tbl>
    <w:bookmarkEnd w:id="34"/>
    <w:bookmarkEnd w:id="35"/>
    <w:bookmarkEnd w:id="36"/>
    <w:bookmarkStart w:id="37" w:name="swot-analys"/>
    <w:p>
      <w:pPr>
        <w:pStyle w:val="Heading1"/>
      </w:pPr>
      <w:r>
        <w:t xml:space="preserve">SWOT analys</w:t>
      </w:r>
    </w:p>
    <w:bookmarkEnd w:id="37"/>
    <w:bookmarkStart w:id="40" w:name="värdering"/>
    <w:p>
      <w:pPr>
        <w:pStyle w:val="Heading1"/>
      </w:pPr>
      <w:r>
        <w:t xml:space="preserve">Värdering</w:t>
      </w:r>
    </w:p>
    <w:p>
      <w:pPr>
        <w:pStyle w:val="FirstParagraph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relativvärdering-vs-peers-i-bransch"/>
    <w:p>
      <w:pPr>
        <w:pStyle w:val="Heading2"/>
      </w:pPr>
      <w:r>
        <w:t xml:space="preserve">Relativvärdering vs peers i bransch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38"/>
        <w:gridCol w:w="1397"/>
        <w:gridCol w:w="1397"/>
        <w:gridCol w:w="2160"/>
        <w:gridCol w:w="1397"/>
        <w:gridCol w:w="1397"/>
        <w:gridCol w:w="1968"/>
      </w:tblGrid>
      <w:tr>
        <w:trPr>
          <w:cantSplit/>
          <w:trHeight w:val="4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Bolagsnamn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P/E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EV/EBIT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Rörelsemarginal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Soliditet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3"/>
                <w:szCs w:val="23"/>
                <w:color w:val="000000"/>
              </w:rPr>
              <w:t xml:space="preserve">Marknadsplats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Spiffbet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-143.4%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47.1%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Scout Gaming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-97.7%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85%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Gaming Innovation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-13.7%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Norge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OB Match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Gaming Innovation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-13.7%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Small Cap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Blick Global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59.2%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Spotlight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Future Gaming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9.9%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Spotlight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LeoVegas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5.9%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39.4%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Mid Cap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Aspire Global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13.3%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33.2%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ENLABS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16.1%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84.3%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Betsson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17.6%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61.3%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Large Cap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Kindred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18.2%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41.5%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Large Cap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Raketech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22.5%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77.6%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Kambi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27.4%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71.8%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Angler Gaming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32.5%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80.1%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Spotlight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Better 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33.4%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51.6%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Mid Cap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Catena Media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36.3%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70.4%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Mid Cap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Acroud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37.3%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59.6%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First North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Evolution Gaming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53.4%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86%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Sverige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000000"/>
              </w:rPr>
              <w:t xml:space="preserve">Large Cap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E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4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3"/>
                <w:szCs w:val="23"/>
                <w:color w:val="666666"/>
              </w:rPr>
              <w:t xml:space="preserve">Peers mot Evolution Gaming</w:t>
            </w:r>
          </w:p>
        </w:tc>
      </w:tr>
    </w:tbl>
    <w:p>
      <w:pPr>
        <w:pStyle w:val="FirstParagraph"/>
      </w:pPr>
      <w:r>
        <w:t xml:space="preserve">Peers är baserad på branschen som Evolution Gaming är verksam inom. Peer jämförelsen ovan är endast nordiska bolag.</w:t>
      </w:r>
    </w:p>
    <w:p>
      <w:r>
        <w:br w:type="page"/>
      </w:r>
    </w:p>
    <w:bookmarkEnd w:id="39"/>
    <w:bookmarkEnd w:id="40"/>
    <w:bookmarkStart w:id="41" w:name="slutsats"/>
    <w:p>
      <w:pPr>
        <w:pStyle w:val="Heading1"/>
      </w:pPr>
      <w:r>
        <w:t xml:space="preserve">Slutsats</w:t>
      </w:r>
    </w:p>
    <w:p>
      <w:r>
        <w:br w:type="page"/>
      </w:r>
    </w:p>
    <w:bookmarkEnd w:id="41"/>
    <w:bookmarkStart w:id="43" w:name="referenser"/>
    <w:p>
      <w:pPr>
        <w:pStyle w:val="Heading1"/>
      </w:pPr>
      <w:r>
        <w:t xml:space="preserve">Referenser</w:t>
      </w:r>
    </w:p>
    <w:p>
      <w:pPr>
        <w:numPr>
          <w:ilvl w:val="0"/>
          <w:numId w:val="1003"/>
        </w:numPr>
        <w:pStyle w:val="Compact"/>
      </w:pPr>
      <w:r>
        <w:t xml:space="preserve">Data hämtad från Börsdata.se</w:t>
      </w:r>
    </w:p>
    <w:p>
      <w:pPr>
        <w:numPr>
          <w:ilvl w:val="0"/>
          <w:numId w:val="1003"/>
        </w:numPr>
        <w:pStyle w:val="Compact"/>
      </w:pPr>
      <w:r>
        <w:t xml:space="preserve">Insynshandel - Hämtad 2021-03-02 -</w:t>
      </w:r>
      <w:r>
        <w:t xml:space="preserve"> </w:t>
      </w:r>
      <w:hyperlink r:id="rId42">
        <w:r>
          <w:rPr>
            <w:rStyle w:val="Hyperlink"/>
          </w:rPr>
          <w:t xml:space="preserve">https://marknadssok.fi.se/Publiceringsklient/sv-SE/Search/Search?SearchFunctionType=Insyn&amp;Utgivare=Evolution+Gaming&amp;PersonILedandeSt%C3%A4llningNamn=&amp;Transaktionsdatum.From=&amp;Transaktionsdatum.To=&amp;Publiceringsdatum.From=&amp;Publiceringsdatum.To=&amp;button=search&amp;Page=1</w:t>
        </w:r>
      </w:hyperlink>
    </w:p>
    <w:bookmarkEnd w:id="43"/>
    <w:sectPr w:rsidR="00372C14" w:rsidSect="003F4AAB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1907" w:h="16840"/>
      <w:pgMar w:top="1418" w:right="1418" w:bottom="1418" w:left="1418" w:header="720" w:footer="720" w:gutter="0"/>
      <w:pgNumType w:start="1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62F97" w14:textId="77777777" w:rsidR="00645EC4" w:rsidRDefault="00645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427D" w14:textId="3C53CC15" w:rsidR="00372C14" w:rsidRDefault="0068750F">
    <w:pPr>
      <w:pBdr>
        <w:top w:val="nil"/>
        <w:left w:val="nil"/>
        <w:bottom w:val="nil"/>
        <w:right w:val="nil"/>
        <w:between w:val="nil"/>
      </w:pBdr>
      <w:tabs>
        <w:tab w:val="left" w:pos="885"/>
      </w:tabs>
      <w:jc w:val="center"/>
      <w:rPr>
        <w:color w:val="000066"/>
        <w:sz w:val="24"/>
        <w:szCs w:val="24"/>
      </w:rPr>
    </w:pPr>
    <w:r>
      <w:rPr>
        <w:color w:val="000066"/>
        <w:sz w:val="24"/>
        <w:szCs w:val="24"/>
      </w:rPr>
      <w:t>Twitter: @JakobBinzen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1089" w14:textId="77777777" w:rsidR="00645EC4" w:rsidRDefault="00645E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EEB7" w14:textId="77777777" w:rsidR="00645EC4" w:rsidRDefault="00645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289" w14:textId="3EFD0E2C" w:rsidR="00372C14" w:rsidRDefault="003F4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2A5B7F"/>
        <w:sz w:val="16"/>
        <w:szCs w:val="16"/>
      </w:rPr>
    </w:pPr>
    <w:r>
      <w:rPr>
        <w:color w:val="2A5B7F"/>
        <w:sz w:val="16"/>
        <w:szCs w:val="16"/>
      </w:rPr>
      <w:tab/>
    </w:r>
    <w:r w:rsidR="00D41195">
      <w:rPr>
        <w:noProof/>
        <w:color w:val="2A5B7F"/>
        <w:sz w:val="16"/>
        <w:szCs w:val="16"/>
      </w:rPr>
      <w:fldChar w:fldCharType="begin"/>
    </w:r>
    <w:r w:rsidR="00D41195">
      <w:rPr>
        <w:noProof/>
        <w:color w:val="2A5B7F"/>
        <w:sz w:val="16"/>
        <w:szCs w:val="16"/>
      </w:rPr>
      <w:instrText xml:space="preserve"> </w:instrText>
    </w:r>
    <w:r w:rsidR="00D41195">
      <w:rPr>
        <w:noProof/>
        <w:color w:val="2A5B7F"/>
        <w:sz w:val="16"/>
        <w:szCs w:val="16"/>
      </w:rPr>
      <w:instrText>INCLUDEPICTURE  \d "/Users/jacke/Documents/r-paket/bolagsanalyser/inst/rstudio/templates/project/bolagsanalyser_resources/Bolagsanalyser_logga.png" \* MERGEFORMATINET</w:instrText>
    </w:r>
    <w:r w:rsidR="00D41195">
      <w:rPr>
        <w:noProof/>
        <w:color w:val="2A5B7F"/>
        <w:sz w:val="16"/>
        <w:szCs w:val="16"/>
      </w:rPr>
      <w:instrText xml:space="preserve"> </w:instrText>
    </w:r>
    <w:r w:rsidR="00D41195">
      <w:rPr>
        <w:noProof/>
        <w:color w:val="2A5B7F"/>
        <w:sz w:val="16"/>
        <w:szCs w:val="16"/>
      </w:rPr>
      <w:fldChar w:fldCharType="separate"/>
    </w:r>
    <w:r w:rsidR="00D41195">
      <w:rPr>
        <w:noProof/>
        <w:color w:val="2A5B7F"/>
        <w:sz w:val="16"/>
        <w:szCs w:val="16"/>
      </w:rPr>
      <w:pict w14:anchorId="0D158F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89.2pt;height:103.15pt;mso-width-percent:0;mso-height-percent:0;mso-width-percent:0;mso-height-percent:0">
          <v:imagedata r:id="rId1"/>
        </v:shape>
      </w:pict>
    </w:r>
    <w:r w:rsidR="00D41195">
      <w:rPr>
        <w:noProof/>
        <w:color w:val="2A5B7F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42BA" w14:textId="2E4A1BCF" w:rsidR="00645EC4" w:rsidRPr="00645EC4" w:rsidRDefault="00645EC4" w:rsidP="00645EC4">
    <w:pPr>
      <w:pStyle w:val="bom"/>
      <w:rPr>
        <w:rFonts w:ascii="Rockwell" w:hAnsi="Rockwell"/>
        <w:noProof/>
        <w:sz w:val="24"/>
        <w:szCs w:val="24"/>
      </w:rPr>
    </w:pPr>
    <w:r>
      <w:rPr>
        <w:rStyle w:val="HeaderChar"/>
        <w:rFonts w:ascii="Rockwell" w:hAnsi="Rockwel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AD4CC1F" wp14:editId="0C32079C">
          <wp:simplePos x="0" y="0"/>
          <wp:positionH relativeFrom="column">
            <wp:posOffset>340995</wp:posOffset>
          </wp:positionH>
          <wp:positionV relativeFrom="paragraph">
            <wp:posOffset>306809</wp:posOffset>
          </wp:positionV>
          <wp:extent cx="1350000" cy="450000"/>
          <wp:effectExtent l="0" t="0" r="0" b="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HeaderChar"/>
        <w:rFonts w:ascii="Rockwell" w:hAnsi="Rockwell"/>
        <w:noProof/>
        <w:sz w:val="24"/>
        <w:szCs w:val="24"/>
      </w:rPr>
      <w:fldChar w:fldCharType="begin"/>
    </w:r>
    <w:r>
      <w:rPr>
        <w:rStyle w:val="HeaderChar"/>
        <w:rFonts w:ascii="Rockwell" w:hAnsi="Rockwell"/>
        <w:noProof/>
        <w:sz w:val="24"/>
        <w:szCs w:val="24"/>
      </w:rPr>
      <w:instrText xml:space="preserve"> INCLUDEPICTURE "logga.png"\d </w:instrText>
    </w:r>
    <w:r>
      <w:rPr>
        <w:rStyle w:val="HeaderChar"/>
        <w:rFonts w:ascii="Rockwell" w:hAnsi="Rockwell"/>
        <w:noProof/>
        <w:sz w:val="24"/>
        <w:szCs w:val="24"/>
      </w:rPr>
      <w:fldChar w:fldCharType="separate"/>
    </w:r>
    <w:r>
      <w:rPr>
        <w:rStyle w:val="HeaderChar"/>
        <w:rFonts w:ascii="Rockwell" w:hAnsi="Rockwell"/>
        <w:noProof/>
        <w:sz w:val="24"/>
        <w:szCs w:val="24"/>
      </w:rPr>
      <w:fldChar w:fldCharType="end"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 w:rsidR="00D41195">
      <w:rPr>
        <w:rStyle w:val="HeaderChar"/>
        <w:rFonts w:ascii="Rockwell" w:hAnsi="Rockwell"/>
        <w:noProof/>
        <w:sz w:val="24"/>
        <w:szCs w:val="24"/>
      </w:rPr>
      <w:fldChar w:fldCharType="begin"/>
    </w:r>
    <w:r w:rsidR="00D41195">
      <w:rPr>
        <w:rStyle w:val="HeaderChar"/>
        <w:rFonts w:ascii="Rockwell" w:hAnsi="Rockwell"/>
        <w:noProof/>
        <w:sz w:val="24"/>
        <w:szCs w:val="24"/>
      </w:rPr>
      <w:instrText xml:space="preserve"> </w:instrText>
    </w:r>
    <w:r w:rsidR="00D41195">
      <w:rPr>
        <w:rStyle w:val="HeaderChar"/>
        <w:rFonts w:ascii="Rockwell" w:hAnsi="Rockwell"/>
        <w:noProof/>
        <w:sz w:val="24"/>
        <w:szCs w:val="24"/>
      </w:rPr>
      <w:instrText>INCLUDEPICTURE  \d "/Users/jacke/Documents/r-paket/bolagsan</w:instrText>
    </w:r>
    <w:r w:rsidR="00D41195">
      <w:rPr>
        <w:rStyle w:val="HeaderChar"/>
        <w:rFonts w:ascii="Rockwell" w:hAnsi="Rockwell"/>
        <w:noProof/>
        <w:sz w:val="24"/>
        <w:szCs w:val="24"/>
      </w:rPr>
      <w:instrText>alyser/inst/rstudio/templates/project/bolagsanalyser_resources/Bolagsanalyser_logga.png" \* MERGEFORMATINET</w:instrText>
    </w:r>
    <w:r w:rsidR="00D41195">
      <w:rPr>
        <w:rStyle w:val="HeaderChar"/>
        <w:rFonts w:ascii="Rockwell" w:hAnsi="Rockwell"/>
        <w:noProof/>
        <w:sz w:val="24"/>
        <w:szCs w:val="24"/>
      </w:rPr>
      <w:instrText xml:space="preserve"> </w:instrText>
    </w:r>
    <w:r w:rsidR="00D41195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D41195" w:rsidRPr="00D41195">
      <w:rPr>
        <w:rStyle w:val="HeaderChar"/>
        <w:rFonts w:ascii="Rockwell" w:hAnsi="Rockwell"/>
        <w:noProof/>
        <w:sz w:val="24"/>
        <w:szCs w:val="24"/>
      </w:rPr>
      <w:pict w14:anchorId="2B2635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6.65pt;height:77.35pt;mso-width-percent:0;mso-height-percent:0;mso-width-percent:0;mso-height-percent:0">
          <v:imagedata r:id="rId2"/>
        </v:shape>
      </w:pict>
    </w:r>
    <w:r w:rsidR="00D41195">
      <w:rPr>
        <w:rStyle w:val="HeaderChar"/>
        <w:rFonts w:ascii="Rockwell" w:hAnsi="Rockwell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20D1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8C1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82B4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00C7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DCD5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402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6A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E7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EF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0217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F4812"/>
    <w:multiLevelType w:val="multilevel"/>
    <w:tmpl w:val="2F729CC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9294E"/>
    <w:multiLevelType w:val="multilevel"/>
    <w:tmpl w:val="863C40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="Rockwell" w:hAnsi="Rockwell" w:cs="Rockwell"/>
        <w:sz w:val="22"/>
        <w:szCs w:val="22"/>
        <w:lang w:val="sv-S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18"/>
  </w:style>
  <w:style w:type="paragraph" w:styleId="Heading1">
    <w:name w:val="heading 1"/>
    <w:basedOn w:val="Heading2"/>
    <w:uiPriority w:val="9"/>
    <w:qFormat/>
    <w:rsid w:val="00913BFC"/>
    <w:pPr>
      <w:pBdr>
        <w:bottom w:val="single" w:sz="8" w:space="5" w:color="000000" w:themeColor="text1"/>
      </w:pBdr>
      <w:spacing w:before="240" w:line="240" w:lineRule="auto"/>
      <w:outlineLvl w:val="0"/>
    </w:pPr>
    <w:rPr>
      <w:i/>
      <w:iCs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4091A"/>
    <w:pPr>
      <w:keepNext/>
      <w:keepLines/>
      <w:spacing w:before="40" w:after="0"/>
      <w:outlineLvl w:val="1"/>
    </w:pPr>
    <w:rPr>
      <w:rFonts w:ascii="Bookman Old Style" w:eastAsia="Bookman Old Style" w:hAnsi="Bookman Old Style" w:cs="Bookman Old Style"/>
      <w:color w:val="262626"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091A"/>
    <w:pPr>
      <w:keepNext/>
      <w:keepLines/>
      <w:spacing w:before="40" w:after="0"/>
      <w:outlineLvl w:val="2"/>
    </w:pPr>
    <w:rPr>
      <w:rFonts w:ascii="Bookman Old Style" w:eastAsia="Bookman Old Style" w:hAnsi="Bookman Old Style" w:cs="Bookman Old Style"/>
      <w:color w:val="0D0D0D"/>
      <w:sz w:val="32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Bookman Old Style" w:eastAsia="Bookman Old Style" w:hAnsi="Bookman Old Style" w:cs="Bookman Old Style"/>
      <w:i/>
      <w:color w:val="4040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tyle1"/>
    <w:uiPriority w:val="10"/>
    <w:qFormat/>
    <w:rsid w:val="002459DB"/>
    <w:pPr>
      <w:spacing w:after="0" w:line="240" w:lineRule="auto"/>
      <w:jc w:val="center"/>
    </w:pPr>
    <w:rPr>
      <w:rFonts w:ascii="Bookman Old Style" w:eastAsia="Bookman Old Style" w:hAnsi="Bookman Old Style" w:cs="Bookman Old Style"/>
      <w:i/>
      <w:sz w:val="56"/>
      <w:szCs w:val="56"/>
    </w:rPr>
  </w:style>
  <w:style w:type="paragraph" w:styleId="Subtitle">
    <w:name w:val="Subtitle"/>
    <w:basedOn w:val="Style1"/>
    <w:next w:val="Normal"/>
    <w:uiPriority w:val="11"/>
    <w:qFormat/>
    <w:rsid w:val="002459DB"/>
    <w:pPr>
      <w:spacing w:before="120" w:after="120" w:line="240" w:lineRule="auto"/>
    </w:pPr>
    <w:rPr>
      <w:color w:val="5A5A5A"/>
      <w:sz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spacing w:after="0"/>
        <w:jc w:val="left"/>
      </w:pPr>
      <w:rPr>
        <w:rFonts w:ascii="Bookman Old Style" w:eastAsia="Bookman Old Style" w:hAnsi="Bookman Old Style" w:cs="Bookman Old Style"/>
        <w:smallCaps w:val="0"/>
        <w:color w:val="000000"/>
        <w:sz w:val="24"/>
        <w:szCs w:val="24"/>
      </w:rPr>
      <w:tblPr/>
      <w:tcPr>
        <w:shd w:val="clear" w:color="auto" w:fill="000066"/>
        <w:vAlign w:val="top"/>
      </w:tcPr>
    </w:tblStylePr>
    <w:tblStylePr w:type="firstCol">
      <w:pPr>
        <w:jc w:val="left"/>
      </w:pPr>
      <w:rPr>
        <w:rFonts w:ascii="Bookman Old Style" w:eastAsia="Bookman Old Style" w:hAnsi="Bookman Old Style" w:cs="Bookman Old Style"/>
        <w:b w:val="0"/>
        <w:i/>
        <w:sz w:val="22"/>
        <w:szCs w:val="22"/>
      </w:rPr>
      <w:tblPr/>
      <w:tcPr>
        <w:vAlign w:val="top"/>
      </w:tcPr>
    </w:tblStylePr>
  </w:style>
  <w:style w:type="paragraph" w:styleId="Header">
    <w:name w:val="header"/>
    <w:basedOn w:val="Normal"/>
    <w:link w:val="Head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AB"/>
  </w:style>
  <w:style w:type="paragraph" w:styleId="Footer">
    <w:name w:val="footer"/>
    <w:basedOn w:val="Normal"/>
    <w:link w:val="Foot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AB"/>
  </w:style>
  <w:style w:type="paragraph" w:customStyle="1" w:styleId="Style1">
    <w:name w:val="Style1"/>
    <w:basedOn w:val="Title"/>
    <w:next w:val="Title"/>
    <w:qFormat/>
    <w:rsid w:val="00F157F7"/>
    <w:pPr>
      <w:spacing w:before="240" w:after="240" w:line="360" w:lineRule="auto"/>
    </w:pPr>
    <w:rPr>
      <w:i w:val="0"/>
      <w:color w:val="000000" w:themeColor="text1"/>
    </w:rPr>
  </w:style>
  <w:style w:type="paragraph" w:customStyle="1" w:styleId="authheader">
    <w:name w:val="auth_header"/>
    <w:basedOn w:val="Subtitle"/>
    <w:qFormat/>
    <w:rsid w:val="00B92109"/>
    <w:pPr>
      <w:jc w:val="left"/>
    </w:pPr>
    <w:rPr>
      <w:rFonts w:ascii="Rockwell" w:hAnsi="Rockwell"/>
      <w:b/>
      <w:sz w:val="24"/>
    </w:rPr>
  </w:style>
  <w:style w:type="paragraph" w:customStyle="1" w:styleId="Date1">
    <w:name w:val="Date1"/>
    <w:basedOn w:val="Subtitle"/>
    <w:next w:val="Subtitle"/>
    <w:qFormat/>
    <w:rsid w:val="002459DB"/>
    <w:pPr>
      <w:spacing w:before="0" w:after="0" w:line="480" w:lineRule="auto"/>
    </w:pPr>
    <w:rPr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18"/>
    <w:rPr>
      <w:i/>
      <w:iCs/>
      <w:color w:val="4F81BD" w:themeColor="accent1"/>
    </w:rPr>
  </w:style>
  <w:style w:type="paragraph" w:customStyle="1" w:styleId="auths">
    <w:name w:val="auths"/>
    <w:basedOn w:val="ListBullet"/>
    <w:qFormat/>
    <w:rsid w:val="00E63789"/>
  </w:style>
  <w:style w:type="paragraph" w:styleId="ListBullet">
    <w:name w:val="List Bullet"/>
    <w:basedOn w:val="Normal"/>
    <w:uiPriority w:val="99"/>
    <w:semiHidden/>
    <w:unhideWhenUsed/>
    <w:rsid w:val="00E63789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62F4F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DD114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D114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D114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11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4C"/>
    <w:rPr>
      <w:i/>
      <w:iCs/>
      <w:color w:val="404040" w:themeColor="text1" w:themeTint="BF"/>
    </w:rPr>
  </w:style>
  <w:style w:type="paragraph" w:customStyle="1" w:styleId="Style2">
    <w:name w:val="Style2"/>
    <w:basedOn w:val="Subtitle"/>
    <w:next w:val="auths"/>
    <w:qFormat/>
    <w:rsid w:val="00DD114C"/>
    <w:pPr>
      <w:jc w:val="right"/>
    </w:pPr>
    <w:rPr>
      <w:caps/>
      <w:color w:val="1F497D" w:themeColor="text2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56F86"/>
    <w:rPr>
      <w:i/>
      <w:iCs/>
      <w:color w:val="404040" w:themeColor="text1" w:themeTint="BF"/>
    </w:rPr>
  </w:style>
  <w:style w:type="paragraph" w:customStyle="1" w:styleId="Style3">
    <w:name w:val="Style3"/>
    <w:basedOn w:val="authheader"/>
    <w:qFormat/>
    <w:rsid w:val="00556F86"/>
    <w:rPr>
      <w:b w:val="0"/>
      <w:lang w:val="en-US"/>
    </w:rPr>
  </w:style>
  <w:style w:type="paragraph" w:customStyle="1" w:styleId="Style4">
    <w:name w:val="Style4"/>
    <w:basedOn w:val="Heading2"/>
    <w:next w:val="authheader"/>
    <w:qFormat/>
    <w:rsid w:val="00556F86"/>
    <w:rPr>
      <w:szCs w:val="36"/>
      <w:lang w:val="en-US"/>
    </w:rPr>
  </w:style>
  <w:style w:type="paragraph" w:customStyle="1" w:styleId="dateheader">
    <w:name w:val="date_header"/>
    <w:basedOn w:val="authheader"/>
    <w:qFormat/>
    <w:rsid w:val="00B92109"/>
  </w:style>
  <w:style w:type="paragraph" w:styleId="TOC9">
    <w:name w:val="toc 9"/>
    <w:basedOn w:val="Normal"/>
    <w:next w:val="Normal"/>
    <w:autoRedefine/>
    <w:uiPriority w:val="39"/>
    <w:semiHidden/>
    <w:unhideWhenUsed/>
    <w:rsid w:val="00B92109"/>
    <w:pPr>
      <w:spacing w:after="100"/>
      <w:ind w:left="1760"/>
    </w:pPr>
  </w:style>
  <w:style w:type="paragraph" w:customStyle="1" w:styleId="bom">
    <w:name w:val="bom"/>
    <w:basedOn w:val="Subtitle"/>
    <w:next w:val="Subtitle"/>
    <w:autoRedefine/>
    <w:qFormat/>
    <w:rsid w:val="002F639B"/>
    <w:pPr>
      <w:jc w:val="right"/>
    </w:pPr>
  </w:style>
  <w:style w:type="paragraph" w:styleId="TOC1">
    <w:name w:val="toc 1"/>
    <w:basedOn w:val="Normal"/>
    <w:next w:val="Normal"/>
    <w:autoRedefine/>
    <w:uiPriority w:val="39"/>
    <w:unhideWhenUsed/>
    <w:rsid w:val="00593F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F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FE3"/>
    <w:rPr>
      <w:color w:val="0000FF" w:themeColor="hyperlink"/>
      <w:u w:val="single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hyperlink" Id="rId42" Target="https://marknadssok.fi.se/Publiceringsklient/sv-SE/Search/Search?SearchFunctionType=Insyn&amp;Utgivare=Evolution+Gaming&amp;PersonILedandeSt%C3%A4llningNamn=&amp;Transaktionsdatum.From=&amp;Transaktionsdatum.To=&amp;Publiceringsdatum.From=&amp;Publiceringsdatum.To=&amp;button=search&amp;Page=1" TargetMode="External" /><Relationship Type="http://schemas.openxmlformats.org/officeDocument/2006/relationships/hyperlink" Id="rId23" Target="https://www.evolution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marknadssok.fi.se/Publiceringsklient/sv-SE/Search/Search?SearchFunctionType=Insyn&amp;Utgivare=Evolution+Gaming&amp;PersonILedandeSt%C3%A4llningNamn=&amp;Transaktionsdatum.From=&amp;Transaktionsdatum.To=&amp;Publiceringsdatum.From=&amp;Publiceringsdatum.To=&amp;button=search&amp;Page=1" TargetMode="External" /><Relationship Type="http://schemas.openxmlformats.org/officeDocument/2006/relationships/hyperlink" Id="rId23" Target="https://www.evolution.com/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Bolagsanalyser_logga.pn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Bolagsanalyser_logga.png" TargetMode="External"/><Relationship Id="rId1" Type="http://schemas.openxmlformats.org/officeDocument/2006/relationships/image" Target="file:////Users/jacke/Documents/r-paket/bolagsanalyser/inst/rstudio/templates/project/bolagsanalyser_resources/logg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Bolagsanalys av Evolution Gaming</dc:title>
  <dc:creator/>
  <cp:keywords/>
  <dcterms:created xsi:type="dcterms:W3CDTF">2021-03-02T20:34:15Z</dcterms:created>
  <dcterms:modified xsi:type="dcterms:W3CDTF">2021-03-02T20:34:15Z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subtitle">
    <vt:lpwstr>2021-03-02</vt:lpwstr>
  </property>
</Properties>
</file>