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F4F7" w14:textId="7806023A" w:rsidR="00E4669C" w:rsidRDefault="001A116F" w:rsidP="001A116F">
      <w:pPr>
        <w:pStyle w:val="Titel"/>
      </w:pPr>
      <w:r>
        <w:t xml:space="preserve">Der Weg eines Bundesgesetzes </w:t>
      </w:r>
    </w:p>
    <w:p w14:paraId="1990674E" w14:textId="53D7D51B" w:rsidR="001A116F" w:rsidRDefault="001A116F" w:rsidP="001A116F"/>
    <w:p w14:paraId="1A174860" w14:textId="0EFEBEBB" w:rsidR="001A116F" w:rsidRDefault="001A116F" w:rsidP="001A116F">
      <w:r>
        <w:t xml:space="preserve">Es beginnt mit: </w:t>
      </w:r>
    </w:p>
    <w:p w14:paraId="767B4FAC" w14:textId="6D270C9D" w:rsidR="001A116F" w:rsidRPr="001A116F" w:rsidRDefault="001A116F" w:rsidP="001A116F">
      <w:pPr>
        <w:pStyle w:val="Listenabsatz"/>
        <w:numPr>
          <w:ilvl w:val="0"/>
          <w:numId w:val="1"/>
        </w:numPr>
      </w:pPr>
      <w:r w:rsidRPr="001A116F">
        <w:t>Regierungsvorlage durch die Bundesregierung</w:t>
      </w:r>
    </w:p>
    <w:p w14:paraId="6218E8F0" w14:textId="495F5B2A" w:rsidR="001A116F" w:rsidRPr="001A116F" w:rsidRDefault="001A116F" w:rsidP="001A116F">
      <w:pPr>
        <w:pStyle w:val="Listenabsatz"/>
        <w:numPr>
          <w:ilvl w:val="0"/>
          <w:numId w:val="1"/>
        </w:numPr>
      </w:pPr>
      <w:r w:rsidRPr="001A116F">
        <w:t xml:space="preserve">Anträge von Mitgliedern des Nationalrates (Initiativantrag oder Antrag </w:t>
      </w:r>
      <w:r>
        <w:t xml:space="preserve">von einem </w:t>
      </w:r>
      <w:r w:rsidRPr="001A116F">
        <w:t xml:space="preserve">Ausschuss) </w:t>
      </w:r>
    </w:p>
    <w:p w14:paraId="5DE7C9AC" w14:textId="2E8FAEFB" w:rsidR="001A116F" w:rsidRDefault="001A116F" w:rsidP="001A116F">
      <w:pPr>
        <w:pStyle w:val="Listenabsatz"/>
        <w:numPr>
          <w:ilvl w:val="0"/>
          <w:numId w:val="1"/>
        </w:numPr>
      </w:pPr>
      <w:r w:rsidRPr="001A116F">
        <w:t xml:space="preserve">Gesetzesanträge </w:t>
      </w:r>
      <w:r>
        <w:t>von mindestens einem</w:t>
      </w:r>
      <w:r w:rsidRPr="001A116F">
        <w:t xml:space="preserve"> eines Drittels des Bundesrates</w:t>
      </w:r>
    </w:p>
    <w:p w14:paraId="4FD6441D" w14:textId="7DF5A0A4" w:rsidR="001A116F" w:rsidRDefault="001A116F" w:rsidP="001A116F">
      <w:pPr>
        <w:pStyle w:val="Listenabsatz"/>
        <w:numPr>
          <w:ilvl w:val="0"/>
          <w:numId w:val="1"/>
        </w:numPr>
      </w:pPr>
      <w:r w:rsidRPr="001A116F">
        <w:t>Volksbegehren</w:t>
      </w:r>
    </w:p>
    <w:p w14:paraId="5320A398" w14:textId="64B2DD5B" w:rsidR="001A116F" w:rsidRDefault="001A116F" w:rsidP="001A116F"/>
    <w:p w14:paraId="3CE2E25F" w14:textId="19A88A24" w:rsidR="00CF5B0A" w:rsidRDefault="00CF5B0A" w:rsidP="001A116F">
      <w:r>
        <w:t>Nach dem ein Gesetz eingebracht wurde gibt es meistens ein Begutachtungsverfahren</w:t>
      </w:r>
      <w:r w:rsidR="00FD776A">
        <w:t xml:space="preserve"> von einer Institution</w:t>
      </w:r>
      <w:r>
        <w:t xml:space="preserve"> (bei manchen Gesetzen ist ein Begutachtungsverfahren verpflichtend, bei manch anderen</w:t>
      </w:r>
      <w:r w:rsidR="00FD776A">
        <w:t xml:space="preserve"> nicht, es wird aber trotzdem eingeleitet</w:t>
      </w:r>
      <w:r>
        <w:t>)</w:t>
      </w:r>
      <w:r w:rsidR="00FD776A">
        <w:t xml:space="preserve">. Je nach Ergebnis des Begutachtungsverfahren wird das Gesetz </w:t>
      </w:r>
      <w:r w:rsidR="00FD776A" w:rsidRPr="00FD776A">
        <w:t>entweder abgeändert oder beibehalten und in den Nationalrat eingebracht</w:t>
      </w:r>
      <w:r w:rsidR="00FD776A">
        <w:t>.</w:t>
      </w:r>
    </w:p>
    <w:p w14:paraId="16473019" w14:textId="440CDD63" w:rsidR="00FD776A" w:rsidRDefault="00FD776A" w:rsidP="001A116F"/>
    <w:p w14:paraId="3C96028C" w14:textId="1DF05C6E" w:rsidR="00FD776A" w:rsidRDefault="00FD776A" w:rsidP="001A116F">
      <w:r>
        <w:t>Verfahren im Nationalrat:</w:t>
      </w:r>
    </w:p>
    <w:p w14:paraId="26A1968C" w14:textId="2C8B2F65" w:rsidR="000B21D6" w:rsidRDefault="000B21D6" w:rsidP="000B21D6">
      <w:pPr>
        <w:pStyle w:val="Listenabsatz"/>
        <w:numPr>
          <w:ilvl w:val="0"/>
          <w:numId w:val="2"/>
        </w:numPr>
      </w:pPr>
      <w:r>
        <w:t xml:space="preserve">Die erste Lesung findet nicht zwingend </w:t>
      </w:r>
      <w:r w:rsidR="006B2B1F">
        <w:t xml:space="preserve">bei </w:t>
      </w:r>
      <w:r w:rsidR="006B2B1F" w:rsidRPr="000B21D6">
        <w:t>Initiativanträgen</w:t>
      </w:r>
      <w:r w:rsidR="006B2B1F">
        <w:t xml:space="preserve"> </w:t>
      </w:r>
      <w:r>
        <w:t xml:space="preserve">statt nur wenn </w:t>
      </w:r>
      <w:r w:rsidR="006B2B1F">
        <w:t>die Antragstellerinnen</w:t>
      </w:r>
      <w:r w:rsidR="006B2B1F" w:rsidRPr="000B21D6">
        <w:t>/Antragsteller</w:t>
      </w:r>
      <w:r w:rsidR="006B2B1F">
        <w:t xml:space="preserve"> es verlangt. Bei </w:t>
      </w:r>
      <w:r w:rsidR="006B2B1F" w:rsidRPr="000B21D6">
        <w:t>Regierungsvorlagen, Gesetzesvorschlägen des Bundesrates und Volksbegehren</w:t>
      </w:r>
      <w:r w:rsidR="006B2B1F">
        <w:t xml:space="preserve"> nur wenn es </w:t>
      </w:r>
      <w:r w:rsidR="006B2B1F" w:rsidRPr="000B21D6">
        <w:t>die Mehrheit des Nationalrates</w:t>
      </w:r>
      <w:r w:rsidR="006B2B1F">
        <w:t xml:space="preserve"> </w:t>
      </w:r>
      <w:r w:rsidR="006B2B1F" w:rsidRPr="000B21D6">
        <w:t>einen diesbezüglichen Beschluss fasst</w:t>
      </w:r>
      <w:r w:rsidR="006B2B1F">
        <w:t xml:space="preserve">. </w:t>
      </w:r>
      <w:r w:rsidR="00910EF7">
        <w:br/>
      </w:r>
    </w:p>
    <w:p w14:paraId="547B6889" w14:textId="3DA1ACE7" w:rsidR="006B2B1F" w:rsidRDefault="006B2B1F" w:rsidP="006B2B1F">
      <w:pPr>
        <w:pStyle w:val="Listenabsatz"/>
        <w:numPr>
          <w:ilvl w:val="0"/>
          <w:numId w:val="2"/>
        </w:numPr>
      </w:pPr>
      <w:r>
        <w:t xml:space="preserve">Die zweite Lesung besteht aus zwei </w:t>
      </w:r>
      <w:r w:rsidR="00F61569">
        <w:t>Teilen</w:t>
      </w:r>
      <w:r>
        <w:t>,</w:t>
      </w:r>
      <w:r w:rsidR="00910EF7">
        <w:t xml:space="preserve"> </w:t>
      </w:r>
      <w:r w:rsidR="00910EF7" w:rsidRPr="006B2B1F">
        <w:t>der Generaldebatte und der Spezialdebatte</w:t>
      </w:r>
      <w:r w:rsidR="00910EF7">
        <w:t xml:space="preserve">. Die Generaldebatte befasst sich mit dem Gesetz als Gesamtbild. Die </w:t>
      </w:r>
      <w:r w:rsidR="00910EF7" w:rsidRPr="006B2B1F">
        <w:t>Spezialdebatte</w:t>
      </w:r>
      <w:r w:rsidR="00910EF7">
        <w:t xml:space="preserve"> geht mehr ins Detail.</w:t>
      </w:r>
      <w:r w:rsidR="00910EF7">
        <w:br/>
      </w:r>
    </w:p>
    <w:p w14:paraId="6CFE68D7" w14:textId="42A5230B" w:rsidR="00910EF7" w:rsidRDefault="00910EF7" w:rsidP="003E1CFC">
      <w:pPr>
        <w:pStyle w:val="Listenabsatz"/>
        <w:numPr>
          <w:ilvl w:val="0"/>
          <w:numId w:val="2"/>
        </w:numPr>
      </w:pPr>
      <w:r w:rsidRPr="00910EF7">
        <w:t>Die dritte Lesung beinhaltet die Abstimmung über das Gesetz.</w:t>
      </w:r>
      <w:r>
        <w:t xml:space="preserve"> Diese findet nur </w:t>
      </w:r>
      <w:r w:rsidR="003E1CFC">
        <w:t>statt,</w:t>
      </w:r>
      <w:r>
        <w:t xml:space="preserve"> </w:t>
      </w:r>
      <w:r w:rsidR="003E1CFC">
        <w:t xml:space="preserve">wenn ein Drittel der </w:t>
      </w:r>
      <w:r w:rsidR="003E1CFC" w:rsidRPr="00910EF7">
        <w:t>Mitglieder</w:t>
      </w:r>
      <w:r w:rsidR="003E1CFC">
        <w:t xml:space="preserve"> anwesend sind, es reicht eine </w:t>
      </w:r>
      <w:r w:rsidR="003E1CFC" w:rsidRPr="00910EF7">
        <w:t>einfache Mehrheit</w:t>
      </w:r>
      <w:r w:rsidR="003E1CFC">
        <w:t xml:space="preserve"> aus.</w:t>
      </w:r>
      <w:r w:rsidR="003E1CFC">
        <w:br/>
        <w:t xml:space="preserve">Außer es handelt sich um ein </w:t>
      </w:r>
      <w:r w:rsidR="003E1CFC" w:rsidRPr="00910EF7">
        <w:t>Verfassungsgesetz</w:t>
      </w:r>
      <w:r w:rsidR="003E1CFC">
        <w:t xml:space="preserve">, da müssen mindestens 50% </w:t>
      </w:r>
      <w:r w:rsidR="003E1CFC">
        <w:t xml:space="preserve">der </w:t>
      </w:r>
      <w:r w:rsidR="003E1CFC" w:rsidRPr="00910EF7">
        <w:t>Mitglieder</w:t>
      </w:r>
      <w:r w:rsidR="003E1CFC">
        <w:t xml:space="preserve"> anwesend </w:t>
      </w:r>
      <w:r w:rsidR="003E1CFC">
        <w:t>seien und es müssen mindestens ein Drittel dem Gesetz zustimmen.</w:t>
      </w:r>
      <w:r>
        <w:br/>
      </w:r>
    </w:p>
    <w:p w14:paraId="0200884C" w14:textId="1E93C965" w:rsidR="00910EF7" w:rsidRDefault="00910EF7" w:rsidP="00285EE3">
      <w:pPr>
        <w:pStyle w:val="Listenabsatz"/>
        <w:ind w:left="1440"/>
      </w:pPr>
    </w:p>
    <w:p w14:paraId="29B8C0DF" w14:textId="11122BEF" w:rsidR="00FD776A" w:rsidRDefault="001D2BA2" w:rsidP="00FD776A">
      <w:r>
        <w:t xml:space="preserve">Nach dem Entschluss des Nationalrates wird es zum Bundesrat weitergeleitet (außer der Bundesrat hat </w:t>
      </w:r>
      <w:r w:rsidRPr="001D2BA2">
        <w:t>kein Mitwirkungsrecht, wie z.B. bezüglich der Geschäftsordnung des Nationalrates</w:t>
      </w:r>
      <w:r>
        <w:t xml:space="preserve">), der Bundesrat kann: </w:t>
      </w:r>
    </w:p>
    <w:p w14:paraId="012C1F7C" w14:textId="00F5FF1F" w:rsidR="001D2BA2" w:rsidRDefault="001D2BA2" w:rsidP="001D2BA2">
      <w:pPr>
        <w:pStyle w:val="Listenabsatz"/>
        <w:numPr>
          <w:ilvl w:val="0"/>
          <w:numId w:val="2"/>
        </w:numPr>
      </w:pPr>
      <w:r w:rsidRPr="001D2BA2">
        <w:t>beschließen, keinen Einspruch zu erheben</w:t>
      </w:r>
    </w:p>
    <w:p w14:paraId="2894F1D6" w14:textId="0F6D0369" w:rsidR="001D2BA2" w:rsidRPr="001D2BA2" w:rsidRDefault="001D2BA2" w:rsidP="001D2BA2">
      <w:pPr>
        <w:pStyle w:val="Listenabsatz"/>
        <w:numPr>
          <w:ilvl w:val="0"/>
          <w:numId w:val="2"/>
        </w:numPr>
      </w:pPr>
      <w:r w:rsidRPr="001D2BA2">
        <w:t xml:space="preserve">die Einspruchsfrist verstreichen lassen </w:t>
      </w:r>
    </w:p>
    <w:p w14:paraId="7848ED0C" w14:textId="64287B87" w:rsidR="001D2BA2" w:rsidRDefault="001D2BA2" w:rsidP="001D2BA2">
      <w:pPr>
        <w:pStyle w:val="Listenabsatz"/>
        <w:numPr>
          <w:ilvl w:val="0"/>
          <w:numId w:val="2"/>
        </w:numPr>
      </w:pPr>
      <w:r w:rsidRPr="001D2BA2">
        <w:t>begründeten Einspruch erheben</w:t>
      </w:r>
      <w:r w:rsidR="002738B6">
        <w:t xml:space="preserve"> und wieder zum Nationalrat zurückschicken </w:t>
      </w:r>
    </w:p>
    <w:p w14:paraId="0017E694" w14:textId="3AC5BFA0" w:rsidR="002738B6" w:rsidRDefault="002738B6" w:rsidP="002738B6"/>
    <w:p w14:paraId="4F5529B3" w14:textId="021C6A6D" w:rsidR="002738B6" w:rsidRDefault="002738B6" w:rsidP="002738B6">
      <w:r w:rsidRPr="002738B6">
        <w:t>Das verfassungsmäßige Zustandekommen des Bundesgesetzes wird durch die Bundespräsidentin/den Bundespräsidenten beurkundet.</w:t>
      </w:r>
    </w:p>
    <w:p w14:paraId="54F47D93" w14:textId="569CE5D4" w:rsidR="001A116F" w:rsidRDefault="001A116F" w:rsidP="001A116F">
      <w:r>
        <w:rPr>
          <w:i/>
          <w:u w:val="single"/>
        </w:rPr>
        <w:lastRenderedPageBreak/>
        <w:t>Quelle:</w:t>
      </w:r>
    </w:p>
    <w:p w14:paraId="5C29CD4E" w14:textId="3F0F51A3" w:rsidR="001A116F" w:rsidRDefault="00000000" w:rsidP="001A116F">
      <w:hyperlink r:id="rId7" w:history="1">
        <w:r w:rsidR="002738B6" w:rsidRPr="009827F3">
          <w:rPr>
            <w:rStyle w:val="Hyperlink"/>
          </w:rPr>
          <w:t>https://www.oesterreich.gv.at/themen/leben_in_oesterreich/demokratie/3/Seite.2230005.html</w:t>
        </w:r>
      </w:hyperlink>
    </w:p>
    <w:p w14:paraId="5690597C" w14:textId="45A9DD02" w:rsidR="002738B6" w:rsidRPr="001A116F" w:rsidRDefault="002738B6" w:rsidP="001A116F">
      <w:r w:rsidRPr="002738B6">
        <w:t>https://de.wikipedia.org/wiki/Gesetzgebungsverfahren_(%C3%96sterreich)#Bundesgesetzgebung</w:t>
      </w:r>
    </w:p>
    <w:p w14:paraId="5938A7DA" w14:textId="7D918751" w:rsidR="001A116F" w:rsidRPr="001A116F" w:rsidRDefault="001A116F" w:rsidP="001A116F">
      <w:pPr>
        <w:pStyle w:val="Listenabsatz"/>
        <w:ind w:left="1440"/>
      </w:pPr>
    </w:p>
    <w:sectPr w:rsidR="001A116F" w:rsidRPr="001A116F" w:rsidSect="006634E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FC29" w14:textId="77777777" w:rsidR="00F369CD" w:rsidRDefault="00F369CD" w:rsidP="00A8652A">
      <w:pPr>
        <w:spacing w:after="0" w:line="240" w:lineRule="auto"/>
      </w:pPr>
      <w:r>
        <w:separator/>
      </w:r>
    </w:p>
  </w:endnote>
  <w:endnote w:type="continuationSeparator" w:id="0">
    <w:p w14:paraId="01070919" w14:textId="77777777" w:rsidR="00F369CD" w:rsidRDefault="00F369CD" w:rsidP="00A8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AFD0" w14:textId="77777777" w:rsidR="00F369CD" w:rsidRDefault="00F369CD" w:rsidP="00A8652A">
      <w:pPr>
        <w:spacing w:after="0" w:line="240" w:lineRule="auto"/>
      </w:pPr>
      <w:r>
        <w:separator/>
      </w:r>
    </w:p>
  </w:footnote>
  <w:footnote w:type="continuationSeparator" w:id="0">
    <w:p w14:paraId="03002E6F" w14:textId="77777777" w:rsidR="00F369CD" w:rsidRDefault="00F369CD" w:rsidP="00A86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AB69" w14:textId="5ADFE111" w:rsidR="00A8652A" w:rsidRDefault="00A8652A">
    <w:pPr>
      <w:pStyle w:val="Kopfzeile"/>
    </w:pPr>
    <w:r>
      <w:t>Jakob Pölzl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2E7"/>
    <w:multiLevelType w:val="hybridMultilevel"/>
    <w:tmpl w:val="A50EB0B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B925DA"/>
    <w:multiLevelType w:val="hybridMultilevel"/>
    <w:tmpl w:val="26F4CA1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8911120">
    <w:abstractNumId w:val="0"/>
  </w:num>
  <w:num w:numId="2" w16cid:durableId="140313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6F"/>
    <w:rsid w:val="000B21D6"/>
    <w:rsid w:val="001A116F"/>
    <w:rsid w:val="001D2BA2"/>
    <w:rsid w:val="002738B6"/>
    <w:rsid w:val="00285EE3"/>
    <w:rsid w:val="002B22F1"/>
    <w:rsid w:val="003E1CFC"/>
    <w:rsid w:val="003F7C94"/>
    <w:rsid w:val="0045154F"/>
    <w:rsid w:val="006634E3"/>
    <w:rsid w:val="006B2B1F"/>
    <w:rsid w:val="00910EF7"/>
    <w:rsid w:val="00A8652A"/>
    <w:rsid w:val="00CF5B0A"/>
    <w:rsid w:val="00E4669C"/>
    <w:rsid w:val="00F369CD"/>
    <w:rsid w:val="00F61569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1DA0"/>
  <w15:chartTrackingRefBased/>
  <w15:docId w15:val="{D32CAEB1-1D03-48FB-AD4B-B4DFA1DD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private">
    <w:name w:val="Überschrift_1_private"/>
    <w:basedOn w:val="berschrift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A1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116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1A11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738B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38B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8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652A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A8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652A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esterreich.gv.at/themen/leben_in_oesterreich/demokratie/3/Seite.22300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Pölzl Jakob</cp:lastModifiedBy>
  <cp:revision>4</cp:revision>
  <dcterms:created xsi:type="dcterms:W3CDTF">2022-09-26T07:22:00Z</dcterms:created>
  <dcterms:modified xsi:type="dcterms:W3CDTF">2022-09-26T07:23:00Z</dcterms:modified>
</cp:coreProperties>
</file>