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Published benchmark AUROC does not predict generalisation: an independent evaluation of protein solubility predictors on native and heterologous </w:t>
      </w:r>
      <w:r>
        <w:rPr>
          <w:b/>
          <w:bCs/>
          <w:i/>
          <w:iCs/>
          <w:sz w:val="32"/>
          <w:szCs w:val="32"/>
        </w:rPr>
        <w:t xml:space="preserve">E. coli</w:t>
      </w:r>
      <w:r>
        <w:rPr>
          <w:b/>
          <w:bCs/>
          <w:sz w:val="32"/>
          <w:szCs w:val="32"/>
        </w:rPr>
        <w:t xml:space="preserve"> proteins</w:t>
      </w:r>
    </w:p>
    <w:p>
      <w:pPr>
        <w:spacing w:after="40"/>
        <w:jc w:val="center"/>
      </w:pPr>
      <w:r>
        <w:rPr>
          <w:sz w:val="22"/>
          <w:szCs w:val="22"/>
        </w:rPr>
        <w:t xml:space="preserve">Jakob Oeschey</w:t>
      </w:r>
    </w:p>
    <w:p>
      <w:pPr>
        <w:spacing w:after="40"/>
        <w:jc w:val="center"/>
      </w:pPr>
      <w:r>
        <w:rPr>
          <w:i/>
          <w:iCs/>
          <w:sz w:val="20"/>
          <w:szCs w:val="20"/>
        </w:rPr>
        <w:t xml:space="preserve">MSc student, Hochschule Bremen (HSB) – City University of Applied Sciences, Bremen, Germany</w:t>
      </w:r>
    </w:p>
    <w:p>
      <w:pPr>
        <w:spacing w:after="200"/>
        <w:jc w:val="center"/>
      </w:pPr>
      <w:r>
        <w:rPr>
          <w:sz w:val="20"/>
          <w:szCs w:val="20"/>
        </w:rPr>
        <w:t xml:space="preserve">Correspondence: joeschey@stud.hs-bremen.de; tiger-biotech@pm.me</w:t>
      </w:r>
    </w:p>
    <w:p>
      <w:pPr>
        <w:pStyle w:val="Heading1"/>
        <w:spacing w:after="140" w:before="280"/>
      </w:pPr>
      <w:r>
        <w:rPr>
          <w:b/>
          <w:bCs/>
        </w:rPr>
        <w:t xml:space="preserve">Abstract</w:t>
      </w:r>
    </w:p>
    <w:p>
      <w:pPr>
        <w:spacing w:after="160" w:line="276"/>
        <w:jc w:val="both"/>
      </w:pPr>
      <w:r>
        <w:rPr>
          <w:b/>
          <w:bCs/>
        </w:rPr>
        <w:t xml:space="preserve">Motivation. </w:t>
      </w:r>
      <w:r>
        <w:t xml:space="preserve">Sequence-based predictors of recombinant protein solubility are widely used to triage expression targets, and deep-learning models report strong benchmark AUROCs. Whether a model's headline benchmark predicts how it ranks on an independent distribution, and how much two state-of-the-art models can differ on the same proteins, is rarely tested directly. Here we show, across two </w:t>
      </w:r>
      <w:r>
        <w:rPr>
          <w:i/>
          <w:iCs/>
        </w:rPr>
        <w:t xml:space="preserve">Escherichia coli</w:t>
      </w:r>
      <w:r>
        <w:t xml:space="preserve"> distributions with per-model leakage control, that a model's published benchmark AUROC is a poor guide to its rank on a new distribution, and that a simple interpretable baseline can match or outperform state-of-the-art deep models outside their training distribution. </w:t>
      </w:r>
      <w:r>
        <w:rPr>
          <w:b/>
          <w:bCs/>
        </w:rPr>
        <w:t xml:space="preserve">Results. </w:t>
      </w:r>
      <w:r>
        <w:t xml:space="preserve">We benchmarked two state-of-the-art deep models, RP3Net (ESM-2 650M, reported AUROC 0.83) and NetSolP (ESM1b, reported AUROC 0.76), against two dataset-naive composition baselines (an in-house heuristic and the published Solubility-Weighted Index, SWI) on two </w:t>
      </w:r>
      <w:r>
        <w:rPr>
          <w:i/>
          <w:iCs/>
        </w:rPr>
        <w:t xml:space="preserve">E. coli</w:t>
      </w:r>
      <w:r>
        <w:t xml:space="preserve"> benchmarks, eSOL (native K-12 proteins) and the SoluProt held-out test set (heterologous constructs), with per-model MMseqs2 leakage control. On native cytoplasmic proteins the two deep models spanned the whole range and </w:t>
      </w:r>
      <w:r>
        <w:t xml:space="preserve">straddled the baselines</w:t>
      </w:r>
      <w:r>
        <w:t xml:space="preserve">: NetSolP was the best predictor (0.792) and RP3Net the worst (0.709), a gap of 0.083 (DeLong p &lt; 1e-8) larger than any model-to-baseline difference. Despite its 0.83 headline, RP3Net was beaten by the simple SWI score (0.745, p = 0.006) and only tied the naive heuristic (0.725), while NetSolP beat SWI (p &lt; 0.001). On the harder heterologous SoluProt set the two deep models instead agreed and led numerically (NetSolP 0.633, RP3Net 0.619, difference not significant), all predictors in a narrow 0.58–0.63 band; ProteinSol, calibrated on native eSOL, collapsed to near-chance there (0.542). A third deep model, PLM_Sol (ProtT5), sharpened the contrast further: our pipeline reproduced its ≈ 0.83 own-benchmark AUROC, yet it fell to 0.564 on SoluProt, below every baseline, a value unchanged by removing the 35.7% of the test set that overlapped its training data (identical 0.562 on the overlapping proteins), so a genuine distribution effect rather than memorisation. The native ordering (NetSolP &gt; SWI &gt; RP3Net) survived a homology-level screen (MMseqs2 clustering at ≤30% identity; 8.5% of eSOL removed), confirming it is not a residual-training-homology artefact. </w:t>
      </w:r>
      <w:r>
        <w:rPr>
          <w:b/>
          <w:bCs/>
        </w:rPr>
        <w:t xml:space="preserve">Conclusion. </w:t>
      </w:r>
      <w:r>
        <w:t xml:space="preserve">Solubility-predictor performance is model- and distribution-dependent: two SOTA deep models differed on native proteins by more than the gap to a simple interpretable baseline, and a model's published benchmark AUROC did not predict its generalisation rank. Evaluating RP3Net on native proteins probes generalisation outside its recombinant/heterologous design domain, so its low native ranking reflects distribution mismatch rather than a model deficiency; we therefore frame these results as a caution about distribution-matched evaluation, not a criticism of any model. A dataset-naive baseline is a useful sanity floor: a model falling below it on the target distribution (as RP3Net does on native proteins) is an informative signal, and predictors should be evaluated on the distribution of interest rather than trusted by headline number.</w:t>
      </w:r>
    </w:p>
    <w:p>
      <w:pPr>
        <w:spacing w:after="160" w:line="276"/>
        <w:jc w:val="both"/>
      </w:pPr>
      <w:r>
        <w:rPr>
          <w:b/>
          <w:bCs/>
        </w:rPr>
        <w:t xml:space="preserve">Keywords: </w:t>
      </w:r>
      <w:r>
        <w:t xml:space="preserve">protein solubility; recombinant expression; </w:t>
      </w:r>
      <w:r>
        <w:rPr>
          <w:i/>
          <w:iCs/>
        </w:rPr>
        <w:t xml:space="preserve">Escherichia coli</w:t>
      </w:r>
      <w:r>
        <w:t xml:space="preserve">; benchmark generalisation; model variance; baselines</w:t>
      </w:r>
    </w:p>
    <w:p>
      <w:pPr>
        <w:pStyle w:val="Heading1"/>
        <w:spacing w:after="140" w:before="280"/>
      </w:pPr>
      <w:r>
        <w:rPr>
          <w:b/>
          <w:bCs/>
        </w:rPr>
        <w:t xml:space="preserve">1. Introduction</w:t>
      </w:r>
    </w:p>
    <w:p>
      <w:pPr>
        <w:spacing w:after="160" w:line="276"/>
        <w:jc w:val="both"/>
      </w:pPr>
      <w:r>
        <w:t xml:space="preserve">Recombinant protein production in </w:t>
      </w:r>
      <w:r>
        <w:rPr>
          <w:i/>
          <w:iCs/>
        </w:rPr>
        <w:t xml:space="preserve">Escherichia coli</w:t>
      </w:r>
      <w:r>
        <w:t xml:space="preserve"> is central to molecular biology and biomanufacturing, and insolubility (misfolding into inclusion bodies) is among its commonest failure modes. Many sequence-based predictors triage targets beforehand: physicochemical scores such as ProteinSol, CamSol (Sormanni et al., 2015) and the Solubility-Weighted Index; supervised models such as SoluProt, DeepSol (Khurana et al., 2018) and NetSolP; and predictors built on protein language models such as RP3Net and PLM_Sol.</w:t>
      </w:r>
    </w:p>
    <w:p>
      <w:pPr>
        <w:spacing w:after="160" w:line="276"/>
        <w:jc w:val="both"/>
      </w:pPr>
      <w:r>
        <w:t xml:space="preserve">These models are usually summarised by a single benchmark AUROC measured on one held-out distribution. Two questions are rarely asked directly: does that headline number predict how the model ranks on a different distribution, and how much do two equally state-of-the-art models differ on the very same proteins? If the spread between top models is large, a single reported number is a poor guide to which model to trust on one's own targets.</w:t>
      </w:r>
    </w:p>
    <w:p>
      <w:pPr>
        <w:spacing w:after="160" w:line="276"/>
        <w:jc w:val="both"/>
      </w:pPr>
      <w:r>
        <w:t xml:space="preserve">We therefore benchmarked two independent SOTA deep models (RP3Net and NetSolP) against two dataset-naive composition baselines on two </w:t>
      </w:r>
      <w:r>
        <w:rPr>
          <w:i/>
          <w:iCs/>
        </w:rPr>
        <w:t xml:space="preserve">E. coli</w:t>
      </w:r>
      <w:r>
        <w:t xml:space="preserve"> distributions, native (eSOL) and heterologous (SoluProt), with explicit per-model leakage control and paired significance testing. One baseline is the fallback scorer of an open expression-feasibility tool (</w:t>
      </w:r>
      <w:r>
        <w:rPr>
          <w:i/>
          <w:iCs/>
        </w:rPr>
        <w:t xml:space="preserve">TiGer Biotech</w:t>
      </w:r>
      <w:r>
        <w:t xml:space="preserve">), used here only as a deliberately simple reference, not as a validated predictor. To our knowledge this is the first independent evaluation of RP3Net on eSOL and on the SoluProt test set (its introducing paper reports only AstraZeneca and Structural Genomics Consortium sets). We find that model choice, not model class, dominates on native proteins.</w:t>
      </w:r>
    </w:p>
    <w:p>
      <w:pPr>
        <w:pStyle w:val="Heading1"/>
        <w:spacing w:after="140" w:before="280"/>
      </w:pPr>
      <w:r>
        <w:rPr>
          <w:b/>
          <w:bCs/>
        </w:rPr>
        <w:t xml:space="preserve">2. Methods</w:t>
      </w:r>
    </w:p>
    <w:p>
      <w:pPr>
        <w:pStyle w:val="Heading2"/>
        <w:spacing w:after="100" w:before="200"/>
      </w:pPr>
      <w:r>
        <w:rPr>
          <w:b/>
          <w:bCs/>
        </w:rPr>
        <w:t xml:space="preserve">2.1 Datasets</w:t>
      </w:r>
    </w:p>
    <w:p>
      <w:pPr>
        <w:spacing w:after="160" w:line="276"/>
        <w:jc w:val="both"/>
      </w:pPr>
      <w:r>
        <w:rPr>
          <w:b/>
          <w:bCs/>
        </w:rPr>
        <w:t xml:space="preserve">eSOL (native </w:t>
      </w:r>
      <w:r>
        <w:rPr>
          <w:b/>
          <w:bCs/>
          <w:i/>
          <w:iCs/>
        </w:rPr>
        <w:t xml:space="preserve">E. coli</w:t>
      </w:r>
      <w:r>
        <w:rPr>
          <w:b/>
          <w:bCs/>
        </w:rPr>
        <w:t xml:space="preserve"> K-12). </w:t>
      </w:r>
      <w:r>
        <w:t xml:space="preserve">eSOL (Niwa et al., 2009) reports the solubility of </w:t>
      </w:r>
      <w:r>
        <w:rPr>
          <w:i/>
          <w:iCs/>
        </w:rPr>
        <w:t xml:space="preserve">E. coli</w:t>
      </w:r>
      <w:r>
        <w:t xml:space="preserve"> K-12 ORFs in a chaperone-free reconstituted translation system as a continuous percentage. eSOL identifiers were mapped to sequences via the UniProt </w:t>
      </w:r>
      <w:r>
        <w:rPr>
          <w:i/>
          <w:iCs/>
        </w:rPr>
        <w:t xml:space="preserve">E. coli</w:t>
      </w:r>
      <w:r>
        <w:t xml:space="preserve"> K-12 reference proteome (UP000000625), giving 3,131 proteins. The primary soluble label binarised solubility at ≥70% (60% and 80% swept for robustness). Compartment annotations separated cytoplasmic (in-domain) from membrane and periplasmic (out-of-domain) proteins.</w:t>
      </w:r>
    </w:p>
    <w:p>
      <w:pPr>
        <w:spacing w:after="160" w:line="276"/>
        <w:jc w:val="both"/>
      </w:pPr>
      <w:r>
        <w:rPr>
          <w:b/>
          <w:bCs/>
        </w:rPr>
        <w:t xml:space="preserve">SoluProt test set (heterologous). </w:t>
      </w:r>
      <w:r>
        <w:t xml:space="preserve">The SoluProt held-out test set (Hon et al., 2021; NESG/TargetTrack-derived) comprises 3,100 balanced heterologous proteins with binary labels; this is the harder distribution, closer to a recombinant-expression triage use case.</w:t>
      </w:r>
    </w:p>
    <w:p>
      <w:pPr>
        <w:pStyle w:val="Heading2"/>
        <w:spacing w:after="100" w:before="200"/>
      </w:pPr>
      <w:r>
        <w:rPr>
          <w:b/>
          <w:bCs/>
        </w:rPr>
        <w:t xml:space="preserve">2.2 Predictors</w:t>
      </w:r>
    </w:p>
    <w:p>
      <w:pPr>
        <w:spacing w:after="160" w:line="276"/>
        <w:jc w:val="both"/>
      </w:pPr>
      <w:r>
        <w:rPr>
          <w:b/>
          <w:bCs/>
        </w:rPr>
        <w:t xml:space="preserve">RP3Net (deep). </w:t>
      </w:r>
      <w:r>
        <w:t xml:space="preserve">RP3Net (Tankhilevich et al., 2026) is an ESM-2 650M (Lin et al., 2023) model with set-transformer pooling, LoRA fine-tuning and meta-label correction, trained on AstraZeneca internal data plus the public Structural Genomics Consortium (SGC). The authors report AUROC 0.83 on an independent, prospective set of 97 recombinant constructs (from 46 human drug targets, expressed and assayed at AstraZeneca). We used the released production model and took the predicted soluble probability.</w:t>
      </w:r>
    </w:p>
    <w:p>
      <w:pPr>
        <w:spacing w:after="160" w:line="276"/>
        <w:jc w:val="both"/>
      </w:pPr>
      <w:r>
        <w:rPr>
          <w:b/>
          <w:bCs/>
        </w:rPr>
        <w:t xml:space="preserve">NetSolP (deep). </w:t>
      </w:r>
      <w:r>
        <w:t xml:space="preserve">NetSolP (Thumuluri et al., 2022) is an ESM1b-based ensemble trained on the PSI:Biology solubility dataset. We ran the released distilled model (NetSolP-D) and took its predicted solubility. Sequences are truncated at 1,022 residues by the released code (the ESM context limit); the few longer proteins are therefore scored on their N-terminal 1,022 residues.</w:t>
      </w:r>
    </w:p>
    <w:p>
      <w:pPr>
        <w:spacing w:after="160" w:line="276"/>
        <w:jc w:val="both"/>
      </w:pPr>
      <w:r>
        <w:rPr>
          <w:b/>
          <w:bCs/>
        </w:rPr>
        <w:t xml:space="preserve">ProteinSol (native-calibrated). </w:t>
      </w:r>
      <w:r>
        <w:t xml:space="preserve">ProteinSol (Hebditch et al., 2017) scores 35 sequence features whose weights are calibrated on the native eSOL dataset (Niwa et al., 2009); its scaled-solubility output is therefore an eSOL-derived score. Being fit to eSOL it is circular there, and is evaluated only on the heterologous SoluProt set after removing SoluProt proteins near-identical to eSOL (§2.3). We ran the released batch sequence-prediction code and took the scaled-solubility value.</w:t>
      </w:r>
    </w:p>
    <w:p>
      <w:pPr>
        <w:spacing w:after="160" w:line="276"/>
        <w:jc w:val="both"/>
      </w:pPr>
      <w:r>
        <w:rPr>
          <w:b/>
          <w:bCs/>
        </w:rPr>
        <w:t xml:space="preserve">PLM_Sol (deep, ProtT5). </w:t>
      </w:r>
      <w:r>
        <w:t xml:space="preserve">PLM_Sol (Zhang et al., 2024) is a ProtT5-XL protein-language-model embedding model with a BiLSTM–TextCNN head, trained on the updated UESolDS solubility dataset and reporting AUROC ≈ 0.83 on its own held-out test set. UESolDS is an aggregate solubility-in-E.-coli dataset that combines eSOL with TargetTrack, DNASU and PDB-derived records; TargetTrack is the same structural-genomics target pool from which the SoluProt test set is built, so UESolDS is a superset of eSOL but by no means limited to native proteins. We reproduced its released ProtT5 embedding pipeline and inference code on the SoluProt test set; as a positive control the same pipeline reproduced the paper's own benchmark (AUROC 0.834 on its released test set), confirming a faithful re-run. Because UESolDS contains eSOL, PLM_Sol is circular on native eSOL; it is therefore evaluated only on the heterologous SoluProt set, and only after removing the large UESolDS overlap documented in §2.3.</w:t>
      </w:r>
    </w:p>
    <w:p>
      <w:pPr>
        <w:spacing w:after="160" w:line="276"/>
        <w:jc w:val="both"/>
      </w:pPr>
      <w:r>
        <w:rPr>
          <w:b/>
          <w:bCs/>
        </w:rPr>
        <w:t xml:space="preserve">Composition baselines (two), dataset-naive. </w:t>
      </w:r>
      <w:r>
        <w:t xml:space="preserve">Two deliberately simple sequence scores serve as baselines. The in-house composition heuristic is a deterministic linear score over amino-acid composition (Wilkinson &amp; Harrison, 1991 charge term; Idicula-Thomas &amp; Balaji, 2005 propensity; aliphatic/aromatic/cysteine terms); its exact form is released (see Code availability). We report its eSOL-naive variant (literature-derived term signs only; the coefficient magnitudes are round, author-set values, not tuned to any benchmark) as a baseline; a full variant additionally includes MW/pI terms fit to eSOL and is used only in an ablation. Concretely, the naive score is a clipped linear combination (output range 8–95): 50, plus 55×(fraction D+E+K+R), minus 45×(fraction I+L+V+M), minus 30×(fraction F+W+Y), plus 20×(mean per-residue solubility propensity), minus 7 for more than three cysteines and a further 5 for more than six, plus or minus a fixed offset for two Wilkinson–Harrison-style charge/hydrophobicity threshold predicates (exact predicates in the released code), and minus 15 for sequences under 50 residues. The second baseline is the published Solubility-Weighted Index (SWI; Bhandari et al., 2020), a mean of per-residue flexibility weights optimised on PSI:Biology and validated on eSOL as an external set. Neither baseline is trained per-protein; neither has any exposure to SoluProt. Because its weights are published and externally fixed, SWI is treated as the primary, more conservative baseline; the in-house naive score serves as corroboration and never carries a conclusion on its own.</w:t>
      </w:r>
    </w:p>
    <w:p>
      <w:pPr>
        <w:pStyle w:val="Heading2"/>
        <w:spacing w:after="100" w:before="200"/>
      </w:pPr>
      <w:r>
        <w:rPr>
          <w:b/>
          <w:bCs/>
        </w:rPr>
        <w:t xml:space="preserve">2.3 Per-model train/test leakage control</w:t>
      </w:r>
    </w:p>
    <w:p>
      <w:pPr>
        <w:spacing w:after="160" w:line="276"/>
        <w:jc w:val="both"/>
      </w:pPr>
      <w:r>
        <w:t xml:space="preserve">Each test set was screened against each model's public training sequences with MMseqs2 (Steinegger &amp; Söding, 2017; easy-search, local alignment; leak = best hit ≥90% identity over ≥80% query coverage). For eSOL: 0.13% (4/3,131) overlapped RP3Net's SGC training and 4.06% (127/3,129) overlapped the PSI:Biology training shared by NetSolP and SWI; all native-protein results use the doubly-clean intersection (n = 3,000 scored; 2,154 cytoplasmic; two b-numbers mapped many-to-one from eSOL and were de-duplicated). For the SoluProt test set: 1.29% (40/3,100) overlapped RP3Net's training, leaving 3,060 clean proteins; separately, 4.02% (123/3,060) of SoluProt proteins were near-identical to eSOL (mostly 100% identity; the “heterologous” set contains some native </w:t>
      </w:r>
      <w:r>
        <w:rPr>
          <w:i/>
          <w:iCs/>
        </w:rPr>
        <w:t xml:space="preserve">E. coli</w:t>
      </w:r>
      <w:r>
        <w:t xml:space="preserve"> sequences), removed for the ProteinSol evaluation (n = 2,937). PLM_Sol required by far the largest correction of any model: 35.68% (1,106/3,100) of the SoluProt test set was near-identical to its UESolDS training data, leaving 1,994 leak-free proteins for its evaluation. This nine-fold gap between SoluProt's overlap with UESolDS (35.7%) and with eSOL alone (4.0%) is itself informative, and the matched training sequences are overwhelmingly tagged structural-genomics constructs (NESG/JCSG/MCSG/pET-vector entries): it shows UESolDS draws heavily on the same structural-genomics repository (TargetTrack) that the SoluProt test set is built from, so two nominally distinct benchmarks share a large fraction of identical sequences, precisely the hidden train/test overlap that per-model screening is designed to remove. Here the screen is a control rather than a correction: PLM_Sol scored essentially the same on the overlapping and the non-overlapping proteins (AUROC 0.562 vs 0.564), so its weak SoluProt performance is a genuine distribution effect and not a leakage artefact; we nonetheless report only the leak-free subset as the conservative protocol. Proprietary training portions (RP3Net's AstraZeneca data) cannot be screened, but are drug-discovery targets unlikely to overlap these native/structural-genomics sets. This is a near-duplicate screen (≥90% identity); it removes near-identical sequences but not homologs, so residual familiarity between a test set and a model’s broader training distribution cannot be excluded. We therefore also ran a homology-level screen: each eSOL query was clustered with the PSI:Biology training sequences (MMseqs2 easy-cluster, min-seq-id 0.30, coverage 0.5), and a query sharing a cluster with any training sequence was treated as a homolog leak. This removed 256/3,000 eSOL proteins (8.5%), versus 4.06% at the ≥90% near-duplicate threshold; all native-protein comparisons were re-run on the homology-clean subset (n = 1,929 cytoplasmic, §3.1). All screens used a single MMseqs2 build (commit 8cc5ce3); re-running the three near-duplicate screens at maximum sensitivity (-s 7.5) reproduced identical leak sets (eSOL vs RP3Net 4/3,131; SoluProt vs RP3Net 40/3,100; eSOL vs PSI:Biology 127/3,129), confirming the screens are not sensitivity-limited.</w:t>
      </w:r>
    </w:p>
    <w:p>
      <w:pPr>
        <w:pStyle w:val="Heading2"/>
        <w:spacing w:after="100" w:before="200"/>
      </w:pPr>
      <w:r>
        <w:rPr>
          <w:b/>
          <w:bCs/>
        </w:rPr>
        <w:t xml:space="preserve">2.4 Statistical analysis</w:t>
      </w:r>
    </w:p>
    <w:p>
      <w:pPr>
        <w:spacing w:after="160" w:line="276"/>
        <w:jc w:val="both"/>
      </w:pPr>
      <w:r>
        <w:t xml:space="preserve">AUROC via the Mann-Whitney statistic; 95% CIs by case-resampling bootstrap (2,000 resamples). Two predictors on the same proteins were compared by the DeLong test (1988) as the primary significance test and, independently, a paired bootstrap of the AUROC difference as a robustness cross-check (the bootstrap achieved-significance-level cannot resolve p below 1/2,000, so small p-values are reported from DeLong). Significance requires a paired interval excluding zero with concordant DeLong p; “n.s.” is read from an interval spanning zero. Threshold robustness was assessed at 60/70/80%. Predictor scores were used at their native resolution — NetSolP, SWI and ProteinSol as continuous outputs, RP3Net and the composition heuristic as their integer-rescaled score; the coarser binning attenuates the latter two AUROCs by ≤ 0.002 (verified on SoluProt, where RP3Net’s continuous probability gives 0.620 vs 0.619 binned) and changes no ranking or significance verdict. As a threshold-free complement to AUROC on eSOL, we also report Spearman’s ρ between each predictor’s score and the continuous solubility percentage (§3.2). Across the six pre-specified primary comparisons (the homology-clean re-runs in §3.1 are confirmatory robustness checks of the same hypotheses, not additional tests), the significant native-protein findings survive Bonferroni correction over the six tests (NetSolP vs RP3Net and NetSolP vs SWI, adjusted p &lt; 0.005; SWI vs RP3Net, p = 0.006, Bonferroni-adjusted p = 0.036; Holm's step-down is uniformly no more conservative).</w:t>
      </w:r>
    </w:p>
    <w:p>
      <w:pPr>
        <w:pStyle w:val="Heading1"/>
        <w:spacing w:after="140" w:before="280"/>
      </w:pPr>
      <w:r>
        <w:rPr>
          <w:b/>
          <w:bCs/>
        </w:rPr>
        <w:t xml:space="preserve">3. Results</w:t>
      </w:r>
    </w:p>
    <w:p>
      <w:pPr>
        <w:pStyle w:val="Heading2"/>
        <w:spacing w:after="100" w:before="200"/>
      </w:pPr>
      <w:r>
        <w:rPr>
          <w:b/>
          <w:bCs/>
        </w:rPr>
        <w:t xml:space="preserve">3.1 Leakage differs sharply between models</w:t>
      </w:r>
    </w:p>
    <w:p>
      <w:pPr>
        <w:spacing w:after="160" w:line="276"/>
        <w:jc w:val="both"/>
      </w:pPr>
      <w:r>
        <w:t xml:space="preserve">The two deep models had very different overlap with eSOL. Only 0.13% of eSOL matched RP3Net's public training, but 4.06% matched the PSI:Biology training shared by NetSolP and SWI, a thirty-fold difference that, if ignored, would inflate NetSolP and SWI. We therefore evaluate all native-protein comparisons on the doubly-clean intersection (n = 3,000 scored, 2,154 cytoplasmic). Removing its 127 training proteins lowered NetSolP’s cytoplasmic AUROC only from 0.794 to 0.792, so its standing is not a leakage artefact. The SoluProt leakage screen is reported in §3.4.</w:t>
      </w:r>
    </w:p>
    <w:p>
      <w:pPr>
        <w:spacing w:after="80" w:before="80"/>
        <w:jc w:val="both"/>
      </w:pPr>
      <w:r>
        <w:rPr>
          <w:b/>
          <w:bCs/>
        </w:rPr>
        <w:t xml:space="preserve">Homology-level robustness. </w:t>
      </w:r>
      <w:r>
        <w:t xml:space="preserve">To rule out that NetSolP’s lead reflects residual homology to its PSI:Biology training rather than near-duplicates, we re-ran the native comparisons after homology-level deduplication (MMseqs2 clustering of eSOL with the training set at ≤30% identity; 256/3,000 = 8.5% removed). On the homology-clean cytoplasmic set (n = 1,929) the ordering was unchanged and, if anything, sharper: NetSolP 0.807 (95% CI 0.786–0.828), SWI 0.751 (0.729–0.774), RP3Net 0.714 (0.691–0.736). NetSolP still beat SWI (Δ +0.055; DeLong p = 3.8×10⁻⁵) and RP3Net (Δ +0.093; p = 3.5×10⁻¹¹), and SWI still beat RP3Net (Δ +0.038; p = 0.009); the naive heuristic remained tied with RP3Net (Δ +0.013, p = 0.40). The differences were marginally larger than on the near-duplicate-clean set, so the observed ranking is not an artefact of residual training homology.</w:t>
      </w:r>
    </w:p>
    <w:p>
      <w:pPr>
        <w:pStyle w:val="Heading2"/>
        <w:spacing w:after="100" w:before="200"/>
      </w:pPr>
      <w:r>
        <w:rPr>
          <w:b/>
          <w:bCs/>
        </w:rPr>
        <w:t xml:space="preserve">3.2 On native proteins, two deep models straddle the simple interpretable baselines</w:t>
      </w:r>
    </w:p>
    <w:p>
      <w:pPr>
        <w:spacing w:after="160" w:line="276"/>
        <w:jc w:val="both"/>
      </w:pPr>
      <w:r>
        <w:t xml:space="preserve">On native cytoplasmic eSOL proteins (n = 2,154, doubly leak-free), the two SOTA deep models occupied the two extremes (Fig. 1, Tables 1–2). NetSolP was the single best predictor (AUROC 0.792, 95% CI 0.771–0.812); RP3Net ranked lowest (0.709, 0.686–0.731). Their difference, 0.083 (paired Δ, 95% CI +0.057 to +0.108; DeLong z = 6.12, p &lt; 1e-8; bootstrap below its 1/2,000 resolution), is larger than the gap between any model and any baseline; model choice within “SOTA deep” dominates here.</w:t>
      </w:r>
    </w:p>
    <w:p>
      <w:pPr>
        <w:spacing w:after="160" w:line="276"/>
        <w:jc w:val="both"/>
      </w:pPr>
      <w:r>
        <w:t xml:space="preserve">The two simple interpretable baselines fell between the deep models. SWI (0.745) significantly beat RP3Net (Δ +0.037, 95% CI +0.010 to +0.063; p = 0.006; DeLong p = 0.008) and the naive heuristic (0.725) tied it; yet both baselines were significantly beaten by NetSolP (vs SWI Δ +0.046, p &lt; 0.001; DeLong p = 0.0004). RP3Net thus ranked below a simple published score on native proteins, despite a reported 0.83 on its own prospective set, while a second, equally state-of-the-art deep model topped everything. The headline benchmark did not predict the native-distribution rank.</w:t>
      </w:r>
    </w:p>
    <w:p>
      <w:pPr>
        <w:spacing w:after="160" w:line="276"/>
        <w:jc w:val="both"/>
      </w:pPr>
      <w:r>
        <w:rPr>
          <w:b/>
          <w:bCs/>
        </w:rPr>
        <w:t xml:space="preserve">Threshold-free confirmation. </w:t>
      </w:r>
      <w:r>
        <w:t xml:space="preserve">Because eSOL reports a continuous solubility percentage, we also correlated each predictor's score with the measured solubility directly (Spearman's ρ, no binarisation). The ordering was unchanged: ρ = 0.54 (NetSolP), 0.46 (SWI), 0.42 (RP3Net) and 0.40 (naive heuristic), so NetSolP's lead and RP3Net's tie with the naive baseline are not artefacts of the 70% cutoff.</w:t>
      </w:r>
    </w:p>
    <w:p>
      <w:pPr>
        <w:spacing w:after="160" w:line="276"/>
        <w:jc w:val="both"/>
      </w:pPr>
      <w:r>
        <w:rPr>
          <w:b/>
          <w:bCs/>
        </w:rPr>
        <w:t xml:space="preserve">Heuristic ablation. </w:t>
      </w:r>
      <w:r>
        <w:t xml:space="preserve">The full in-house heuristic (with MW/pI terms fit to eSOL) reaches 0.787 (95% CI 0.767–0.806) on the same leak-free set, but an ablation attributes +0.062 of that to the eSOL-fit terms; the eSOL-naive variant (0.725) is therefore used throughout and the full variant’s number is not claimed.</w:t>
      </w:r>
    </w:p>
    <w:p>
      <w:pPr>
        <w:pStyle w:val="Heading2"/>
        <w:spacing w:after="100" w:before="200"/>
      </w:pPr>
      <w:r>
        <w:rPr>
          <w:b/>
          <w:bCs/>
        </w:rPr>
        <w:t xml:space="preserve">3.3 On heterologous proteins, the deep models agree and lead</w:t>
      </w:r>
    </w:p>
    <w:p>
      <w:pPr>
        <w:spacing w:after="160" w:line="276"/>
        <w:jc w:val="both"/>
      </w:pPr>
      <w:r>
        <w:t xml:space="preserve">On the heterologous SoluProt test set (leak-free, n = 3,060) the picture inverted: the two deep models clustered at the top and were statistically indistinguishable from each other (NetSolP 0.633, 0.612–0.652; RP3Net 0.619, 0.599–0.640; paired Δ +0.014, p = 0.23), both numerically above the simple baselines (SWI 0.598; naive heuristic 0.581). Only NetSolP significantly exceeded SWI here (Δ +0.035, p ≈ 0.002); RP3Net significantly beat the naive heuristic (Δ +0.038, p = 0.005) but was indistinguishable from SWI (Δ +0.021, p = 0.073), and all four AUROCs lie in a narrow 0.58–0.63 band where no predictor is strongly discriminative. On this harder distribution, then, the deep models behaved alike and led numerically, the opposite of their wide divergence on native proteins.</w:t>
      </w:r>
    </w:p>
    <w:p>
      <w:pPr>
        <w:spacing w:after="160" w:line="276"/>
        <w:jc w:val="both"/>
      </w:pPr>
      <w:r>
        <w:t xml:space="preserve">A third predictor sharpened the distribution effect. ProteinSol, calibrated on native eSOL, dropped to AUROC 0.542 (95% CI 0.521–0.562) on the heterologous SoluProt set (leak-free, n = 2,937), near chance, and significantly below both deep models (vs RP3Net Δ −0.078; vs NetSolP Δ −0.088; both p &lt; 0.0001) and below both simple baselines. A tool calibrated on one distribution was thus nearly uninformative on the other, the mirror image of RP3Net (strong on its own benchmark, weakest on native proteins).</w:t>
      </w:r>
    </w:p>
    <w:p>
      <w:pPr>
        <w:spacing w:after="160" w:line="276"/>
        <w:jc w:val="both"/>
      </w:pPr>
      <w:r>
        <w:rPr>
          <w:b/>
          <w:bCs/>
        </w:rPr>
        <w:t xml:space="preserve">A third deep model breaks with the others. </w:t>
      </w:r>
      <w:r>
        <w:t xml:space="preserve">Not every language-model predictor tracked the two leading deep models here. PLM_Sol (ProtT5; Zhang et al., 2024), which reports AUROC ≈ 0.83 on its own updated-eSOL benchmark and whose pipeline we reproduced exactly on that benchmark (0.834, our re-run), fell to AUROC 0.564 (95% CI 0.539–0.589) on the leak-free SoluProt set (n = 1,994, after removing the 35.68% of SoluProt that was near-identical to its UESolDS training data, the largest training overlap of any model here). Critically, this overlap did not inflate the score: PLM_Sol performed identically on the 1,106 overlapping proteins (0.562) and the 1,994 non-overlapping ones (0.564), so the low value is a genuine distribution effect, not memorised training labels; the leakage screen is a control here, not the cause of the collapse. At 0.564 PLM_Sol ranked below every other predictor, including both simple baselines, and was statistically indistinguishable from the naive composition heuristic (paired Δ −0.022, DeLong p = 0.15) and from ProteinSol (Δ +0.010, p = 0.49). It was significantly beaten by NetSolP (Δ −0.056, p = 0.0004), SWI (Δ −0.040, p = 0.009) and RP3Net (Δ −0.036, p = 0.02) on the shared proteins (n = 1,969; ProteinSol comparison n = 1,907). A ~0.83-benchmark model thus collapsed to its own naive floor on an independent distribution, the sharpest single instance in this study of a headline AUROC failing to predict generalisation.</w:t>
      </w:r>
    </w:p>
    <w:p>
      <w:pPr>
        <w:pStyle w:val="Heading2"/>
        <w:spacing w:after="100" w:before="200"/>
      </w:pPr>
      <w:r>
        <w:rPr>
          <w:b/>
          <w:bCs/>
        </w:rPr>
        <w:t xml:space="preserve">3.4 Threshold robustness and SoluProt leakage</w:t>
      </w:r>
    </w:p>
    <w:p>
      <w:pPr>
        <w:spacing w:after="160" w:line="276"/>
        <w:jc w:val="both"/>
      </w:pPr>
      <w:r>
        <w:t xml:space="preserve">Re-binarising eSOL at 60/70/80% left the cytoplasmic ordering unchanged (Fig. 2). The SoluProt–RP3Net leakage screen removed 40/3,100 (1.29%) training-overlapping proteins; this lowered RP3Net’s SoluProt AUROC from 0.621 to 0.619 and turned its nominally significant edge over SWI on the full set (p = 0.044) into a non-significant one leak-free (p = 0.073), a concrete illustration that even 1–2% overlap must be removed before reporting marginal differences.</w:t>
      </w:r>
    </w:p>
    <w:p>
      <w:pPr>
        <w:pStyle w:val="Heading2"/>
        <w:spacing w:after="100" w:before="200"/>
      </w:pPr>
      <w:r>
        <w:rPr>
          <w:b/>
          <w:bCs/>
        </w:rPr>
        <w:t xml:space="preserve">3.5 Out-of-domain compartments</w:t>
      </w:r>
    </w:p>
    <w:p>
      <w:pPr>
        <w:spacing w:after="160" w:line="276"/>
        <w:jc w:val="both"/>
      </w:pPr>
      <w:r>
        <w:t xml:space="preserve">Membrane and periplasmic eSOL proteins are out of domain for cytoplasmic-expression solubility; all predictors behave irregularly there (wide CIs, no consistent ordering) and we draw no conclusions from these subsets (Table 1).</w:t>
      </w:r>
    </w:p>
    <w:p>
      <w:pPr>
        <w:spacing w:after="60" w:before="120"/>
        <w:jc w:val="center"/>
      </w:pPr>
      <w:r>
        <w:drawing>
          <wp:inline distT="0" distB="0" distL="0" distR="0">
            <wp:extent cx="4762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333625"/>
                    </a:xfrm>
                    <a:prstGeom prst="rect">
                      <a:avLst/>
                    </a:prstGeom>
                  </pic:spPr>
                </pic:pic>
              </a:graphicData>
            </a:graphic>
          </wp:inline>
        </w:drawing>
      </w:r>
    </w:p>
    <w:p>
      <w:pPr>
        <w:spacing w:after="200"/>
        <w:jc w:val="left"/>
      </w:pPr>
      <w:r>
        <w:rPr>
          <w:b/>
          <w:bCs/>
        </w:rPr>
        <w:t xml:space="preserve">Figure 1. </w:t>
      </w:r>
      <w:r>
        <w:rPr>
          <w:sz w:val="18"/>
          <w:szCs w:val="18"/>
        </w:rPr>
        <w:t xml:space="preserve">AUROC (95% CI), all leak-free. Left: on native cytoplasmic eSOL proteins the two deep models (orange) occupy the extremes (NetSolP best 0.792, RP3Net worst 0.709), straddling the two simple interpretable baselines (blue: SWI 0.745, naive heuristic 0.725); SWI significantly beats RP3Net (p = 0.006). Right: on heterologous SoluProt proteins the two leading deep models lead and agree (n.s.), both above the baselines. ProteinSol (purple, calibrated on native eSOL) collapses to near-chance (0.542) on this heterologous set, and PLM_Sol (dark red, ProtT5; n = 1,994 after removing its 35.7% training overlap) falls to 0.564, below every baseline despite ≈ 0.83 on its own benchmark.</w:t>
      </w:r>
    </w:p>
    <w:p>
      <w:pPr>
        <w:pStyle w:val="Heading2"/>
        <w:spacing w:after="100" w:before="200"/>
      </w:pPr>
      <w:r>
        <w:rPr>
          <w:b/>
          <w:bCs/>
        </w:rPr>
        <w:t xml:space="preserve">Table 1. AUROC [95% CI] by dataset and predictor (leak-free)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150"/>
        <w:gridCol w:w="650"/>
        <w:gridCol w:w="1525"/>
        <w:gridCol w:w="1525"/>
        <w:gridCol w:w="1525"/>
        <w:gridCol w:w="1525"/>
      </w:tblGrid>
      <w:tr>
        <w:trPr>
          <w:tblHeader/>
        </w:trPr>
        <w:tc>
          <w:tcPr>
            <w:tcW w:type="dxa" w:w="215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8"/>
                <w:szCs w:val="18"/>
              </w:rPr>
              <w:t xml:space="preserve">Dataset / subset</w:t>
            </w:r>
          </w:p>
        </w:tc>
        <w:tc>
          <w:tcPr>
            <w:tcW w:type="dxa" w:w="65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8"/>
                <w:szCs w:val="18"/>
              </w:rPr>
              <w:t xml:space="preserve">n</w:t>
            </w:r>
          </w:p>
        </w:tc>
        <w:tc>
          <w:tcPr>
            <w:tcW w:type="dxa" w:w="1525"/>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8"/>
                <w:szCs w:val="18"/>
              </w:rPr>
              <w:t xml:space="preserve">NetSolP (deep)</w:t>
            </w:r>
          </w:p>
        </w:tc>
        <w:tc>
          <w:tcPr>
            <w:tcW w:type="dxa" w:w="1525"/>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8"/>
                <w:szCs w:val="18"/>
              </w:rPr>
              <w:t xml:space="preserve">RP3Net (deep)</w:t>
            </w:r>
          </w:p>
        </w:tc>
        <w:tc>
          <w:tcPr>
            <w:tcW w:type="dxa" w:w="1525"/>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8"/>
                <w:szCs w:val="18"/>
              </w:rPr>
              <w:t xml:space="preserve">SWI (simple)</w:t>
            </w:r>
          </w:p>
        </w:tc>
        <w:tc>
          <w:tcPr>
            <w:tcW w:type="dxa" w:w="1525"/>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8"/>
                <w:szCs w:val="18"/>
              </w:rPr>
              <w:t xml:space="preserve">Heuristic (naive)</w:t>
            </w:r>
          </w:p>
        </w:tc>
      </w:tr>
      <w:tr>
        <w:tc>
          <w:tcPr>
            <w:tcW w:type="dxa" w:w="215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tcPr>
          <w:p>
            <w:pPr>
              <w:jc w:val="left"/>
            </w:pPr>
            <w:r>
              <w:rPr>
                <w:b/>
                <w:bCs/>
                <w:sz w:val="18"/>
                <w:szCs w:val="18"/>
              </w:rPr>
              <w:t xml:space="preserve">eSOL cytoplasmic (native)</w:t>
            </w:r>
          </w:p>
        </w:tc>
        <w:tc>
          <w:tcPr>
            <w:tcW w:type="dxa" w:w="65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tcPr>
          <w:p>
            <w:pPr>
              <w:jc w:val="center"/>
            </w:pPr>
            <w:r>
              <w:rPr>
                <w:b/>
                <w:bCs/>
                <w:sz w:val="18"/>
                <w:szCs w:val="18"/>
              </w:rPr>
              <w:t xml:space="preserve">2,154</w:t>
            </w:r>
          </w:p>
        </w:tc>
        <w:tc>
          <w:tcPr>
            <w:tcW w:type="dxa" w:w="1525"/>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tcPr>
          <w:p>
            <w:pPr>
              <w:jc w:val="center"/>
            </w:pPr>
            <w:r>
              <w:rPr>
                <w:b/>
                <w:bCs/>
                <w:sz w:val="18"/>
                <w:szCs w:val="18"/>
              </w:rPr>
              <w:t xml:space="preserve">0.792 [0.771–0.812]</w:t>
            </w:r>
          </w:p>
        </w:tc>
        <w:tc>
          <w:tcPr>
            <w:tcW w:type="dxa" w:w="1525"/>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tcPr>
          <w:p>
            <w:pPr>
              <w:jc w:val="center"/>
            </w:pPr>
            <w:r>
              <w:rPr>
                <w:b/>
                <w:bCs/>
                <w:sz w:val="18"/>
                <w:szCs w:val="18"/>
              </w:rPr>
              <w:t xml:space="preserve">0.709 [0.686–0.731]</w:t>
            </w:r>
          </w:p>
        </w:tc>
        <w:tc>
          <w:tcPr>
            <w:tcW w:type="dxa" w:w="1525"/>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tcPr>
          <w:p>
            <w:pPr>
              <w:jc w:val="center"/>
            </w:pPr>
            <w:r>
              <w:rPr>
                <w:b/>
                <w:bCs/>
                <w:sz w:val="18"/>
                <w:szCs w:val="18"/>
              </w:rPr>
              <w:t xml:space="preserve">0.745 [0.723–0.767]</w:t>
            </w:r>
          </w:p>
        </w:tc>
        <w:tc>
          <w:tcPr>
            <w:tcW w:type="dxa" w:w="1525"/>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tcPr>
          <w:p>
            <w:pPr>
              <w:jc w:val="center"/>
            </w:pPr>
            <w:r>
              <w:rPr>
                <w:b/>
                <w:bCs/>
                <w:sz w:val="18"/>
                <w:szCs w:val="18"/>
              </w:rPr>
              <w:t xml:space="preserve">0.725 [0.702–0.746]</w:t>
            </w:r>
          </w:p>
        </w:tc>
      </w:tr>
      <w:tr>
        <w:tc>
          <w:tcPr>
            <w:tcW w:type="dxa" w:w="21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eSOL all compartments</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3,000</w:t>
            </w:r>
          </w:p>
        </w:tc>
        <w:tc>
          <w:tcPr>
            <w:tcW w:type="dxa" w:w="1525"/>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0.767 [0.749–0.785]</w:t>
            </w:r>
          </w:p>
        </w:tc>
        <w:tc>
          <w:tcPr>
            <w:tcW w:type="dxa" w:w="1525"/>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w:t>
            </w:r>
          </w:p>
        </w:tc>
        <w:tc>
          <w:tcPr>
            <w:tcW w:type="dxa" w:w="1525"/>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0.762 [0.744–0.780]</w:t>
            </w:r>
          </w:p>
        </w:tc>
        <w:tc>
          <w:tcPr>
            <w:tcW w:type="dxa" w:w="1525"/>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0.731 [0.711–0.750]</w:t>
            </w:r>
          </w:p>
        </w:tc>
      </w:tr>
      <w:tr>
        <w:tc>
          <w:tcPr>
            <w:tcW w:type="dxa" w:w="21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eSOL membrane (OOD)</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561</w:t>
            </w:r>
          </w:p>
        </w:tc>
        <w:tc>
          <w:tcPr>
            <w:tcW w:type="dxa" w:w="1525"/>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0.686 [0.604–0.764]</w:t>
            </w:r>
          </w:p>
        </w:tc>
        <w:tc>
          <w:tcPr>
            <w:tcW w:type="dxa" w:w="1525"/>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w:t>
            </w:r>
          </w:p>
        </w:tc>
        <w:tc>
          <w:tcPr>
            <w:tcW w:type="dxa" w:w="1525"/>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0.720 [0.640–0.792]</w:t>
            </w:r>
          </w:p>
        </w:tc>
        <w:tc>
          <w:tcPr>
            <w:tcW w:type="dxa" w:w="1525"/>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0.670 [0.599–0.740]</w:t>
            </w:r>
          </w:p>
        </w:tc>
      </w:tr>
      <w:tr>
        <w:tc>
          <w:tcPr>
            <w:tcW w:type="dxa" w:w="21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eSOL periplasmic (OOD)</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285</w:t>
            </w:r>
          </w:p>
        </w:tc>
        <w:tc>
          <w:tcPr>
            <w:tcW w:type="dxa" w:w="1525"/>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0.699 [0.631–0.766]</w:t>
            </w:r>
          </w:p>
        </w:tc>
        <w:tc>
          <w:tcPr>
            <w:tcW w:type="dxa" w:w="1525"/>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w:t>
            </w:r>
          </w:p>
        </w:tc>
        <w:tc>
          <w:tcPr>
            <w:tcW w:type="dxa" w:w="1525"/>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0.734 [0.668–0.796]</w:t>
            </w:r>
          </w:p>
        </w:tc>
        <w:tc>
          <w:tcPr>
            <w:tcW w:type="dxa" w:w="1525"/>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0.667 [0.597–0.733]</w:t>
            </w:r>
          </w:p>
        </w:tc>
      </w:tr>
      <w:tr>
        <w:tc>
          <w:tcPr>
            <w:tcW w:type="dxa" w:w="215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tcPr>
          <w:p>
            <w:pPr>
              <w:jc w:val="left"/>
            </w:pPr>
            <w:r>
              <w:rPr>
                <w:b/>
                <w:bCs/>
                <w:sz w:val="18"/>
                <w:szCs w:val="18"/>
              </w:rPr>
              <w:t xml:space="preserve">SoluProt (heterologous)</w:t>
            </w:r>
          </w:p>
        </w:tc>
        <w:tc>
          <w:tcPr>
            <w:tcW w:type="dxa" w:w="65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tcPr>
          <w:p>
            <w:pPr>
              <w:jc w:val="center"/>
            </w:pPr>
            <w:r>
              <w:rPr>
                <w:b/>
                <w:bCs/>
                <w:sz w:val="18"/>
                <w:szCs w:val="18"/>
              </w:rPr>
              <w:t xml:space="preserve">3,060</w:t>
            </w:r>
          </w:p>
        </w:tc>
        <w:tc>
          <w:tcPr>
            <w:tcW w:type="dxa" w:w="1525"/>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tcPr>
          <w:p>
            <w:pPr>
              <w:jc w:val="center"/>
            </w:pPr>
            <w:r>
              <w:rPr>
                <w:b/>
                <w:bCs/>
                <w:sz w:val="18"/>
                <w:szCs w:val="18"/>
              </w:rPr>
              <w:t xml:space="preserve">0.633 [0.612–0.652]</w:t>
            </w:r>
          </w:p>
        </w:tc>
        <w:tc>
          <w:tcPr>
            <w:tcW w:type="dxa" w:w="1525"/>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tcPr>
          <w:p>
            <w:pPr>
              <w:jc w:val="center"/>
            </w:pPr>
            <w:r>
              <w:rPr>
                <w:b/>
                <w:bCs/>
                <w:sz w:val="18"/>
                <w:szCs w:val="18"/>
              </w:rPr>
              <w:t xml:space="preserve">0.619 [0.599–0.640]</w:t>
            </w:r>
          </w:p>
        </w:tc>
        <w:tc>
          <w:tcPr>
            <w:tcW w:type="dxa" w:w="1525"/>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tcPr>
          <w:p>
            <w:pPr>
              <w:jc w:val="center"/>
            </w:pPr>
            <w:r>
              <w:rPr>
                <w:b/>
                <w:bCs/>
                <w:sz w:val="18"/>
                <w:szCs w:val="18"/>
              </w:rPr>
              <w:t xml:space="preserve">0.598 [0.578–0.617]</w:t>
            </w:r>
          </w:p>
        </w:tc>
        <w:tc>
          <w:tcPr>
            <w:tcW w:type="dxa" w:w="1525"/>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tcPr>
          <w:p>
            <w:pPr>
              <w:jc w:val="center"/>
            </w:pPr>
            <w:r>
              <w:rPr>
                <w:b/>
                <w:bCs/>
                <w:sz w:val="18"/>
                <w:szCs w:val="18"/>
              </w:rPr>
              <w:t xml:space="preserve">0.581 [0.562–0.601]</w:t>
            </w:r>
          </w:p>
        </w:tc>
      </w:tr>
    </w:tbl>
    <w:p>
      <w:pPr>
        <w:spacing w:after="200" w:before="80"/>
        <w:jc w:val="both"/>
      </w:pPr>
      <w:r>
        <w:rPr>
          <w:i/>
          <w:iCs/>
        </w:rPr>
        <w:t xml:space="preserve">Native (eSOL) rows use the doubly leak-free intersection (RP3Net-clean ∩ PSI:Biology-clean). The full in-house heuristic (MW/pI fit to eSOL; 0.787 [0.767–0.806] cytoplasmic on the same set) is omitted from the columns as partly circular; the naive variant is shown. *RP3Net all-compartment / OOD values omitted on the PSI-clean set for brevity; cytoplasmic is the reported comparison. 95% CIs: 2,000 bootstrap resamples. ProteinSol (eSOL-calibrated; Hebditch 2017) is evaluated only on SoluProt (eSOL-dedup, n = 2,937): AUROC 0.542 [0.521–0.562], near chance; omitted from the columns as it is circular on eSOL. PLM_Sol (ProtT5; Zhang 2024) is evaluated only on SoluProt after removing its 35.68% training overlap (n = 1,994): AUROC 0.564 [0.539–0.589], below every other predictor despite ≈ 0.83 on its own benchmark; omitted from the columns as it is circular on the eSOL-superset UESolDS and uses a different leak-free n.</w:t>
      </w:r>
    </w:p>
    <w:p>
      <w:pPr>
        <w:pStyle w:val="Heading2"/>
        <w:spacing w:after="100" w:before="200"/>
      </w:pPr>
      <w:r>
        <w:rPr>
          <w:b/>
          <w:bCs/>
        </w:rPr>
        <w:t xml:space="preserve">Table 2. Paired comparisons on shared proteins (leak-free)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2400"/>
        <w:gridCol w:w="1300"/>
        <w:gridCol w:w="1100"/>
      </w:tblGrid>
      <w:tr>
        <w:trPr>
          <w:tblHeader/>
        </w:trPr>
        <w:tc>
          <w:tcPr>
            <w:tcW w:type="dxa" w:w="33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8"/>
                <w:szCs w:val="18"/>
              </w:rPr>
              <w:t xml:space="preserve">Comparison (paired, same proteins)</w:t>
            </w:r>
          </w:p>
        </w:tc>
        <w:tc>
          <w:tcPr>
            <w:tcW w:type="dxa" w:w="9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8"/>
                <w:szCs w:val="18"/>
              </w:rPr>
              <w:t xml:space="preserve">n</w:t>
            </w:r>
          </w:p>
        </w:tc>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8"/>
                <w:szCs w:val="18"/>
              </w:rPr>
              <w:t xml:space="preserve">ΔAUROC [95% CI]</w:t>
            </w:r>
          </w:p>
        </w:tc>
        <w:tc>
          <w:tcPr>
            <w:tcW w:type="dxa" w:w="13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8"/>
                <w:szCs w:val="18"/>
              </w:rPr>
              <w:t xml:space="preserve">p (boot/DeLong)</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8"/>
                <w:szCs w:val="18"/>
              </w:rPr>
              <w:t xml:space="preserve">Verdict</w:t>
            </w:r>
          </w:p>
        </w:tc>
      </w:tr>
      <w:tr>
        <w:tc>
          <w:tcPr>
            <w:tcW w:type="dxa" w:w="3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tcPr>
          <w:p>
            <w:pPr>
              <w:jc w:val="left"/>
            </w:pPr>
            <w:r>
              <w:rPr>
                <w:b/>
                <w:bCs/>
                <w:sz w:val="18"/>
                <w:szCs w:val="18"/>
              </w:rPr>
              <w:t xml:space="preserve">eSOL: NetSolP vs RP3Net</w:t>
            </w:r>
          </w:p>
        </w:tc>
        <w:tc>
          <w:tcPr>
            <w:tcW w:type="dxa" w:w="9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tcPr>
          <w:p>
            <w:pPr>
              <w:jc w:val="center"/>
            </w:pPr>
            <w:r>
              <w:rPr>
                <w:b/>
                <w:bCs/>
                <w:sz w:val="18"/>
                <w:szCs w:val="18"/>
              </w:rPr>
              <w:t xml:space="preserve">2,154</w:t>
            </w:r>
          </w:p>
        </w:tc>
        <w:tc>
          <w:tcPr>
            <w:tcW w:type="dxa" w:w="24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tcPr>
          <w:p>
            <w:pPr>
              <w:jc w:val="center"/>
            </w:pPr>
            <w:r>
              <w:rPr>
                <w:b/>
                <w:bCs/>
                <w:sz w:val="18"/>
                <w:szCs w:val="18"/>
              </w:rPr>
              <w:t xml:space="preserve">+0.083 [+0.057, +0.108]</w:t>
            </w:r>
          </w:p>
        </w:tc>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tcPr>
          <w:p>
            <w:pPr>
              <w:jc w:val="center"/>
            </w:pPr>
            <w:r>
              <w:rPr>
                <w:b/>
                <w:bCs/>
                <w:sz w:val="18"/>
                <w:szCs w:val="18"/>
              </w:rPr>
              <w:t xml:space="preserve">&lt;0.001 (DeLong &lt;1e-8)</w:t>
            </w:r>
          </w:p>
        </w:tc>
        <w:tc>
          <w:tcPr>
            <w:tcW w:type="dxa" w:w="11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tcPr>
          <w:p>
            <w:pPr>
              <w:jc w:val="center"/>
            </w:pPr>
            <w:r>
              <w:rPr>
                <w:b/>
                <w:bCs/>
                <w:sz w:val="18"/>
                <w:szCs w:val="18"/>
              </w:rPr>
              <w:t xml:space="preserve">NetSolP ≫ RP3Net</w:t>
            </w:r>
          </w:p>
        </w:tc>
      </w:tr>
      <w:tr>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eSOL: NetSolP vs SWI</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2,154</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+0.046 [+0.022, +0.070]</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&lt;0.001 / 0.0004</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NetSolP wins</w:t>
            </w:r>
          </w:p>
        </w:tc>
      </w:tr>
      <w:tr>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eSOL: SWI vs RP3Net</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2,154</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+0.037 [+0.010, +0.063]</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0.006 / 0.008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SWI &gt; RP3Net</w:t>
            </w:r>
          </w:p>
        </w:tc>
      </w:tr>
      <w:tr>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eSOL: naive heuristic vs RP3Net</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2,154</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+0.016 [−0.012, +0.045]</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0.26 / 0.27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indistinguishable</w:t>
            </w:r>
          </w:p>
        </w:tc>
      </w:tr>
      <w:tr>
        <w:tc>
          <w:tcPr>
            <w:tcW w:type="dxa" w:w="3300"/>
            <w:tcBorders>
              <w:top w:val="single" w:color="BBBBBB" w:sz="1"/>
              <w:left w:val="single" w:color="BBBBBB" w:sz="1"/>
              <w:bottom w:val="single" w:color="BBBBBB" w:sz="1"/>
              <w:right w:val="single" w:color="BBBBBB" w:sz="1"/>
            </w:tcBorders>
            <w:shd w:fill="FBEEE6" w:val="clear"/>
            <w:tcMar>
              <w:top w:type="dxa" w:w="60"/>
              <w:left w:type="dxa" w:w="100"/>
              <w:bottom w:type="dxa" w:w="60"/>
              <w:right w:type="dxa" w:w="100"/>
            </w:tcMar>
          </w:tcPr>
          <w:p>
            <w:pPr>
              <w:jc w:val="left"/>
            </w:pPr>
            <w:r>
              <w:rPr>
                <w:b w:val="false"/>
                <w:bCs w:val="false"/>
                <w:sz w:val="18"/>
                <w:szCs w:val="18"/>
              </w:rPr>
              <w:t xml:space="preserve">SoluProt: NetSolP vs RP3Net</w:t>
            </w:r>
          </w:p>
        </w:tc>
        <w:tc>
          <w:tcPr>
            <w:tcW w:type="dxa" w:w="900"/>
            <w:tcBorders>
              <w:top w:val="single" w:color="BBBBBB" w:sz="1"/>
              <w:left w:val="single" w:color="BBBBBB" w:sz="1"/>
              <w:bottom w:val="single" w:color="BBBBBB" w:sz="1"/>
              <w:right w:val="single" w:color="BBBBBB" w:sz="1"/>
            </w:tcBorders>
            <w:shd w:fill="FBEEE6" w:val="clear"/>
            <w:tcMar>
              <w:top w:type="dxa" w:w="60"/>
              <w:left w:type="dxa" w:w="100"/>
              <w:bottom w:type="dxa" w:w="60"/>
              <w:right w:type="dxa" w:w="100"/>
            </w:tcMar>
          </w:tcPr>
          <w:p>
            <w:pPr>
              <w:jc w:val="center"/>
            </w:pPr>
            <w:r>
              <w:rPr>
                <w:b w:val="false"/>
                <w:bCs w:val="false"/>
                <w:sz w:val="18"/>
                <w:szCs w:val="18"/>
              </w:rPr>
              <w:t xml:space="preserve">3,060</w:t>
            </w:r>
          </w:p>
        </w:tc>
        <w:tc>
          <w:tcPr>
            <w:tcW w:type="dxa" w:w="2400"/>
            <w:tcBorders>
              <w:top w:val="single" w:color="BBBBBB" w:sz="1"/>
              <w:left w:val="single" w:color="BBBBBB" w:sz="1"/>
              <w:bottom w:val="single" w:color="BBBBBB" w:sz="1"/>
              <w:right w:val="single" w:color="BBBBBB" w:sz="1"/>
            </w:tcBorders>
            <w:shd w:fill="FBEEE6" w:val="clear"/>
            <w:tcMar>
              <w:top w:type="dxa" w:w="60"/>
              <w:left w:type="dxa" w:w="100"/>
              <w:bottom w:type="dxa" w:w="60"/>
              <w:right w:type="dxa" w:w="100"/>
            </w:tcMar>
          </w:tcPr>
          <w:p>
            <w:pPr>
              <w:jc w:val="center"/>
            </w:pPr>
            <w:r>
              <w:rPr>
                <w:b w:val="false"/>
                <w:bCs w:val="false"/>
                <w:sz w:val="18"/>
                <w:szCs w:val="18"/>
              </w:rPr>
              <w:t xml:space="preserve">+0.014 [−0.009, +0.036]</w:t>
            </w:r>
          </w:p>
        </w:tc>
        <w:tc>
          <w:tcPr>
            <w:tcW w:type="dxa" w:w="1300"/>
            <w:tcBorders>
              <w:top w:val="single" w:color="BBBBBB" w:sz="1"/>
              <w:left w:val="single" w:color="BBBBBB" w:sz="1"/>
              <w:bottom w:val="single" w:color="BBBBBB" w:sz="1"/>
              <w:right w:val="single" w:color="BBBBBB" w:sz="1"/>
            </w:tcBorders>
            <w:shd w:fill="FBEEE6" w:val="clear"/>
            <w:tcMar>
              <w:top w:type="dxa" w:w="60"/>
              <w:left w:type="dxa" w:w="100"/>
              <w:bottom w:type="dxa" w:w="60"/>
              <w:right w:type="dxa" w:w="100"/>
            </w:tcMar>
          </w:tcPr>
          <w:p>
            <w:pPr>
              <w:jc w:val="center"/>
            </w:pPr>
            <w:r>
              <w:rPr>
                <w:b w:val="false"/>
                <w:bCs w:val="false"/>
                <w:sz w:val="18"/>
                <w:szCs w:val="18"/>
              </w:rPr>
              <w:t xml:space="preserve">0.23 / 0.24</w:t>
            </w:r>
          </w:p>
        </w:tc>
        <w:tc>
          <w:tcPr>
            <w:tcW w:type="dxa" w:w="1100"/>
            <w:tcBorders>
              <w:top w:val="single" w:color="BBBBBB" w:sz="1"/>
              <w:left w:val="single" w:color="BBBBBB" w:sz="1"/>
              <w:bottom w:val="single" w:color="BBBBBB" w:sz="1"/>
              <w:right w:val="single" w:color="BBBBBB" w:sz="1"/>
            </w:tcBorders>
            <w:shd w:fill="FBEEE6" w:val="clear"/>
            <w:tcMar>
              <w:top w:type="dxa" w:w="60"/>
              <w:left w:type="dxa" w:w="100"/>
              <w:bottom w:type="dxa" w:w="60"/>
              <w:right w:type="dxa" w:w="100"/>
            </w:tcMar>
          </w:tcPr>
          <w:p>
            <w:pPr>
              <w:jc w:val="center"/>
            </w:pPr>
            <w:r>
              <w:rPr>
                <w:b w:val="false"/>
                <w:bCs w:val="false"/>
                <w:sz w:val="18"/>
                <w:szCs w:val="18"/>
              </w:rPr>
              <w:t xml:space="preserve">indistinguishable</w:t>
            </w:r>
          </w:p>
        </w:tc>
      </w:tr>
      <w:tr>
        <w:tc>
          <w:tcPr>
            <w:tcW w:type="dxa" w:w="3300"/>
            <w:tcBorders>
              <w:top w:val="single" w:color="BBBBBB" w:sz="1"/>
              <w:left w:val="single" w:color="BBBBBB" w:sz="1"/>
              <w:bottom w:val="single" w:color="BBBBBB" w:sz="1"/>
              <w:right w:val="single" w:color="BBBBBB" w:sz="1"/>
            </w:tcBorders>
            <w:shd w:fill="FBEEE6" w:val="clear"/>
            <w:tcMar>
              <w:top w:type="dxa" w:w="60"/>
              <w:left w:type="dxa" w:w="100"/>
              <w:bottom w:type="dxa" w:w="60"/>
              <w:right w:type="dxa" w:w="100"/>
            </w:tcMar>
          </w:tcPr>
          <w:p>
            <w:pPr>
              <w:jc w:val="left"/>
            </w:pPr>
            <w:r>
              <w:rPr>
                <w:b w:val="false"/>
                <w:bCs w:val="false"/>
                <w:sz w:val="18"/>
                <w:szCs w:val="18"/>
              </w:rPr>
              <w:t xml:space="preserve">SoluProt: RP3Net vs naive heuristic</w:t>
            </w:r>
          </w:p>
        </w:tc>
        <w:tc>
          <w:tcPr>
            <w:tcW w:type="dxa" w:w="900"/>
            <w:tcBorders>
              <w:top w:val="single" w:color="BBBBBB" w:sz="1"/>
              <w:left w:val="single" w:color="BBBBBB" w:sz="1"/>
              <w:bottom w:val="single" w:color="BBBBBB" w:sz="1"/>
              <w:right w:val="single" w:color="BBBBBB" w:sz="1"/>
            </w:tcBorders>
            <w:shd w:fill="FBEEE6" w:val="clear"/>
            <w:tcMar>
              <w:top w:type="dxa" w:w="60"/>
              <w:left w:type="dxa" w:w="100"/>
              <w:bottom w:type="dxa" w:w="60"/>
              <w:right w:type="dxa" w:w="100"/>
            </w:tcMar>
          </w:tcPr>
          <w:p>
            <w:pPr>
              <w:jc w:val="center"/>
            </w:pPr>
            <w:r>
              <w:rPr>
                <w:b w:val="false"/>
                <w:bCs w:val="false"/>
                <w:sz w:val="18"/>
                <w:szCs w:val="18"/>
              </w:rPr>
              <w:t xml:space="preserve">3,060</w:t>
            </w:r>
          </w:p>
        </w:tc>
        <w:tc>
          <w:tcPr>
            <w:tcW w:type="dxa" w:w="2400"/>
            <w:tcBorders>
              <w:top w:val="single" w:color="BBBBBB" w:sz="1"/>
              <w:left w:val="single" w:color="BBBBBB" w:sz="1"/>
              <w:bottom w:val="single" w:color="BBBBBB" w:sz="1"/>
              <w:right w:val="single" w:color="BBBBBB" w:sz="1"/>
            </w:tcBorders>
            <w:shd w:fill="FBEEE6" w:val="clear"/>
            <w:tcMar>
              <w:top w:type="dxa" w:w="60"/>
              <w:left w:type="dxa" w:w="100"/>
              <w:bottom w:type="dxa" w:w="60"/>
              <w:right w:type="dxa" w:w="100"/>
            </w:tcMar>
          </w:tcPr>
          <w:p>
            <w:pPr>
              <w:jc w:val="center"/>
            </w:pPr>
            <w:r>
              <w:rPr>
                <w:b w:val="false"/>
                <w:bCs w:val="false"/>
                <w:sz w:val="18"/>
                <w:szCs w:val="18"/>
              </w:rPr>
              <w:t xml:space="preserve">+0.038 [+0.014, +0.062]</w:t>
            </w:r>
          </w:p>
        </w:tc>
        <w:tc>
          <w:tcPr>
            <w:tcW w:type="dxa" w:w="1300"/>
            <w:tcBorders>
              <w:top w:val="single" w:color="BBBBBB" w:sz="1"/>
              <w:left w:val="single" w:color="BBBBBB" w:sz="1"/>
              <w:bottom w:val="single" w:color="BBBBBB" w:sz="1"/>
              <w:right w:val="single" w:color="BBBBBB" w:sz="1"/>
            </w:tcBorders>
            <w:shd w:fill="FBEEE6" w:val="clear"/>
            <w:tcMar>
              <w:top w:type="dxa" w:w="60"/>
              <w:left w:type="dxa" w:w="100"/>
              <w:bottom w:type="dxa" w:w="60"/>
              <w:right w:type="dxa" w:w="100"/>
            </w:tcMar>
          </w:tcPr>
          <w:p>
            <w:pPr>
              <w:jc w:val="center"/>
            </w:pPr>
            <w:r>
              <w:rPr>
                <w:b w:val="false"/>
                <w:bCs w:val="false"/>
                <w:sz w:val="18"/>
                <w:szCs w:val="18"/>
              </w:rPr>
              <w:t xml:space="preserve">0.005 / 0.004</w:t>
            </w:r>
          </w:p>
        </w:tc>
        <w:tc>
          <w:tcPr>
            <w:tcW w:type="dxa" w:w="1100"/>
            <w:tcBorders>
              <w:top w:val="single" w:color="BBBBBB" w:sz="1"/>
              <w:left w:val="single" w:color="BBBBBB" w:sz="1"/>
              <w:bottom w:val="single" w:color="BBBBBB" w:sz="1"/>
              <w:right w:val="single" w:color="BBBBBB" w:sz="1"/>
            </w:tcBorders>
            <w:shd w:fill="FBEEE6" w:val="clear"/>
            <w:tcMar>
              <w:top w:type="dxa" w:w="60"/>
              <w:left w:type="dxa" w:w="100"/>
              <w:bottom w:type="dxa" w:w="60"/>
              <w:right w:type="dxa" w:w="100"/>
            </w:tcMar>
          </w:tcPr>
          <w:p>
            <w:pPr>
              <w:jc w:val="center"/>
            </w:pPr>
            <w:r>
              <w:rPr>
                <w:b w:val="false"/>
                <w:bCs w:val="false"/>
                <w:sz w:val="18"/>
                <w:szCs w:val="18"/>
              </w:rPr>
              <w:t xml:space="preserve">RP3Net wins</w:t>
            </w:r>
          </w:p>
        </w:tc>
      </w:tr>
      <w:tr>
        <w:tc>
          <w:tcPr>
            <w:tcW w:type="dxa" w:w="3300"/>
            <w:tcBorders>
              <w:top w:val="single" w:color="BBBBBB" w:sz="1"/>
              <w:left w:val="single" w:color="BBBBBB" w:sz="1"/>
              <w:bottom w:val="single" w:color="BBBBBB" w:sz="1"/>
              <w:right w:val="single" w:color="BBBBBB" w:sz="1"/>
            </w:tcBorders>
            <w:shd w:fill="FBEEE6" w:val="clear"/>
            <w:tcMar>
              <w:top w:type="dxa" w:w="60"/>
              <w:left w:type="dxa" w:w="100"/>
              <w:bottom w:type="dxa" w:w="60"/>
              <w:right w:type="dxa" w:w="100"/>
            </w:tcMar>
          </w:tcPr>
          <w:p>
            <w:pPr>
              <w:jc w:val="left"/>
            </w:pPr>
            <w:r>
              <w:rPr>
                <w:b w:val="false"/>
                <w:bCs w:val="false"/>
                <w:sz w:val="18"/>
                <w:szCs w:val="18"/>
              </w:rPr>
              <w:t xml:space="preserve">SoluProt: RP3Net vs ProteinSol</w:t>
            </w:r>
          </w:p>
        </w:tc>
        <w:tc>
          <w:tcPr>
            <w:tcW w:type="dxa" w:w="900"/>
            <w:tcBorders>
              <w:top w:val="single" w:color="BBBBBB" w:sz="1"/>
              <w:left w:val="single" w:color="BBBBBB" w:sz="1"/>
              <w:bottom w:val="single" w:color="BBBBBB" w:sz="1"/>
              <w:right w:val="single" w:color="BBBBBB" w:sz="1"/>
            </w:tcBorders>
            <w:shd w:fill="FBEEE6" w:val="clear"/>
            <w:tcMar>
              <w:top w:type="dxa" w:w="60"/>
              <w:left w:type="dxa" w:w="100"/>
              <w:bottom w:type="dxa" w:w="60"/>
              <w:right w:type="dxa" w:w="100"/>
            </w:tcMar>
          </w:tcPr>
          <w:p>
            <w:pPr>
              <w:jc w:val="center"/>
            </w:pPr>
            <w:r>
              <w:rPr>
                <w:b w:val="false"/>
                <w:bCs w:val="false"/>
                <w:sz w:val="18"/>
                <w:szCs w:val="18"/>
              </w:rPr>
              <w:t xml:space="preserve">2,937</w:t>
            </w:r>
          </w:p>
        </w:tc>
        <w:tc>
          <w:tcPr>
            <w:tcW w:type="dxa" w:w="2400"/>
            <w:tcBorders>
              <w:top w:val="single" w:color="BBBBBB" w:sz="1"/>
              <w:left w:val="single" w:color="BBBBBB" w:sz="1"/>
              <w:bottom w:val="single" w:color="BBBBBB" w:sz="1"/>
              <w:right w:val="single" w:color="BBBBBB" w:sz="1"/>
            </w:tcBorders>
            <w:shd w:fill="FBEEE6" w:val="clear"/>
            <w:tcMar>
              <w:top w:type="dxa" w:w="60"/>
              <w:left w:type="dxa" w:w="100"/>
              <w:bottom w:type="dxa" w:w="60"/>
              <w:right w:type="dxa" w:w="100"/>
            </w:tcMar>
          </w:tcPr>
          <w:p>
            <w:pPr>
              <w:jc w:val="center"/>
            </w:pPr>
            <w:r>
              <w:rPr>
                <w:b w:val="false"/>
                <w:bCs w:val="false"/>
                <w:sz w:val="18"/>
                <w:szCs w:val="18"/>
              </w:rPr>
              <w:t xml:space="preserve">+0.078 [+0.051, +0.103]</w:t>
            </w:r>
          </w:p>
        </w:tc>
        <w:tc>
          <w:tcPr>
            <w:tcW w:type="dxa" w:w="1300"/>
            <w:tcBorders>
              <w:top w:val="single" w:color="BBBBBB" w:sz="1"/>
              <w:left w:val="single" w:color="BBBBBB" w:sz="1"/>
              <w:bottom w:val="single" w:color="BBBBBB" w:sz="1"/>
              <w:right w:val="single" w:color="BBBBBB" w:sz="1"/>
            </w:tcBorders>
            <w:shd w:fill="FBEEE6" w:val="clear"/>
            <w:tcMar>
              <w:top w:type="dxa" w:w="60"/>
              <w:left w:type="dxa" w:w="100"/>
              <w:bottom w:type="dxa" w:w="60"/>
              <w:right w:type="dxa" w:w="100"/>
            </w:tcMar>
          </w:tcPr>
          <w:p>
            <w:pPr>
              <w:jc w:val="center"/>
            </w:pPr>
            <w:r>
              <w:rPr>
                <w:b w:val="false"/>
                <w:bCs w:val="false"/>
                <w:sz w:val="18"/>
                <w:szCs w:val="18"/>
              </w:rPr>
              <w:t xml:space="preserve">&lt;0.001 (DeLong &lt;1e-8)</w:t>
            </w:r>
          </w:p>
        </w:tc>
        <w:tc>
          <w:tcPr>
            <w:tcW w:type="dxa" w:w="1100"/>
            <w:tcBorders>
              <w:top w:val="single" w:color="BBBBBB" w:sz="1"/>
              <w:left w:val="single" w:color="BBBBBB" w:sz="1"/>
              <w:bottom w:val="single" w:color="BBBBBB" w:sz="1"/>
              <w:right w:val="single" w:color="BBBBBB" w:sz="1"/>
            </w:tcBorders>
            <w:shd w:fill="FBEEE6" w:val="clear"/>
            <w:tcMar>
              <w:top w:type="dxa" w:w="60"/>
              <w:left w:type="dxa" w:w="100"/>
              <w:bottom w:type="dxa" w:w="60"/>
              <w:right w:type="dxa" w:w="100"/>
            </w:tcMar>
          </w:tcPr>
          <w:p>
            <w:pPr>
              <w:jc w:val="center"/>
            </w:pPr>
            <w:r>
              <w:rPr>
                <w:b w:val="false"/>
                <w:bCs w:val="false"/>
                <w:sz w:val="18"/>
                <w:szCs w:val="18"/>
              </w:rPr>
              <w:t xml:space="preserve">RP3Net ≫ ProteinSol</w:t>
            </w:r>
          </w:p>
        </w:tc>
      </w:tr>
      <w:tr>
        <w:tc>
          <w:tcPr>
            <w:tcW w:type="dxa" w:w="3300"/>
            <w:tcBorders>
              <w:top w:val="single" w:color="BBBBBB" w:sz="1"/>
              <w:left w:val="single" w:color="BBBBBB" w:sz="1"/>
              <w:bottom w:val="single" w:color="BBBBBB" w:sz="1"/>
              <w:right w:val="single" w:color="BBBBBB" w:sz="1"/>
            </w:tcBorders>
            <w:shd w:fill="FBEEE6" w:val="clear"/>
            <w:tcMar>
              <w:top w:type="dxa" w:w="60"/>
              <w:left w:type="dxa" w:w="100"/>
              <w:bottom w:type="dxa" w:w="60"/>
              <w:right w:type="dxa" w:w="100"/>
            </w:tcMar>
          </w:tcPr>
          <w:p>
            <w:pPr>
              <w:jc w:val="left"/>
            </w:pPr>
            <w:r>
              <w:rPr>
                <w:b w:val="false"/>
                <w:bCs w:val="false"/>
                <w:sz w:val="18"/>
                <w:szCs w:val="18"/>
              </w:rPr>
              <w:t xml:space="preserve">SoluProt: NetSolP vs ProteinSol</w:t>
            </w:r>
          </w:p>
        </w:tc>
        <w:tc>
          <w:tcPr>
            <w:tcW w:type="dxa" w:w="900"/>
            <w:tcBorders>
              <w:top w:val="single" w:color="BBBBBB" w:sz="1"/>
              <w:left w:val="single" w:color="BBBBBB" w:sz="1"/>
              <w:bottom w:val="single" w:color="BBBBBB" w:sz="1"/>
              <w:right w:val="single" w:color="BBBBBB" w:sz="1"/>
            </w:tcBorders>
            <w:shd w:fill="FBEEE6" w:val="clear"/>
            <w:tcMar>
              <w:top w:type="dxa" w:w="60"/>
              <w:left w:type="dxa" w:w="100"/>
              <w:bottom w:type="dxa" w:w="60"/>
              <w:right w:type="dxa" w:w="100"/>
            </w:tcMar>
          </w:tcPr>
          <w:p>
            <w:pPr>
              <w:jc w:val="center"/>
            </w:pPr>
            <w:r>
              <w:rPr>
                <w:b w:val="false"/>
                <w:bCs w:val="false"/>
                <w:sz w:val="18"/>
                <w:szCs w:val="18"/>
              </w:rPr>
              <w:t xml:space="preserve">2,937</w:t>
            </w:r>
          </w:p>
        </w:tc>
        <w:tc>
          <w:tcPr>
            <w:tcW w:type="dxa" w:w="2400"/>
            <w:tcBorders>
              <w:top w:val="single" w:color="BBBBBB" w:sz="1"/>
              <w:left w:val="single" w:color="BBBBBB" w:sz="1"/>
              <w:bottom w:val="single" w:color="BBBBBB" w:sz="1"/>
              <w:right w:val="single" w:color="BBBBBB" w:sz="1"/>
            </w:tcBorders>
            <w:shd w:fill="FBEEE6" w:val="clear"/>
            <w:tcMar>
              <w:top w:type="dxa" w:w="60"/>
              <w:left w:type="dxa" w:w="100"/>
              <w:bottom w:type="dxa" w:w="60"/>
              <w:right w:type="dxa" w:w="100"/>
            </w:tcMar>
          </w:tcPr>
          <w:p>
            <w:pPr>
              <w:jc w:val="center"/>
            </w:pPr>
            <w:r>
              <w:rPr>
                <w:b w:val="false"/>
                <w:bCs w:val="false"/>
                <w:sz w:val="18"/>
                <w:szCs w:val="18"/>
              </w:rPr>
              <w:t xml:space="preserve">+0.088 [+0.068, +0.109]</w:t>
            </w:r>
          </w:p>
        </w:tc>
        <w:tc>
          <w:tcPr>
            <w:tcW w:type="dxa" w:w="1300"/>
            <w:tcBorders>
              <w:top w:val="single" w:color="BBBBBB" w:sz="1"/>
              <w:left w:val="single" w:color="BBBBBB" w:sz="1"/>
              <w:bottom w:val="single" w:color="BBBBBB" w:sz="1"/>
              <w:right w:val="single" w:color="BBBBBB" w:sz="1"/>
            </w:tcBorders>
            <w:shd w:fill="FBEEE6" w:val="clear"/>
            <w:tcMar>
              <w:top w:type="dxa" w:w="60"/>
              <w:left w:type="dxa" w:w="100"/>
              <w:bottom w:type="dxa" w:w="60"/>
              <w:right w:type="dxa" w:w="100"/>
            </w:tcMar>
          </w:tcPr>
          <w:p>
            <w:pPr>
              <w:jc w:val="center"/>
            </w:pPr>
            <w:r>
              <w:rPr>
                <w:b w:val="false"/>
                <w:bCs w:val="false"/>
                <w:sz w:val="18"/>
                <w:szCs w:val="18"/>
              </w:rPr>
              <w:t xml:space="preserve">&lt;0.001 (DeLong &lt;1e-8)</w:t>
            </w:r>
          </w:p>
        </w:tc>
        <w:tc>
          <w:tcPr>
            <w:tcW w:type="dxa" w:w="1100"/>
            <w:tcBorders>
              <w:top w:val="single" w:color="BBBBBB" w:sz="1"/>
              <w:left w:val="single" w:color="BBBBBB" w:sz="1"/>
              <w:bottom w:val="single" w:color="BBBBBB" w:sz="1"/>
              <w:right w:val="single" w:color="BBBBBB" w:sz="1"/>
            </w:tcBorders>
            <w:shd w:fill="FBEEE6" w:val="clear"/>
            <w:tcMar>
              <w:top w:type="dxa" w:w="60"/>
              <w:left w:type="dxa" w:w="100"/>
              <w:bottom w:type="dxa" w:w="60"/>
              <w:right w:type="dxa" w:w="100"/>
            </w:tcMar>
          </w:tcPr>
          <w:p>
            <w:pPr>
              <w:jc w:val="center"/>
            </w:pPr>
            <w:r>
              <w:rPr>
                <w:b w:val="false"/>
                <w:bCs w:val="false"/>
                <w:sz w:val="18"/>
                <w:szCs w:val="18"/>
              </w:rPr>
              <w:t xml:space="preserve">NetSolP ≫ ProteinSol</w:t>
            </w:r>
          </w:p>
        </w:tc>
      </w:tr>
      <w:tr>
        <w:tc>
          <w:tcPr>
            <w:tcW w:type="dxa" w:w="3300"/>
            <w:tcBorders>
              <w:top w:val="single" w:color="BBBBBB" w:sz="1"/>
              <w:left w:val="single" w:color="BBBBBB" w:sz="1"/>
              <w:bottom w:val="single" w:color="BBBBBB" w:sz="1"/>
              <w:right w:val="single" w:color="BBBBBB" w:sz="1"/>
            </w:tcBorders>
            <w:shd w:fill="FBEEE6" w:val="clear"/>
            <w:tcMar>
              <w:top w:type="dxa" w:w="60"/>
              <w:left w:type="dxa" w:w="100"/>
              <w:bottom w:type="dxa" w:w="60"/>
              <w:right w:type="dxa" w:w="100"/>
            </w:tcMar>
          </w:tcPr>
          <w:p>
            <w:pPr>
              <w:jc w:val="left"/>
            </w:pPr>
            <w:r>
              <w:rPr>
                <w:b w:val="false"/>
                <w:bCs w:val="false"/>
                <w:sz w:val="18"/>
                <w:szCs w:val="18"/>
              </w:rPr>
              <w:t xml:space="preserve">SoluProt: NetSolP vs PLM_Sol</w:t>
            </w:r>
          </w:p>
        </w:tc>
        <w:tc>
          <w:tcPr>
            <w:tcW w:type="dxa" w:w="900"/>
            <w:tcBorders>
              <w:top w:val="single" w:color="BBBBBB" w:sz="1"/>
              <w:left w:val="single" w:color="BBBBBB" w:sz="1"/>
              <w:bottom w:val="single" w:color="BBBBBB" w:sz="1"/>
              <w:right w:val="single" w:color="BBBBBB" w:sz="1"/>
            </w:tcBorders>
            <w:shd w:fill="FBEEE6" w:val="clear"/>
            <w:tcMar>
              <w:top w:type="dxa" w:w="60"/>
              <w:left w:type="dxa" w:w="100"/>
              <w:bottom w:type="dxa" w:w="60"/>
              <w:right w:type="dxa" w:w="100"/>
            </w:tcMar>
          </w:tcPr>
          <w:p>
            <w:pPr>
              <w:jc w:val="center"/>
            </w:pPr>
            <w:r>
              <w:rPr>
                <w:b w:val="false"/>
                <w:bCs w:val="false"/>
                <w:sz w:val="18"/>
                <w:szCs w:val="18"/>
              </w:rPr>
              <w:t xml:space="preserve">1,969</w:t>
            </w:r>
          </w:p>
        </w:tc>
        <w:tc>
          <w:tcPr>
            <w:tcW w:type="dxa" w:w="2400"/>
            <w:tcBorders>
              <w:top w:val="single" w:color="BBBBBB" w:sz="1"/>
              <w:left w:val="single" w:color="BBBBBB" w:sz="1"/>
              <w:bottom w:val="single" w:color="BBBBBB" w:sz="1"/>
              <w:right w:val="single" w:color="BBBBBB" w:sz="1"/>
            </w:tcBorders>
            <w:shd w:fill="FBEEE6" w:val="clear"/>
            <w:tcMar>
              <w:top w:type="dxa" w:w="60"/>
              <w:left w:type="dxa" w:w="100"/>
              <w:bottom w:type="dxa" w:w="60"/>
              <w:right w:type="dxa" w:w="100"/>
            </w:tcMar>
          </w:tcPr>
          <w:p>
            <w:pPr>
              <w:jc w:val="center"/>
            </w:pPr>
            <w:r>
              <w:rPr>
                <w:b w:val="false"/>
                <w:bCs w:val="false"/>
                <w:sz w:val="18"/>
                <w:szCs w:val="18"/>
              </w:rPr>
              <w:t xml:space="preserve">+0.056 [+0.024, +0.086]</w:t>
            </w:r>
          </w:p>
        </w:tc>
        <w:tc>
          <w:tcPr>
            <w:tcW w:type="dxa" w:w="1300"/>
            <w:tcBorders>
              <w:top w:val="single" w:color="BBBBBB" w:sz="1"/>
              <w:left w:val="single" w:color="BBBBBB" w:sz="1"/>
              <w:bottom w:val="single" w:color="BBBBBB" w:sz="1"/>
              <w:right w:val="single" w:color="BBBBBB" w:sz="1"/>
            </w:tcBorders>
            <w:shd w:fill="FBEEE6" w:val="clear"/>
            <w:tcMar>
              <w:top w:type="dxa" w:w="60"/>
              <w:left w:type="dxa" w:w="100"/>
              <w:bottom w:type="dxa" w:w="60"/>
              <w:right w:type="dxa" w:w="100"/>
            </w:tcMar>
          </w:tcPr>
          <w:p>
            <w:pPr>
              <w:jc w:val="center"/>
            </w:pPr>
            <w:r>
              <w:rPr>
                <w:b w:val="false"/>
                <w:bCs w:val="false"/>
                <w:sz w:val="18"/>
                <w:szCs w:val="18"/>
              </w:rPr>
              <w:t xml:space="preserve">0.0006 / 0.0004</w:t>
            </w:r>
          </w:p>
        </w:tc>
        <w:tc>
          <w:tcPr>
            <w:tcW w:type="dxa" w:w="1100"/>
            <w:tcBorders>
              <w:top w:val="single" w:color="BBBBBB" w:sz="1"/>
              <w:left w:val="single" w:color="BBBBBB" w:sz="1"/>
              <w:bottom w:val="single" w:color="BBBBBB" w:sz="1"/>
              <w:right w:val="single" w:color="BBBBBB" w:sz="1"/>
            </w:tcBorders>
            <w:shd w:fill="FBEEE6" w:val="clear"/>
            <w:tcMar>
              <w:top w:type="dxa" w:w="60"/>
              <w:left w:type="dxa" w:w="100"/>
              <w:bottom w:type="dxa" w:w="60"/>
              <w:right w:type="dxa" w:w="100"/>
            </w:tcMar>
          </w:tcPr>
          <w:p>
            <w:pPr>
              <w:jc w:val="center"/>
            </w:pPr>
            <w:r>
              <w:rPr>
                <w:b w:val="false"/>
                <w:bCs w:val="false"/>
                <w:sz w:val="18"/>
                <w:szCs w:val="18"/>
              </w:rPr>
              <w:t xml:space="preserve">NetSolP ≫ PLM_Sol</w:t>
            </w:r>
          </w:p>
        </w:tc>
      </w:tr>
      <w:tr>
        <w:tc>
          <w:tcPr>
            <w:tcW w:type="dxa" w:w="3300"/>
            <w:tcBorders>
              <w:top w:val="single" w:color="BBBBBB" w:sz="1"/>
              <w:left w:val="single" w:color="BBBBBB" w:sz="1"/>
              <w:bottom w:val="single" w:color="BBBBBB" w:sz="1"/>
              <w:right w:val="single" w:color="BBBBBB" w:sz="1"/>
            </w:tcBorders>
            <w:shd w:fill="FBEEE6" w:val="clear"/>
            <w:tcMar>
              <w:top w:type="dxa" w:w="60"/>
              <w:left w:type="dxa" w:w="100"/>
              <w:bottom w:type="dxa" w:w="60"/>
              <w:right w:type="dxa" w:w="100"/>
            </w:tcMar>
          </w:tcPr>
          <w:p>
            <w:pPr>
              <w:jc w:val="left"/>
            </w:pPr>
            <w:r>
              <w:rPr>
                <w:b w:val="false"/>
                <w:bCs w:val="false"/>
                <w:sz w:val="18"/>
                <w:szCs w:val="18"/>
              </w:rPr>
              <w:t xml:space="preserve">SoluProt: SWI vs PLM_Sol</w:t>
            </w:r>
          </w:p>
        </w:tc>
        <w:tc>
          <w:tcPr>
            <w:tcW w:type="dxa" w:w="900"/>
            <w:tcBorders>
              <w:top w:val="single" w:color="BBBBBB" w:sz="1"/>
              <w:left w:val="single" w:color="BBBBBB" w:sz="1"/>
              <w:bottom w:val="single" w:color="BBBBBB" w:sz="1"/>
              <w:right w:val="single" w:color="BBBBBB" w:sz="1"/>
            </w:tcBorders>
            <w:shd w:fill="FBEEE6" w:val="clear"/>
            <w:tcMar>
              <w:top w:type="dxa" w:w="60"/>
              <w:left w:type="dxa" w:w="100"/>
              <w:bottom w:type="dxa" w:w="60"/>
              <w:right w:type="dxa" w:w="100"/>
            </w:tcMar>
          </w:tcPr>
          <w:p>
            <w:pPr>
              <w:jc w:val="center"/>
            </w:pPr>
            <w:r>
              <w:rPr>
                <w:b w:val="false"/>
                <w:bCs w:val="false"/>
                <w:sz w:val="18"/>
                <w:szCs w:val="18"/>
              </w:rPr>
              <w:t xml:space="preserve">1,969</w:t>
            </w:r>
          </w:p>
        </w:tc>
        <w:tc>
          <w:tcPr>
            <w:tcW w:type="dxa" w:w="2400"/>
            <w:tcBorders>
              <w:top w:val="single" w:color="BBBBBB" w:sz="1"/>
              <w:left w:val="single" w:color="BBBBBB" w:sz="1"/>
              <w:bottom w:val="single" w:color="BBBBBB" w:sz="1"/>
              <w:right w:val="single" w:color="BBBBBB" w:sz="1"/>
            </w:tcBorders>
            <w:shd w:fill="FBEEE6" w:val="clear"/>
            <w:tcMar>
              <w:top w:type="dxa" w:w="60"/>
              <w:left w:type="dxa" w:w="100"/>
              <w:bottom w:type="dxa" w:w="60"/>
              <w:right w:type="dxa" w:w="100"/>
            </w:tcMar>
          </w:tcPr>
          <w:p>
            <w:pPr>
              <w:jc w:val="center"/>
            </w:pPr>
            <w:r>
              <w:rPr>
                <w:b w:val="false"/>
                <w:bCs w:val="false"/>
                <w:sz w:val="18"/>
                <w:szCs w:val="18"/>
              </w:rPr>
              <w:t xml:space="preserve">+0.040 [+0.011, +0.071]</w:t>
            </w:r>
          </w:p>
        </w:tc>
        <w:tc>
          <w:tcPr>
            <w:tcW w:type="dxa" w:w="1300"/>
            <w:tcBorders>
              <w:top w:val="single" w:color="BBBBBB" w:sz="1"/>
              <w:left w:val="single" w:color="BBBBBB" w:sz="1"/>
              <w:bottom w:val="single" w:color="BBBBBB" w:sz="1"/>
              <w:right w:val="single" w:color="BBBBBB" w:sz="1"/>
            </w:tcBorders>
            <w:shd w:fill="FBEEE6" w:val="clear"/>
            <w:tcMar>
              <w:top w:type="dxa" w:w="60"/>
              <w:left w:type="dxa" w:w="100"/>
              <w:bottom w:type="dxa" w:w="60"/>
              <w:right w:type="dxa" w:w="100"/>
            </w:tcMar>
          </w:tcPr>
          <w:p>
            <w:pPr>
              <w:jc w:val="center"/>
            </w:pPr>
            <w:r>
              <w:rPr>
                <w:b w:val="false"/>
                <w:bCs w:val="false"/>
                <w:sz w:val="18"/>
                <w:szCs w:val="18"/>
              </w:rPr>
              <w:t xml:space="preserve">0.009 / 0.009</w:t>
            </w:r>
          </w:p>
        </w:tc>
        <w:tc>
          <w:tcPr>
            <w:tcW w:type="dxa" w:w="1100"/>
            <w:tcBorders>
              <w:top w:val="single" w:color="BBBBBB" w:sz="1"/>
              <w:left w:val="single" w:color="BBBBBB" w:sz="1"/>
              <w:bottom w:val="single" w:color="BBBBBB" w:sz="1"/>
              <w:right w:val="single" w:color="BBBBBB" w:sz="1"/>
            </w:tcBorders>
            <w:shd w:fill="FBEEE6" w:val="clear"/>
            <w:tcMar>
              <w:top w:type="dxa" w:w="60"/>
              <w:left w:type="dxa" w:w="100"/>
              <w:bottom w:type="dxa" w:w="60"/>
              <w:right w:type="dxa" w:w="100"/>
            </w:tcMar>
          </w:tcPr>
          <w:p>
            <w:pPr>
              <w:jc w:val="center"/>
            </w:pPr>
            <w:r>
              <w:rPr>
                <w:b w:val="false"/>
                <w:bCs w:val="false"/>
                <w:sz w:val="18"/>
                <w:szCs w:val="18"/>
              </w:rPr>
              <w:t xml:space="preserve">SWI &gt; PLM_Sol</w:t>
            </w:r>
          </w:p>
        </w:tc>
      </w:tr>
      <w:tr>
        <w:tc>
          <w:tcPr>
            <w:tcW w:type="dxa" w:w="3300"/>
            <w:tcBorders>
              <w:top w:val="single" w:color="BBBBBB" w:sz="1"/>
              <w:left w:val="single" w:color="BBBBBB" w:sz="1"/>
              <w:bottom w:val="single" w:color="BBBBBB" w:sz="1"/>
              <w:right w:val="single" w:color="BBBBBB" w:sz="1"/>
            </w:tcBorders>
            <w:shd w:fill="FBEEE6" w:val="clear"/>
            <w:tcMar>
              <w:top w:type="dxa" w:w="60"/>
              <w:left w:type="dxa" w:w="100"/>
              <w:bottom w:type="dxa" w:w="60"/>
              <w:right w:type="dxa" w:w="100"/>
            </w:tcMar>
          </w:tcPr>
          <w:p>
            <w:pPr>
              <w:jc w:val="left"/>
            </w:pPr>
            <w:r>
              <w:rPr>
                <w:b w:val="false"/>
                <w:bCs w:val="false"/>
                <w:sz w:val="18"/>
                <w:szCs w:val="18"/>
              </w:rPr>
              <w:t xml:space="preserve">SoluProt: RP3Net vs PLM_Sol</w:t>
            </w:r>
          </w:p>
        </w:tc>
        <w:tc>
          <w:tcPr>
            <w:tcW w:type="dxa" w:w="900"/>
            <w:tcBorders>
              <w:top w:val="single" w:color="BBBBBB" w:sz="1"/>
              <w:left w:val="single" w:color="BBBBBB" w:sz="1"/>
              <w:bottom w:val="single" w:color="BBBBBB" w:sz="1"/>
              <w:right w:val="single" w:color="BBBBBB" w:sz="1"/>
            </w:tcBorders>
            <w:shd w:fill="FBEEE6" w:val="clear"/>
            <w:tcMar>
              <w:top w:type="dxa" w:w="60"/>
              <w:left w:type="dxa" w:w="100"/>
              <w:bottom w:type="dxa" w:w="60"/>
              <w:right w:type="dxa" w:w="100"/>
            </w:tcMar>
          </w:tcPr>
          <w:p>
            <w:pPr>
              <w:jc w:val="center"/>
            </w:pPr>
            <w:r>
              <w:rPr>
                <w:b w:val="false"/>
                <w:bCs w:val="false"/>
                <w:sz w:val="18"/>
                <w:szCs w:val="18"/>
              </w:rPr>
              <w:t xml:space="preserve">1,969</w:t>
            </w:r>
          </w:p>
        </w:tc>
        <w:tc>
          <w:tcPr>
            <w:tcW w:type="dxa" w:w="2400"/>
            <w:tcBorders>
              <w:top w:val="single" w:color="BBBBBB" w:sz="1"/>
              <w:left w:val="single" w:color="BBBBBB" w:sz="1"/>
              <w:bottom w:val="single" w:color="BBBBBB" w:sz="1"/>
              <w:right w:val="single" w:color="BBBBBB" w:sz="1"/>
            </w:tcBorders>
            <w:shd w:fill="FBEEE6" w:val="clear"/>
            <w:tcMar>
              <w:top w:type="dxa" w:w="60"/>
              <w:left w:type="dxa" w:w="100"/>
              <w:bottom w:type="dxa" w:w="60"/>
              <w:right w:type="dxa" w:w="100"/>
            </w:tcMar>
          </w:tcPr>
          <w:p>
            <w:pPr>
              <w:jc w:val="center"/>
            </w:pPr>
            <w:r>
              <w:rPr>
                <w:b w:val="false"/>
                <w:bCs w:val="false"/>
                <w:sz w:val="18"/>
                <w:szCs w:val="18"/>
              </w:rPr>
              <w:t xml:space="preserve">+0.036 [+0.006, +0.066]</w:t>
            </w:r>
          </w:p>
        </w:tc>
        <w:tc>
          <w:tcPr>
            <w:tcW w:type="dxa" w:w="1300"/>
            <w:tcBorders>
              <w:top w:val="single" w:color="BBBBBB" w:sz="1"/>
              <w:left w:val="single" w:color="BBBBBB" w:sz="1"/>
              <w:bottom w:val="single" w:color="BBBBBB" w:sz="1"/>
              <w:right w:val="single" w:color="BBBBBB" w:sz="1"/>
            </w:tcBorders>
            <w:shd w:fill="FBEEE6" w:val="clear"/>
            <w:tcMar>
              <w:top w:type="dxa" w:w="60"/>
              <w:left w:type="dxa" w:w="100"/>
              <w:bottom w:type="dxa" w:w="60"/>
              <w:right w:type="dxa" w:w="100"/>
            </w:tcMar>
          </w:tcPr>
          <w:p>
            <w:pPr>
              <w:jc w:val="center"/>
            </w:pPr>
            <w:r>
              <w:rPr>
                <w:b w:val="false"/>
                <w:bCs w:val="false"/>
                <w:sz w:val="18"/>
                <w:szCs w:val="18"/>
              </w:rPr>
              <w:t xml:space="preserve">0.02 / 0.02</w:t>
            </w:r>
          </w:p>
        </w:tc>
        <w:tc>
          <w:tcPr>
            <w:tcW w:type="dxa" w:w="1100"/>
            <w:tcBorders>
              <w:top w:val="single" w:color="BBBBBB" w:sz="1"/>
              <w:left w:val="single" w:color="BBBBBB" w:sz="1"/>
              <w:bottom w:val="single" w:color="BBBBBB" w:sz="1"/>
              <w:right w:val="single" w:color="BBBBBB" w:sz="1"/>
            </w:tcBorders>
            <w:shd w:fill="FBEEE6" w:val="clear"/>
            <w:tcMar>
              <w:top w:type="dxa" w:w="60"/>
              <w:left w:type="dxa" w:w="100"/>
              <w:bottom w:type="dxa" w:w="60"/>
              <w:right w:type="dxa" w:w="100"/>
            </w:tcMar>
          </w:tcPr>
          <w:p>
            <w:pPr>
              <w:jc w:val="center"/>
            </w:pPr>
            <w:r>
              <w:rPr>
                <w:b w:val="false"/>
                <w:bCs w:val="false"/>
                <w:sz w:val="18"/>
                <w:szCs w:val="18"/>
              </w:rPr>
              <w:t xml:space="preserve">RP3Net &gt; PLM_Sol</w:t>
            </w:r>
          </w:p>
        </w:tc>
      </w:tr>
      <w:tr>
        <w:tc>
          <w:tcPr>
            <w:tcW w:type="dxa" w:w="3300"/>
            <w:tcBorders>
              <w:top w:val="single" w:color="BBBBBB" w:sz="1"/>
              <w:left w:val="single" w:color="BBBBBB" w:sz="1"/>
              <w:bottom w:val="single" w:color="BBBBBB" w:sz="1"/>
              <w:right w:val="single" w:color="BBBBBB" w:sz="1"/>
            </w:tcBorders>
            <w:shd w:fill="FBEEE6" w:val="clear"/>
            <w:tcMar>
              <w:top w:type="dxa" w:w="60"/>
              <w:left w:type="dxa" w:w="100"/>
              <w:bottom w:type="dxa" w:w="60"/>
              <w:right w:type="dxa" w:w="100"/>
            </w:tcMar>
          </w:tcPr>
          <w:p>
            <w:pPr>
              <w:jc w:val="left"/>
            </w:pPr>
            <w:r>
              <w:rPr>
                <w:b w:val="false"/>
                <w:bCs w:val="false"/>
                <w:sz w:val="18"/>
                <w:szCs w:val="18"/>
              </w:rPr>
              <w:t xml:space="preserve">SoluProt: PLM_Sol vs naive heuristic</w:t>
            </w:r>
          </w:p>
        </w:tc>
        <w:tc>
          <w:tcPr>
            <w:tcW w:type="dxa" w:w="900"/>
            <w:tcBorders>
              <w:top w:val="single" w:color="BBBBBB" w:sz="1"/>
              <w:left w:val="single" w:color="BBBBBB" w:sz="1"/>
              <w:bottom w:val="single" w:color="BBBBBB" w:sz="1"/>
              <w:right w:val="single" w:color="BBBBBB" w:sz="1"/>
            </w:tcBorders>
            <w:shd w:fill="FBEEE6" w:val="clear"/>
            <w:tcMar>
              <w:top w:type="dxa" w:w="60"/>
              <w:left w:type="dxa" w:w="100"/>
              <w:bottom w:type="dxa" w:w="60"/>
              <w:right w:type="dxa" w:w="100"/>
            </w:tcMar>
          </w:tcPr>
          <w:p>
            <w:pPr>
              <w:jc w:val="center"/>
            </w:pPr>
            <w:r>
              <w:rPr>
                <w:b w:val="false"/>
                <w:bCs w:val="false"/>
                <w:sz w:val="18"/>
                <w:szCs w:val="18"/>
              </w:rPr>
              <w:t xml:space="preserve">1,969</w:t>
            </w:r>
          </w:p>
        </w:tc>
        <w:tc>
          <w:tcPr>
            <w:tcW w:type="dxa" w:w="2400"/>
            <w:tcBorders>
              <w:top w:val="single" w:color="BBBBBB" w:sz="1"/>
              <w:left w:val="single" w:color="BBBBBB" w:sz="1"/>
              <w:bottom w:val="single" w:color="BBBBBB" w:sz="1"/>
              <w:right w:val="single" w:color="BBBBBB" w:sz="1"/>
            </w:tcBorders>
            <w:shd w:fill="FBEEE6" w:val="clear"/>
            <w:tcMar>
              <w:top w:type="dxa" w:w="60"/>
              <w:left w:type="dxa" w:w="100"/>
              <w:bottom w:type="dxa" w:w="60"/>
              <w:right w:type="dxa" w:w="100"/>
            </w:tcMar>
          </w:tcPr>
          <w:p>
            <w:pPr>
              <w:jc w:val="center"/>
            </w:pPr>
            <w:r>
              <w:rPr>
                <w:b w:val="false"/>
                <w:bCs w:val="false"/>
                <w:sz w:val="18"/>
                <w:szCs w:val="18"/>
              </w:rPr>
              <w:t xml:space="preserve">−0.022 [−0.052, +0.007]</w:t>
            </w:r>
          </w:p>
        </w:tc>
        <w:tc>
          <w:tcPr>
            <w:tcW w:type="dxa" w:w="1300"/>
            <w:tcBorders>
              <w:top w:val="single" w:color="BBBBBB" w:sz="1"/>
              <w:left w:val="single" w:color="BBBBBB" w:sz="1"/>
              <w:bottom w:val="single" w:color="BBBBBB" w:sz="1"/>
              <w:right w:val="single" w:color="BBBBBB" w:sz="1"/>
            </w:tcBorders>
            <w:shd w:fill="FBEEE6" w:val="clear"/>
            <w:tcMar>
              <w:top w:type="dxa" w:w="60"/>
              <w:left w:type="dxa" w:w="100"/>
              <w:bottom w:type="dxa" w:w="60"/>
              <w:right w:type="dxa" w:w="100"/>
            </w:tcMar>
          </w:tcPr>
          <w:p>
            <w:pPr>
              <w:jc w:val="center"/>
            </w:pPr>
            <w:r>
              <w:rPr>
                <w:b w:val="false"/>
                <w:bCs w:val="false"/>
                <w:sz w:val="18"/>
                <w:szCs w:val="18"/>
              </w:rPr>
              <w:t xml:space="preserve">0.14 / 0.15</w:t>
            </w:r>
          </w:p>
        </w:tc>
        <w:tc>
          <w:tcPr>
            <w:tcW w:type="dxa" w:w="1100"/>
            <w:tcBorders>
              <w:top w:val="single" w:color="BBBBBB" w:sz="1"/>
              <w:left w:val="single" w:color="BBBBBB" w:sz="1"/>
              <w:bottom w:val="single" w:color="BBBBBB" w:sz="1"/>
              <w:right w:val="single" w:color="BBBBBB" w:sz="1"/>
            </w:tcBorders>
            <w:shd w:fill="FBEEE6" w:val="clear"/>
            <w:tcMar>
              <w:top w:type="dxa" w:w="60"/>
              <w:left w:type="dxa" w:w="100"/>
              <w:bottom w:type="dxa" w:w="60"/>
              <w:right w:type="dxa" w:w="100"/>
            </w:tcMar>
          </w:tcPr>
          <w:p>
            <w:pPr>
              <w:jc w:val="center"/>
            </w:pPr>
            <w:r>
              <w:rPr>
                <w:b w:val="false"/>
                <w:bCs w:val="false"/>
                <w:sz w:val="18"/>
                <w:szCs w:val="18"/>
              </w:rPr>
              <w:t xml:space="preserve">indistinguishable</w:t>
            </w:r>
          </w:p>
        </w:tc>
      </w:tr>
    </w:tbl>
    <w:p>
      <w:pPr>
        <w:spacing w:after="200" w:before="80"/>
        <w:jc w:val="both"/>
      </w:pPr>
      <w:r>
        <w:rPr>
          <w:i/>
          <w:iCs/>
        </w:rPr>
        <w:t xml:space="preserve">Native (eSOL) comparisons on the doubly leak-free intersection (n = 2,154 cytoplasmic). The two leading deep models span 0.083 AUROC on native proteins yet are indistinguishable on heterologous proteins. PLM_Sol comparisons use its own leak-free intersection with each predictor (n = 1,969), reflecting its larger 35.7% training overlap with SoluProt.</w:t>
      </w:r>
    </w:p>
    <w:p>
      <w:pPr>
        <w:spacing w:after="60" w:before="120"/>
        <w:jc w:val="center"/>
      </w:pPr>
      <w:r>
        <w:drawing>
          <wp:inline distT="0" distB="0" distL="0" distR="0">
            <wp:extent cx="3429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266950"/>
                    </a:xfrm>
                    <a:prstGeom prst="rect">
                      <a:avLst/>
                    </a:prstGeom>
                  </pic:spPr>
                </pic:pic>
              </a:graphicData>
            </a:graphic>
          </wp:inline>
        </w:drawing>
      </w:r>
    </w:p>
    <w:p>
      <w:pPr>
        <w:spacing w:after="200"/>
        <w:jc w:val="left"/>
      </w:pPr>
      <w:r>
        <w:rPr>
          <w:b/>
          <w:bCs/>
        </w:rPr>
        <w:t xml:space="preserve">Figure 2. </w:t>
      </w:r>
      <w:r>
        <w:rPr>
          <w:sz w:val="18"/>
          <w:szCs w:val="18"/>
        </w:rPr>
        <w:t xml:space="preserve">Threshold robustness on cytoplasmic eSOL (leak-free, n = 2,154): the predictor ordering (NetSolP &gt; SWI &gt; naive heuristic &gt; RP3Net) is stable across 60/70/80% solubility cutoffs.</w:t>
      </w:r>
    </w:p>
    <w:p>
      <w:pPr>
        <w:pStyle w:val="Heading1"/>
        <w:spacing w:after="140" w:before="280"/>
      </w:pPr>
      <w:r>
        <w:rPr>
          <w:b/>
          <w:bCs/>
        </w:rPr>
        <w:t xml:space="preserve">4. Discussion</w:t>
      </w:r>
    </w:p>
    <w:p>
      <w:pPr>
        <w:spacing w:after="160" w:line="276"/>
        <w:jc w:val="both"/>
      </w:pPr>
      <w:r>
        <w:t xml:space="preserve">Across two independent </w:t>
      </w:r>
      <w:r>
        <w:rPr>
          <w:i/>
          <w:iCs/>
        </w:rPr>
        <w:t xml:space="preserve">E. coli</w:t>
      </w:r>
      <w:r>
        <w:t xml:space="preserve"> benchmarks, solubility-predictor performance was governed by model and distribution rather than by model class. On native proteins the two state-of-the-art deep models did not cluster: they occupied opposite extremes, 0.083 AUROC apart, a larger gap than that between any model and a simple interpretable baseline. One deep model (NetSolP) topped every predictor; the other (RP3Net) fell below a simple published score. On the harder heterologous distribution the same two models instead agreed and led. The class “deep learning” was therefore a weak guide to performance here; the specific model and the target distribution mattered far more.</w:t>
      </w:r>
    </w:p>
    <w:p>
      <w:pPr>
        <w:spacing w:after="160" w:line="276"/>
        <w:jc w:val="both"/>
      </w:pPr>
      <w:r>
        <w:rPr>
          <w:b/>
          <w:bCs/>
        </w:rPr>
        <w:t xml:space="preserve">Why the two distributions differ. </w:t>
      </w:r>
      <w:r>
        <w:t xml:space="preserve">Native </w:t>
      </w:r>
      <w:r>
        <w:rPr>
          <w:i/>
          <w:iCs/>
        </w:rPr>
        <w:t xml:space="preserve">E. coli</w:t>
      </w:r>
      <w:r>
        <w:t xml:space="preserve"> cytoplasmic proteins are co-adapted to the host’s folding, chaperone and codon environment, and eSOL measures them without expression tags. The SoluProt constructs are heterologous, typically carry purification tags, and span signal-peptide-bearing, membrane-associated and intrinsically disordered proteins whose solubility depends on features (long hydrophobic spans, disorder, host-mismatched codon usage) that differ from native cytoplasmic determinants. A predictor that keys on one regime’s features need not transfer to the other, a plausible route to the model- and distribution-dependence seen here.</w:t>
      </w:r>
    </w:p>
    <w:p>
      <w:pPr>
        <w:spacing w:after="160" w:line="276"/>
        <w:jc w:val="both"/>
      </w:pPr>
      <w:r>
        <w:rPr>
          <w:b/>
          <w:bCs/>
        </w:rPr>
        <w:t xml:space="preserve">Benchmarks do not predict generalisation. </w:t>
      </w:r>
      <w:r>
        <w:t xml:space="preserve">RP3Net reports 0.83 on its prospective industrial set yet was ranked lowest of four predictors on native </w:t>
      </w:r>
      <w:r>
        <w:rPr>
          <w:i/>
          <w:iCs/>
        </w:rPr>
        <w:t xml:space="preserve">E. coli</w:t>
      </w:r>
      <w:r>
        <w:t xml:space="preserve"> proteins and indistinguishable from the best only on heterologous ones. A single headline AUROC, measured on one distribution, did not rank the models on another. PLM_Sol makes the point most starkly: it reproduces a ≈ 0.83 benchmark on its own updated-eSOL test set (which we confirmed by re-running its released pipeline, 0.834) yet collapses to 0.564 on leak-free SoluProt, below every simple baseline and indistinguishable from a naive composition score, a 0.27-AUROC gap between a model's advertised number and its performance on an independent set. Although 36% of SoluProt overlapped PLM_Sol's training, that overlap did not inflate its score (it performed identically on the overlapping and non-overlapping proteins, 0.562 vs 0.564), so the collapse is a clean distribution effect with no leakage confound. This is not a criticism of any one model (each may be well-suited to its own target distribution) but a caution against selecting a solubility predictor by its reported number.</w:t>
      </w:r>
    </w:p>
    <w:p>
      <w:pPr>
        <w:spacing w:after="160" w:line="276"/>
        <w:jc w:val="both"/>
      </w:pPr>
      <w:r>
        <w:rPr>
          <w:b/>
          <w:bCs/>
        </w:rPr>
        <w:t xml:space="preserve">Consistency with prior benchmarks. </w:t>
      </w:r>
      <w:r>
        <w:t xml:space="preserve">Our results do not contradict the benchmarks on which these models were introduced; they extend them to an untested distribution. RP3Net reports AUROC 0.83 and roughly a 0.08 lead over NetSolP on its own prospective set of recombinant constructs (human drug targets assayed at AstraZeneca; Tankhilevich et al., 2026), and NetSolP reports about 0.76 on its own independent validation set (Thumuluri et al., 2022); each headline is measured on a distribution close to its own training data, and both are heterologous recombinant proteins, the regime these tools are built for. Neither was measured on native </w:t>
      </w:r>
      <w:r>
        <w:rPr>
          <w:i/>
          <w:iCs/>
        </w:rPr>
        <w:t xml:space="preserve">E. coli</w:t>
      </w:r>
      <w:r>
        <w:t xml:space="preserve"> proteins. On the heterologous SoluProt set we likewise find the two deep models comparable and leading the baselines, consistent with RP3Net's design-domain strength; its published lead over NetSolP on recombinant constructs is untouched by our native-protein result. eSOL is not that use case (it measures native, tag-free, chaperone-free solubility), and we use it not as the target task but as an out-of-domain generalisation probe. Read this way, RP3Net's lower native ranking is the expected signature of a model evaluated outside its design domain, not evidence against its reported performance.</w:t>
      </w:r>
    </w:p>
    <w:p>
      <w:pPr>
        <w:spacing w:after="160" w:line="276"/>
        <w:jc w:val="both"/>
      </w:pPr>
      <w:r>
        <w:rPr>
          <w:b/>
          <w:bCs/>
        </w:rPr>
        <w:t xml:space="preserve">Consistency with independent benchmarks. </w:t>
      </w:r>
      <w:r>
        <w:t xml:space="preserve">Where our setup overlaps a published one, the numbers replicate (Table 3). On the SoluProt test set our SWI and ProteinSol AUROCs (0.598, 0.542) reproduce the SoluProt paper's own figures (0.60, 0.54; Hon et al., 2021), and on eSOL our SWI rank-correlation (Spearman ρ = 0.46, cytoplasmic) matches the SWI paper's eSOL value (ρ = 0.50; Bhandari et al., 2020), an independent check that the pipeline and datasets are the intended ones. As a further positive control, re-running PLM_Sol's released ProtT5 pipeline on its own held-out test set reproduced its benchmark AUROC (0.834, versus ≈ 0.83 reported; Zhang et al., 2024), confirming the collapse to 0.564 on SoluProt is a genuine distribution effect and not a pipeline error on our side. The comparison also underscores the central point: NetSolP's own reported AUROC ranges from 0.48 on SGC Stockholm (Tankhilevich et al., 2026), through ~0.62 on a re-curated </w:t>
      </w:r>
      <w:r>
        <w:rPr>
          <w:i/>
          <w:iCs/>
        </w:rPr>
        <w:t xml:space="preserve">E. coli</w:t>
      </w:r>
      <w:r>
        <w:t xml:space="preserve"> solubility set (Zhang et al., 2024), 0.73 on its PSI:Biology cross-validation and 0.76 on the independent Price set (Thumuluri et al., 2022), to 0.79 here on classic eSOL, the same model spanning 0.48–0.79 across datasets. Absolute AUROCs and cross-tool rankings are thus curation-dependent (on Zhang et al.'s homology-split set the tools score lower and re-order), while the direction we rely on, NetSolP &gt; SWI on native proteins, holds in every independent report that includes both.</w:t>
      </w:r>
    </w:p>
    <w:p>
      <w:pPr>
        <w:pStyle w:val="Heading2"/>
        <w:spacing w:after="100" w:before="200"/>
      </w:pPr>
      <w:r>
        <w:rPr>
          <w:b/>
          <w:bCs/>
        </w:rPr>
        <w:t xml:space="preserve">Table 3. Consistency with independent benchmarks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2600"/>
      </w:tblGrid>
      <w:tr>
        <w:trPr>
          <w:tblHeader/>
        </w:trPr>
        <w:tc>
          <w:tcPr>
            <w:tcW w:type="dxa" w:w="3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8"/>
                <w:szCs w:val="18"/>
              </w:rPr>
              <w:t xml:space="preserve">Cross-check</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8"/>
                <w:szCs w:val="18"/>
              </w:rPr>
              <w:t xml:space="preserve">This work</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8"/>
                <w:szCs w:val="18"/>
              </w:rPr>
              <w:t xml:space="preserve">Reported</w:t>
            </w:r>
          </w:p>
        </w:tc>
        <w:tc>
          <w:tcPr>
            <w:tcW w:type="dxa" w:w="2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8"/>
                <w:szCs w:val="18"/>
              </w:rPr>
              <w:t xml:space="preserve">Source</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SWI, SoluProt (AUROC)</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0.598</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0.60</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Hon et al. 2021</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ProteinSol, SoluProt (AUROC)</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0.542</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0.54</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Hon et al. 2021</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SWI, eSOL (Spearman ρ)</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0.46</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0.50</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Bhandari et al. 2020</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PLM_Sol, own test set (AUROC)</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0.834</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 0.83</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Zhang et al. 2024</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NetSolP, across datasets (AUROC)</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0.63 / 0.79</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0.48–0.76</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Tankhilevich 2026; Zhang 2024; Thumuluri 2022</w:t>
            </w:r>
          </w:p>
        </w:tc>
      </w:tr>
    </w:tbl>
    <w:p>
      <w:pPr>
        <w:spacing w:after="160" w:before="80"/>
        <w:jc w:val="both"/>
      </w:pPr>
      <w:r>
        <w:rPr>
          <w:i/>
          <w:iCs/>
        </w:rPr>
        <w:t xml:space="preserve">Direct cross-checks: our SoluProt SWI/ProteinSol AUROCs, our eSOL SWI Spearman, and our re-run of PLM_Sol on its own test set all reproduce the published values. The NetSolP row shows this work (SoluProt 0.63 / eSOL 0.79) against the range of independently reported NetSolP AUROCs (0.48 SGC Stockholm; ~0.62 re-curated E. coli set; 0.64 AZ; 0.73 PSI:Biology CV; 0.76 Price), the same model spanning 0.48–0.79 across datasets.</w:t>
      </w:r>
    </w:p>
    <w:p>
      <w:pPr>
        <w:spacing w:after="160" w:line="276"/>
        <w:jc w:val="both"/>
      </w:pPr>
      <w:r>
        <w:rPr>
          <w:b/>
          <w:bCs/>
        </w:rPr>
        <w:t xml:space="preserve">What these predictors actually target. </w:t>
      </w:r>
      <w:r>
        <w:t xml:space="preserve">A terminology note underlies all of the above: RP3Net and NetSolP (like SoluProt and the other PSI:Biology-derived tools) are trained on soluble recombinant expression outcomes, not on intrinsic thermodynamic solubility. eSOL (native, untagged, measured in a chaperone-free reconstituted system) sits nearer the intrinsic-solubility end, which is precisely what makes it a demanding out-of-domain probe rather than a home benchmark for these models. The field's shorthand “solubility predictor” thus spans two related but distinct targets, and the distribution-dependence we report is in part a consequence of that gap.</w:t>
      </w:r>
    </w:p>
    <w:p>
      <w:pPr>
        <w:spacing w:after="160" w:line="276"/>
        <w:jc w:val="both"/>
      </w:pPr>
      <w:r>
        <w:rPr>
          <w:b/>
          <w:bCs/>
        </w:rPr>
        <w:t xml:space="preserve">The distribution effect is symmetric. </w:t>
      </w:r>
      <w:r>
        <w:t xml:space="preserve">The reverse case makes the same point from the other side: ProteinSol, whose weights are calibrated on native eSOL, fell to near-chance (0.542) on heterologous proteins, just as RP3Net, strong on its prospective benchmark, fell below a simple published score on native ones. Each tool was good on a distribution like its own and weak on the other, and in neither case did the reported benchmark warn of the gap. Distribution match, not model class or headline number, determined performance.</w:t>
      </w:r>
    </w:p>
    <w:p>
      <w:pPr>
        <w:spacing w:after="160" w:line="276"/>
        <w:jc w:val="both"/>
      </w:pPr>
      <w:r>
        <w:rPr>
          <w:b/>
          <w:bCs/>
        </w:rPr>
        <w:t xml:space="preserve">A simple interpretable baseline as a sanity floor. </w:t>
      </w:r>
      <w:r>
        <w:t xml:space="preserve">The two simple composition scores were not the headline result, but they served a practical purpose: they bracket the deep models and provide a floor. A SOTA model that falls below a dataset-naive baseline on the target distribution (as RP3Net does on native proteins) is signalling a generalisation gap that its benchmark number conceals. Reporting such a baseline alongside any solubility predictor is cheap insurance. Native-proteome benchmarks such as eSOL are also an easy distribution where simple scores are competitive, and should not on their own be used to claim a predictor’s accuracy.</w:t>
      </w:r>
    </w:p>
    <w:p>
      <w:pPr>
        <w:pStyle w:val="Heading2"/>
        <w:spacing w:after="100" w:before="200"/>
      </w:pPr>
      <w:r>
        <w:rPr>
          <w:b/>
          <w:bCs/>
        </w:rPr>
        <w:t xml:space="preserve">Limitations</w:t>
      </w:r>
    </w:p>
    <w:p>
      <w:pPr>
        <w:pStyle w:val="ListParagraph"/>
        <w:numPr>
          <w:ilvl w:val="0"/>
          <w:numId w:val="2"/>
        </w:numPr>
        <w:spacing w:after="120" w:line="276"/>
        <w:jc w:val="both"/>
      </w:pPr>
      <w:r>
        <w:rPr>
          <w:b/>
          <w:bCs/>
        </w:rPr>
        <w:t xml:space="preserve">Scope of models. </w:t>
      </w:r>
      <w:r>
        <w:t xml:space="preserve">We benchmark three deep models (RP3Net, NetSolP on both distributions; PLM_Sol on SoluProt), a native-calibrated predictor (ProteinSol) and two simple baselines; the qualitative point (large between-model variance; benchmark does not predict generalisation) may not capture every predictor, and adding further models (DeepSol, CamSol, ccSOL) would sharpen the variance estimate.</w:t>
      </w:r>
    </w:p>
    <w:p>
      <w:pPr>
        <w:pStyle w:val="ListParagraph"/>
        <w:numPr>
          <w:ilvl w:val="0"/>
          <w:numId w:val="2"/>
        </w:numPr>
        <w:spacing w:after="120" w:line="276"/>
        <w:jc w:val="both"/>
      </w:pPr>
      <w:r>
        <w:rPr>
          <w:b/>
          <w:bCs/>
        </w:rPr>
        <w:t xml:space="preserve">Partial leakage screening. </w:t>
      </w:r>
      <w:r>
        <w:t xml:space="preserve">Each test set was screened against the public training portions at the near-duplicate level (≥90% identity), and the native comparisons were additionally re-run after homology-level deduplication (≤30% identity clustering; 8.5% of eSOL removed), which left the ranking and every significant difference intact (§3.1). RP3Net's proprietary AstraZeneca data could not be screened (but are unlikely to overlap these native/structural-genomics sets). NetSolP truncates sequences at 1,022 residues, a slight disadvantage on the few longer proteins.</w:t>
      </w:r>
    </w:p>
    <w:p>
      <w:pPr>
        <w:pStyle w:val="ListParagraph"/>
        <w:numPr>
          <w:ilvl w:val="0"/>
          <w:numId w:val="2"/>
        </w:numPr>
        <w:spacing w:after="120" w:line="276"/>
        <w:jc w:val="both"/>
      </w:pPr>
      <w:r>
        <w:rPr>
          <w:b/>
          <w:bCs/>
        </w:rPr>
        <w:t xml:space="preserve">Label proxies. </w:t>
      </w:r>
      <w:r>
        <w:t xml:space="preserve">eSOL solubility is from a chaperone-free reconstituted system and SoluProt labels aggregate heterogeneous sources; both are imperfect proxies for production outcome.</w:t>
      </w:r>
    </w:p>
    <w:p>
      <w:pPr>
        <w:pStyle w:val="ListParagraph"/>
        <w:numPr>
          <w:ilvl w:val="0"/>
          <w:numId w:val="2"/>
        </w:numPr>
        <w:spacing w:after="120" w:line="276"/>
        <w:jc w:val="both"/>
      </w:pPr>
      <w:r>
        <w:rPr>
          <w:b/>
          <w:bCs/>
        </w:rPr>
        <w:t xml:space="preserve">Non-comparability of headline numbers. </w:t>
      </w:r>
      <w:r>
        <w:t xml:space="preserve">RP3Net's 0.83 and NetSolP's reported figures are on their own held-out sets, which we cannot access; our independent AUROCs measure different distributions and do not contradict the authors' results.</w:t>
      </w:r>
    </w:p>
    <w:p>
      <w:pPr>
        <w:pStyle w:val="Heading1"/>
        <w:spacing w:after="140" w:before="280"/>
      </w:pPr>
      <w:r>
        <w:rPr>
          <w:b/>
          <w:bCs/>
        </w:rPr>
        <w:t xml:space="preserve">5. Conclusion</w:t>
      </w:r>
    </w:p>
    <w:p>
      <w:pPr>
        <w:spacing w:after="160" w:line="276"/>
        <w:jc w:val="both"/>
      </w:pPr>
      <w:r>
        <w:t xml:space="preserve">On native </w:t>
      </w:r>
      <w:r>
        <w:rPr>
          <w:i/>
          <w:iCs/>
        </w:rPr>
        <w:t xml:space="preserve">E. coli</w:t>
      </w:r>
      <w:r>
        <w:t xml:space="preserve"> proteins, two state-of-the-art deep solubility models differed by more than the gap to a simple interpretable baseline, with one topping every predictor and the other falling below a simple published score; on a harder heterologous benchmark the two agreed and led. A model's reported benchmark AUROC did not predict its generalisation rank. Solubility predictors should be chosen and reported with the evaluation distribution, and a dataset-naive baseline, explicitly in view.</w:t>
      </w:r>
    </w:p>
    <w:p>
      <w:pPr>
        <w:pStyle w:val="Heading1"/>
        <w:spacing w:after="140" w:before="280"/>
      </w:pPr>
      <w:r>
        <w:rPr>
          <w:b/>
          <w:bCs/>
        </w:rPr>
        <w:t xml:space="preserve">Competing interests and funding</w:t>
      </w:r>
    </w:p>
    <w:p>
      <w:pPr>
        <w:spacing w:after="160" w:line="276"/>
        <w:jc w:val="both"/>
      </w:pPr>
      <w:r>
        <w:rPr>
          <w:b/>
          <w:bCs/>
        </w:rPr>
        <w:t xml:space="preserve">Competing interests. </w:t>
      </w:r>
      <w:r>
        <w:t xml:space="preserve">The author develops TiGer Biotech, a freely available, non-commercial sequence-based expression-feasibility tool whose composition heuristic is used here as one of the baselines. The tool is not commercialised; its development is nonetheless disclosed here as a potential professional interest. To limit its influence, the in-house heuristic is treated only as a corroborating baseline and never carries a conclusion on its own; the externally published Solubility-Weighted Index (SWI) serves as the primary, more conservative baseline, and the full (eSOL-fit) heuristic variant is explicitly excluded from all claims. RP3Net, NetSolP, SWI, ProteinSol and PLM_Sol are third-party tools used as released, without involvement of their authors in this work. The author has no other competing interests.</w:t>
      </w:r>
    </w:p>
    <w:p>
      <w:pPr>
        <w:spacing w:after="160" w:line="276"/>
        <w:jc w:val="both"/>
      </w:pPr>
      <w:r>
        <w:rPr>
          <w:b/>
          <w:bCs/>
        </w:rPr>
        <w:t xml:space="preserve">Funding. </w:t>
      </w:r>
      <w:r>
        <w:t xml:space="preserve">none.</w:t>
      </w:r>
    </w:p>
    <w:p>
      <w:pPr>
        <w:pStyle w:val="Heading1"/>
        <w:spacing w:after="140" w:before="280"/>
      </w:pPr>
      <w:r>
        <w:rPr>
          <w:b/>
          <w:bCs/>
        </w:rPr>
        <w:t xml:space="preserve">Data and code availability</w:t>
      </w:r>
    </w:p>
    <w:p>
      <w:pPr>
        <w:spacing w:after="160" w:line="276"/>
        <w:jc w:val="both"/>
      </w:pPr>
      <w:r>
        <w:t xml:space="preserve">eSOL: Niwa et al. (2009). SoluProt test set: Hon et al. (2021). RP3Net and its public training data: the authors’ release. NetSolP and its PSI:Biology training data: Thumuluri et al. (2022). </w:t>
      </w:r>
      <w:r>
        <w:rPr>
          <w:i/>
          <w:iCs/>
        </w:rPr>
        <w:t xml:space="preserve">E. coli</w:t>
      </w:r>
      <w:r>
        <w:t xml:space="preserve"> K-12 proteome: UniProt UP000000625. Analysis code, including the exact composition heuristic, SWI implementation, per-model leakage dedup, holdout evaluation with bootstrap CIs, and paired comparison (bootstrap + DeLong), with all prediction files at https://github.com/Jakobus-svg/tiger-solubility-benchmark.</w:t>
      </w:r>
    </w:p>
    <w:p>
      <w:pPr>
        <w:pStyle w:val="Heading1"/>
        <w:spacing w:after="140" w:before="280"/>
      </w:pPr>
      <w:r>
        <w:rPr>
          <w:b/>
          <w:bCs/>
        </w:rPr>
        <w:t xml:space="preserve">References</w:t>
      </w:r>
    </w:p>
    <w:p>
      <w:pPr>
        <w:spacing w:after="80"/>
        <w:ind w:left="360" w:hanging="360"/>
      </w:pPr>
      <w:r>
        <w:rPr>
          <w:sz w:val="20"/>
          <w:szCs w:val="20"/>
        </w:rPr>
        <w:t xml:space="preserve">Bhandari BK, Gardner PP, Lim CS (2020). Solubility-Weighted Index: fast and accurate prediction of protein solubility. Bioinformatics 36(18):4691–4698. doi:10.1093/bioinformatics/btaa578.</w:t>
      </w:r>
    </w:p>
    <w:p>
      <w:pPr>
        <w:spacing w:after="80"/>
        <w:ind w:left="360" w:hanging="360"/>
      </w:pPr>
      <w:r>
        <w:rPr>
          <w:sz w:val="20"/>
          <w:szCs w:val="20"/>
        </w:rPr>
        <w:t xml:space="preserve">DeLong ER, DeLong DM, Clarke-Pearson DL (1988). Comparing the areas under two or more correlated receiver operating characteristic curves: a nonparametric approach. Biometrics 44:837–845.</w:t>
      </w:r>
    </w:p>
    <w:p>
      <w:pPr>
        <w:spacing w:after="80"/>
        <w:ind w:left="360" w:hanging="360"/>
      </w:pPr>
      <w:r>
        <w:rPr>
          <w:sz w:val="20"/>
          <w:szCs w:val="20"/>
        </w:rPr>
        <w:t xml:space="preserve">Hebditch M, Carballo-Amador MA, Charonis S, Curtis R, Warwicker J (2017). Protein-Sol: a web tool for predicting protein solubility from sequence. Bioinformatics 33(19):3098–3100. doi:10.1093/bioinformatics/btx345.</w:t>
      </w:r>
    </w:p>
    <w:p>
      <w:pPr>
        <w:spacing w:after="80"/>
        <w:ind w:left="360" w:hanging="360"/>
      </w:pPr>
      <w:r>
        <w:rPr>
          <w:sz w:val="20"/>
          <w:szCs w:val="20"/>
        </w:rPr>
        <w:t xml:space="preserve">Hon J, Marusiak M, Martinek T, Kunka A, Zendulka J, Bednar D, Damborsky J (2021). SoluProt: prediction of soluble protein expression in </w:t>
      </w:r>
      <w:r>
        <w:rPr>
          <w:i/>
          <w:iCs/>
          <w:sz w:val="20"/>
          <w:szCs w:val="20"/>
        </w:rPr>
        <w:t xml:space="preserve">Escherichia coli</w:t>
      </w:r>
      <w:r>
        <w:rPr>
          <w:sz w:val="20"/>
          <w:szCs w:val="20"/>
        </w:rPr>
        <w:t xml:space="preserve">. Bioinformatics 37(1):23–28. doi:10.1093/bioinformatics/btaa1102.</w:t>
      </w:r>
    </w:p>
    <w:p>
      <w:pPr>
        <w:spacing w:after="80"/>
        <w:ind w:left="360" w:hanging="360"/>
      </w:pPr>
      <w:r>
        <w:rPr>
          <w:sz w:val="20"/>
          <w:szCs w:val="20"/>
        </w:rPr>
        <w:t xml:space="preserve">Idicula-Thomas S, Balaji PV (2005). Understanding the relationship between the primary structure of proteins and their amyloidogenic/aggregation propensity. Protein Sci 14:582–592.</w:t>
      </w:r>
    </w:p>
    <w:p>
      <w:pPr>
        <w:spacing w:after="80"/>
        <w:ind w:left="360" w:hanging="360"/>
      </w:pPr>
      <w:r>
        <w:rPr>
          <w:sz w:val="20"/>
          <w:szCs w:val="20"/>
        </w:rPr>
        <w:t xml:space="preserve">Khurana S, Rawi R, Kunji K, Chuang G-Y, Bensmail H, Mall R (2018). DeepSol: a deep learning framework for sequence-based protein solubility prediction. Bioinformatics 34(15):2605–2613. doi:10.1093/bioinformatics/bty166.</w:t>
      </w:r>
    </w:p>
    <w:p>
      <w:pPr>
        <w:spacing w:after="80"/>
        <w:ind w:left="360" w:hanging="360"/>
      </w:pPr>
      <w:r>
        <w:rPr>
          <w:sz w:val="20"/>
          <w:szCs w:val="20"/>
        </w:rPr>
        <w:t xml:space="preserve">Lin Z, Akin H, Rao R, Hie B, Zhu Z, Lu W, et al. (2023). Evolutionary-scale prediction of atomic-level protein structure with a language model. Science 379:1123–1130.</w:t>
      </w:r>
    </w:p>
    <w:p>
      <w:pPr>
        <w:spacing w:after="80"/>
        <w:ind w:left="360" w:hanging="360"/>
      </w:pPr>
      <w:r>
        <w:rPr>
          <w:sz w:val="20"/>
          <w:szCs w:val="20"/>
        </w:rPr>
        <w:t xml:space="preserve">Niwa T, Ying B-W, Saito K, Jin W, Takada S, Ueda T, Taguchi H (2009). Bimodal protein solubility distribution revealed by an aggregation analysis of the entire ensemble of </w:t>
      </w:r>
      <w:r>
        <w:rPr>
          <w:i/>
          <w:iCs/>
          <w:sz w:val="20"/>
          <w:szCs w:val="20"/>
        </w:rPr>
        <w:t xml:space="preserve">Escherichia coli</w:t>
      </w:r>
      <w:r>
        <w:rPr>
          <w:sz w:val="20"/>
          <w:szCs w:val="20"/>
        </w:rPr>
        <w:t xml:space="preserve"> proteins. Proc Natl Acad Sci USA 106:4201–4206.</w:t>
      </w:r>
    </w:p>
    <w:p>
      <w:pPr>
        <w:spacing w:after="80"/>
        <w:ind w:left="360" w:hanging="360"/>
      </w:pPr>
      <w:r>
        <w:rPr>
          <w:sz w:val="20"/>
          <w:szCs w:val="20"/>
        </w:rPr>
        <w:t xml:space="preserve">Sormanni P, Aprile FA, Vendruscolo M (2015). The CamSol method of rational design of protein mutants with enhanced solubility. J Mol Biol 427(2):478–490.</w:t>
      </w:r>
    </w:p>
    <w:p>
      <w:pPr>
        <w:spacing w:after="80"/>
        <w:ind w:left="360" w:hanging="360"/>
      </w:pPr>
      <w:r>
        <w:rPr>
          <w:sz w:val="20"/>
          <w:szCs w:val="20"/>
        </w:rPr>
        <w:t xml:space="preserve">Steinegger M, Söding J (2017). MMseqs2 enables sensitive protein sequence searching for the analysis of massive data sets. Nat Biotechnol 35:1026–1028. doi:10.1038/nbt.3988.</w:t>
      </w:r>
    </w:p>
    <w:p>
      <w:pPr>
        <w:spacing w:after="80"/>
        <w:ind w:left="360" w:hanging="360"/>
      </w:pPr>
      <w:r>
        <w:rPr>
          <w:sz w:val="20"/>
          <w:szCs w:val="20"/>
        </w:rPr>
        <w:t xml:space="preserve">Tankhilevich E, Martinez Cuesta S, Barrett I, Berg C, Holmberg Schiavone L, Leach AR (2026). RP3Net: a deep learning model for predicting recombinant protein production in </w:t>
      </w:r>
      <w:r>
        <w:rPr>
          <w:i/>
          <w:iCs/>
          <w:sz w:val="20"/>
          <w:szCs w:val="20"/>
        </w:rPr>
        <w:t xml:space="preserve">Escherichia coli</w:t>
      </w:r>
      <w:r>
        <w:rPr>
          <w:sz w:val="20"/>
          <w:szCs w:val="20"/>
        </w:rPr>
        <w:t xml:space="preserve">. Bioinformatics 42(1):btag003. doi:10.1093/bioinformatics/btag003.</w:t>
      </w:r>
    </w:p>
    <w:p>
      <w:pPr>
        <w:spacing w:after="80"/>
        <w:ind w:left="360" w:hanging="360"/>
      </w:pPr>
      <w:r>
        <w:rPr>
          <w:sz w:val="20"/>
          <w:szCs w:val="20"/>
        </w:rPr>
        <w:t xml:space="preserve">Thumuluri V, Martiny HM, Almagro Armenteros JJ, Salomon J, Nielsen H, Johansen AR (2022). NetSolP: predicting protein solubility in </w:t>
      </w:r>
      <w:r>
        <w:rPr>
          <w:i/>
          <w:iCs/>
          <w:sz w:val="20"/>
          <w:szCs w:val="20"/>
        </w:rPr>
        <w:t xml:space="preserve">Escherichia coli</w:t>
      </w:r>
      <w:r>
        <w:rPr>
          <w:sz w:val="20"/>
          <w:szCs w:val="20"/>
        </w:rPr>
        <w:t xml:space="preserve"> using language models. Bioinformatics 38(4):941–946. doi:10.1093/bioinformatics/btab801.</w:t>
      </w:r>
    </w:p>
    <w:p>
      <w:pPr>
        <w:spacing w:after="80"/>
        <w:ind w:left="360" w:hanging="360"/>
      </w:pPr>
      <w:r>
        <w:rPr>
          <w:sz w:val="20"/>
          <w:szCs w:val="20"/>
        </w:rPr>
        <w:t xml:space="preserve">Wilkinson DL, Harrison RG (1991). Predicting the solubility of recombinant proteins in </w:t>
      </w:r>
      <w:r>
        <w:rPr>
          <w:i/>
          <w:iCs/>
          <w:sz w:val="20"/>
          <w:szCs w:val="20"/>
        </w:rPr>
        <w:t xml:space="preserve">Escherichia coli</w:t>
      </w:r>
      <w:r>
        <w:rPr>
          <w:sz w:val="20"/>
          <w:szCs w:val="20"/>
        </w:rPr>
        <w:t xml:space="preserve">. Bio/Technology 9(5):443–448. doi:10.1038/nbt0591-443.</w:t>
      </w:r>
    </w:p>
    <w:p>
      <w:pPr>
        <w:spacing w:after="80"/>
        <w:ind w:left="360" w:hanging="360"/>
      </w:pPr>
      <w:r>
        <w:rPr>
          <w:sz w:val="20"/>
          <w:szCs w:val="20"/>
        </w:rPr>
        <w:t xml:space="preserve">Zhang X, Hu X, Zhang T, Yang L, Liu C, Xu N, Wang H, Sun W (2024). PLM_Sol: predicting protein solubility by benchmarking multiple protein language models with the updated </w:t>
      </w:r>
      <w:r>
        <w:rPr>
          <w:i/>
          <w:iCs/>
          <w:sz w:val="20"/>
          <w:szCs w:val="20"/>
        </w:rPr>
        <w:t xml:space="preserve">Escherichia coli</w:t>
      </w:r>
      <w:r>
        <w:rPr>
          <w:sz w:val="20"/>
          <w:szCs w:val="20"/>
        </w:rPr>
        <w:t xml:space="preserve"> protein solubility dataset. Brief Bioinform 25(5):bbae404. doi:10.1093/bib/bbae404.</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360"/>
      </w:pPr>
    </w:lvl>
  </w:abstractNum>
  <w:abstractNum w:abstractNumId="3" w15:restartNumberingAfterBreak="0">
    <w:multiLevelType w:val="hybridMultilevel"/>
    <w:lvl w:ilvl="0" w15:tentative="1">
      <w:start w:val="1"/>
      <w:numFmt w:val="decimal"/>
      <w:lvlText w:val="%1."/>
      <w:lvlJc w:val="left"/>
      <w:pPr>
        <w:ind w:left="46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4E79"/>
      <w:sz w:val="26"/>
      <w:szCs w:val="26"/>
    </w:rPr>
  </w:style>
  <w:style w:type="paragraph" w:styleId="Heading2">
    <w:name w:val="Heading 2"/>
    <w:basedOn w:val="Normal"/>
    <w:next w:val="Normal"/>
    <w:qFormat/>
    <w:pPr>
      <w:spacing w:after="100" w:before="200"/>
      <w:outlineLvl w:val="1"/>
    </w:pPr>
    <w:rPr>
      <w:rFonts w:ascii="Calibri" w:cs="Calibri" w:eastAsia="Calibri" w:hAnsi="Calibri"/>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c048f4658a6b7694b888eb86c9e171eaed3a2d7.png"/><Relationship Id="rId9" Type="http://schemas.openxmlformats.org/officeDocument/2006/relationships/image" Target="media/6efab1c96c2afaac0773d1f19547dfdce7a8e7b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Published benchmark AUROC does not predict generalisation: an independent evaluation of protein solubility predictors</dc:title>
  <dc:creator>Jakob Oeschey</dc:creator>
  <cp:lastModifiedBy>Un-named</cp:lastModifiedBy>
  <cp:revision>1</cp:revision>
  <dcterms:created xsi:type="dcterms:W3CDTF">2026-07-24T19:42:05.291Z</dcterms:created>
  <dcterms:modified xsi:type="dcterms:W3CDTF">2026-07-24T19:42:05.291Z</dcterms:modified>
</cp:coreProperties>
</file>

<file path=docProps/custom.xml><?xml version="1.0" encoding="utf-8"?>
<Properties xmlns="http://schemas.openxmlformats.org/officeDocument/2006/custom-properties" xmlns:vt="http://schemas.openxmlformats.org/officeDocument/2006/docPropsVTypes"/>
</file>