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1933" w14:textId="77777777" w:rsidR="0072586C" w:rsidRPr="00B94B12" w:rsidRDefault="0072586C" w:rsidP="00CB4E8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08CAAB42" w14:textId="54CC1774" w:rsidR="0072586C" w:rsidRPr="00B94B12" w:rsidRDefault="0072586C" w:rsidP="007258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¿Cuál es la prevalencia de sobrepeso/obesidad en la población de adultos de Colombia al año 2010, </w:t>
      </w:r>
      <w:bookmarkStart w:id="0" w:name="OLE_LINK1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estos casos son nuevos o antiguos</w:t>
      </w:r>
      <w:bookmarkEnd w:id="0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?</w:t>
      </w:r>
    </w:p>
    <w:p w14:paraId="3B7517D7" w14:textId="4DBBB6DF" w:rsidR="0072586C" w:rsidRPr="00B94B12" w:rsidRDefault="0072586C" w:rsidP="00D940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Según el estudio de la ENSIN 2010, para los adultos de 18–64 años, el 54,33% presentaba sobrepeso u obesidad (IMC≥25) cuando se consideran solo los registros válidos (7.354 de 13.536); si se toma todo el conjunto, incluidos los faltantes, el resultado es 50,85% (7.354 de 14.461) y los datos no disponibles representan 6,40% (925). </w:t>
      </w:r>
      <w:r w:rsidR="00D940DE"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Es decir, se trata de una </w:t>
      </w: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prevalencia de 2010 no una medida de incidencia ni de “casos nuevos”.</w:t>
      </w:r>
    </w:p>
    <w:p w14:paraId="6218B062" w14:textId="61244BCB" w:rsidR="0072586C" w:rsidRPr="00B94B12" w:rsidRDefault="0072586C" w:rsidP="00D940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¿Qué tipo de estudio se requeriría si quisiera estimar la incidencia acumulada o en tasa de sobrepeso/obesidad en la población colombiana en el año 2012?</w:t>
      </w:r>
    </w:p>
    <w:p w14:paraId="7A531A49" w14:textId="45D7F294" w:rsidR="00D940DE" w:rsidRPr="00B94B12" w:rsidRDefault="00D940DE" w:rsidP="00D940DE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Un estudio de cohorte (longitudinal), idealmente iniciando con adultos libres de sobrepeso/obesidad y siguiéndolos hasta 201</w:t>
      </w:r>
      <w:r w:rsidR="001822BE" w:rsidRPr="00B94B12">
        <w:rPr>
          <w:rFonts w:ascii="Times New Roman" w:hAnsi="Times New Roman" w:cs="Times New Roman"/>
          <w:sz w:val="22"/>
          <w:szCs w:val="22"/>
          <w:lang w:val="es-ES"/>
        </w:rPr>
        <w:t>4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para observar casos nuevos.</w:t>
      </w:r>
    </w:p>
    <w:p w14:paraId="46279028" w14:textId="77777777" w:rsidR="000F5164" w:rsidRPr="00B94B12" w:rsidRDefault="0072586C" w:rsidP="000F51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¿Cuál es la diferencia entre incidencia (acumulada) y tasa de incidencia? (¿Qué mide y cómo se calcula cada una?)</w:t>
      </w:r>
    </w:p>
    <w:p w14:paraId="632DFE1C" w14:textId="4012C74A" w:rsidR="000F5164" w:rsidRPr="00B94B12" w:rsidRDefault="000F5164" w:rsidP="000F5164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>La incidencia acumulada</w:t>
      </w:r>
      <w:r w:rsidR="00D65B26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(IA)</w:t>
      </w: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es la </w:t>
      </w:r>
      <w:r w:rsidR="001822BE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>proporción</w:t>
      </w: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</w:t>
      </w:r>
      <w:r w:rsidR="001822BE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de personas en riesgo que desarrollan el evento de interés al inicio que desarrollan el evento durante un periodo fijo. Se calcula por medio de </w:t>
      </w:r>
      <m:oMath>
        <m:r>
          <w:rPr>
            <w:rStyle w:val="Strong"/>
            <w:rFonts w:ascii="Cambria Math" w:eastAsiaTheme="majorEastAsia" w:hAnsi="Cambria Math" w:cs="Times New Roman"/>
            <w:sz w:val="22"/>
            <w:szCs w:val="22"/>
            <w:lang w:val="es-ES"/>
          </w:rPr>
          <m:t>(</m:t>
        </m:r>
        <m:r>
          <w:rPr>
            <w:rFonts w:ascii="Cambria Math" w:hAnsi="Cambria Math" w:cs="Times New Roman"/>
            <w:sz w:val="22"/>
            <w:szCs w:val="22"/>
            <w:lang w:val="es-ES"/>
          </w:rPr>
          <m:t>IA) = nuevos casos / población en riesgo inicial.</m:t>
        </m:r>
      </m:oMath>
    </w:p>
    <w:p w14:paraId="50678959" w14:textId="15485548" w:rsidR="000F5164" w:rsidRPr="00B94B12" w:rsidRDefault="000F5164" w:rsidP="00D65B26">
      <w:pPr>
        <w:pStyle w:val="NormalWeb"/>
        <w:rPr>
          <w:sz w:val="22"/>
          <w:szCs w:val="22"/>
          <w:lang w:val="es-ES"/>
        </w:rPr>
      </w:pPr>
      <w:r w:rsidRPr="00B94B12">
        <w:rPr>
          <w:sz w:val="22"/>
          <w:szCs w:val="22"/>
          <w:lang w:val="es-ES"/>
        </w:rPr>
        <w:t xml:space="preserve"> </w:t>
      </w:r>
      <w:r w:rsidR="00D65B26" w:rsidRPr="00B94B12">
        <w:rPr>
          <w:sz w:val="22"/>
          <w:szCs w:val="22"/>
          <w:lang w:val="es-ES"/>
        </w:rPr>
        <w:t xml:space="preserve">La tasa de incidencia (TI) o velocidad de incidencia se calcula como la cantidad de nuevos casos por unidad de tiempo o individuos. Se modela con la fórmula de: </w:t>
      </w:r>
      <m:oMath>
        <m:r>
          <w:rPr>
            <w:rFonts w:ascii="Cambria Math" w:hAnsi="Cambria Math"/>
            <w:sz w:val="22"/>
            <w:szCs w:val="22"/>
            <w:lang w:val="es-ES"/>
          </w:rPr>
          <m:t>TI = nuevos casos / suma de tiempos en riesgo.</m:t>
        </m:r>
      </m:oMath>
    </w:p>
    <w:p w14:paraId="55AA0B71" w14:textId="632829A0" w:rsidR="0072586C" w:rsidRPr="00B2511D" w:rsidRDefault="0072586C" w:rsidP="00D65B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highlight w:val="red"/>
          <w:lang w:val="es-ES"/>
        </w:rPr>
      </w:pPr>
      <w:r w:rsidRPr="00B2511D">
        <w:rPr>
          <w:rFonts w:ascii="Times New Roman" w:hAnsi="Times New Roman" w:cs="Times New Roman"/>
          <w:sz w:val="22"/>
          <w:szCs w:val="22"/>
          <w:highlight w:val="red"/>
          <w:lang w:val="es-ES"/>
        </w:rPr>
        <w:t>Describa el diseño del estudio de la pregunta (Tipo de muestra, seguimiento, características de la población a estudio, variables a estudiar entre otras)</w:t>
      </w:r>
    </w:p>
    <w:p w14:paraId="7E4D4AAC" w14:textId="2B796CD5" w:rsidR="00D65B26" w:rsidRPr="00B2511D" w:rsidRDefault="00D65B26" w:rsidP="00D65B26">
      <w:pPr>
        <w:pStyle w:val="NormalWeb"/>
        <w:rPr>
          <w:sz w:val="22"/>
          <w:szCs w:val="22"/>
          <w:highlight w:val="red"/>
          <w:lang w:val="es-ES"/>
        </w:rPr>
      </w:pPr>
      <w:r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I</w:t>
      </w:r>
      <w:r w:rsidR="006E3353"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 xml:space="preserve">ncidencia </w:t>
      </w:r>
      <w:r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A</w:t>
      </w:r>
      <w:r w:rsidR="006E3353"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cumulada</w:t>
      </w:r>
      <w:r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 xml:space="preserve"> (2010</w:t>
      </w:r>
      <w:r w:rsidR="006E3353"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-</w:t>
      </w:r>
      <w:r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2012):</w:t>
      </w:r>
    </w:p>
    <w:p w14:paraId="7636992C" w14:textId="25D709FE" w:rsidR="00D65B26" w:rsidRPr="00B2511D" w:rsidRDefault="00D65B26" w:rsidP="00D65B26">
      <w:pPr>
        <w:pStyle w:val="NormalWeb"/>
        <w:numPr>
          <w:ilvl w:val="0"/>
          <w:numId w:val="19"/>
        </w:numPr>
        <w:rPr>
          <w:sz w:val="22"/>
          <w:szCs w:val="22"/>
          <w:highlight w:val="red"/>
          <w:lang w:val="es-ES"/>
        </w:rPr>
      </w:pPr>
      <w:r w:rsidRPr="00B2511D">
        <w:rPr>
          <w:b/>
          <w:bCs/>
          <w:sz w:val="22"/>
          <w:szCs w:val="22"/>
          <w:highlight w:val="red"/>
          <w:lang w:val="es-ES"/>
        </w:rPr>
        <w:t>Numerador</w:t>
      </w:r>
      <w:r w:rsidRPr="00B2511D">
        <w:rPr>
          <w:sz w:val="22"/>
          <w:szCs w:val="22"/>
          <w:highlight w:val="red"/>
          <w:lang w:val="es-ES"/>
        </w:rPr>
        <w:t xml:space="preserve">: </w:t>
      </w:r>
      <w:r w:rsidR="006E3353" w:rsidRPr="00B2511D">
        <w:rPr>
          <w:sz w:val="22"/>
          <w:szCs w:val="22"/>
          <w:highlight w:val="red"/>
          <w:lang w:val="es-ES"/>
        </w:rPr>
        <w:t xml:space="preserve">Cantidad </w:t>
      </w:r>
      <w:r w:rsidRPr="00B2511D">
        <w:rPr>
          <w:sz w:val="22"/>
          <w:szCs w:val="22"/>
          <w:highlight w:val="red"/>
          <w:lang w:val="es-ES"/>
        </w:rPr>
        <w:t>de adultos que estaban sin sobrepeso/obesidad en 2010 y</w:t>
      </w:r>
      <w:r w:rsidRPr="00B2511D">
        <w:rPr>
          <w:rStyle w:val="apple-converted-space"/>
          <w:rFonts w:eastAsiaTheme="majorEastAsia"/>
          <w:sz w:val="22"/>
          <w:szCs w:val="22"/>
          <w:highlight w:val="red"/>
          <w:lang w:val="es-ES"/>
        </w:rPr>
        <w:t> </w:t>
      </w:r>
      <w:r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 xml:space="preserve">se </w:t>
      </w:r>
      <w:r w:rsidRPr="00B2511D">
        <w:rPr>
          <w:rStyle w:val="Strong"/>
          <w:rFonts w:eastAsiaTheme="majorEastAsia"/>
          <w:b w:val="0"/>
          <w:bCs w:val="0"/>
          <w:sz w:val="22"/>
          <w:szCs w:val="22"/>
          <w:highlight w:val="red"/>
          <w:lang w:val="es-ES"/>
        </w:rPr>
        <w:t>convirtieron</w:t>
      </w:r>
      <w:r w:rsidRPr="00B2511D">
        <w:rPr>
          <w:rStyle w:val="apple-converted-space"/>
          <w:rFonts w:eastAsiaTheme="majorEastAsia"/>
          <w:sz w:val="22"/>
          <w:szCs w:val="22"/>
          <w:highlight w:val="red"/>
          <w:lang w:val="es-ES"/>
        </w:rPr>
        <w:t> </w:t>
      </w:r>
      <w:r w:rsidRPr="00B2511D">
        <w:rPr>
          <w:sz w:val="22"/>
          <w:szCs w:val="22"/>
          <w:highlight w:val="red"/>
          <w:lang w:val="es-ES"/>
        </w:rPr>
        <w:t>en sobrepeso/obesidad a 2012.</w:t>
      </w:r>
    </w:p>
    <w:p w14:paraId="2B61A0B8" w14:textId="23D0EE90" w:rsidR="006E3353" w:rsidRPr="00B2511D" w:rsidRDefault="00D65B26" w:rsidP="00D65B26">
      <w:pPr>
        <w:pStyle w:val="NormalWeb"/>
        <w:numPr>
          <w:ilvl w:val="0"/>
          <w:numId w:val="19"/>
        </w:numPr>
        <w:rPr>
          <w:sz w:val="22"/>
          <w:szCs w:val="22"/>
          <w:highlight w:val="red"/>
          <w:lang w:val="es-ES"/>
        </w:rPr>
      </w:pPr>
      <w:r w:rsidRPr="00B2511D">
        <w:rPr>
          <w:b/>
          <w:bCs/>
          <w:sz w:val="22"/>
          <w:szCs w:val="22"/>
          <w:highlight w:val="red"/>
          <w:lang w:val="es-ES"/>
        </w:rPr>
        <w:t>Denominador</w:t>
      </w:r>
      <w:r w:rsidRPr="00B2511D">
        <w:rPr>
          <w:sz w:val="22"/>
          <w:szCs w:val="22"/>
          <w:highlight w:val="red"/>
          <w:lang w:val="es-ES"/>
        </w:rPr>
        <w:t xml:space="preserve">: </w:t>
      </w:r>
      <w:r w:rsidR="006E3353" w:rsidRPr="00B2511D">
        <w:rPr>
          <w:sz w:val="22"/>
          <w:szCs w:val="22"/>
          <w:highlight w:val="red"/>
          <w:lang w:val="es-ES"/>
        </w:rPr>
        <w:t>porcentaje</w:t>
      </w:r>
      <w:r w:rsidRPr="00B2511D">
        <w:rPr>
          <w:sz w:val="22"/>
          <w:szCs w:val="22"/>
          <w:highlight w:val="red"/>
          <w:lang w:val="es-ES"/>
        </w:rPr>
        <w:t xml:space="preserve"> de adultos</w:t>
      </w:r>
      <w:r w:rsidRPr="00B2511D">
        <w:rPr>
          <w:rStyle w:val="apple-converted-space"/>
          <w:rFonts w:eastAsiaTheme="majorEastAsia"/>
          <w:sz w:val="22"/>
          <w:szCs w:val="22"/>
          <w:highlight w:val="red"/>
          <w:lang w:val="es-ES"/>
        </w:rPr>
        <w:t> </w:t>
      </w:r>
      <w:r w:rsidRPr="00B2511D">
        <w:rPr>
          <w:rStyle w:val="Strong"/>
          <w:rFonts w:eastAsiaTheme="majorEastAsia"/>
          <w:b w:val="0"/>
          <w:bCs w:val="0"/>
          <w:sz w:val="22"/>
          <w:szCs w:val="22"/>
          <w:highlight w:val="red"/>
          <w:lang w:val="es-ES"/>
        </w:rPr>
        <w:t>en riesgo en 2010</w:t>
      </w:r>
      <w:r w:rsidRPr="00B2511D">
        <w:rPr>
          <w:rStyle w:val="apple-converted-space"/>
          <w:rFonts w:eastAsiaTheme="majorEastAsia"/>
          <w:sz w:val="22"/>
          <w:szCs w:val="22"/>
          <w:highlight w:val="red"/>
          <w:lang w:val="es-ES"/>
        </w:rPr>
        <w:t> </w:t>
      </w:r>
      <w:r w:rsidRPr="00B2511D">
        <w:rPr>
          <w:sz w:val="22"/>
          <w:szCs w:val="22"/>
          <w:highlight w:val="red"/>
          <w:lang w:val="es-ES"/>
        </w:rPr>
        <w:t>(sin sobrepeso/obesidad).</w:t>
      </w:r>
    </w:p>
    <w:p w14:paraId="21A94FC5" w14:textId="0BFD32DC" w:rsidR="00D65B26" w:rsidRPr="00B2511D" w:rsidRDefault="00D65B26" w:rsidP="006E3353">
      <w:pPr>
        <w:pStyle w:val="NormalWeb"/>
        <w:rPr>
          <w:sz w:val="22"/>
          <w:szCs w:val="22"/>
          <w:highlight w:val="red"/>
          <w:lang w:val="es-ES"/>
        </w:rPr>
      </w:pPr>
      <w:r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T</w:t>
      </w:r>
      <w:r w:rsidR="006E3353"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 xml:space="preserve">asa de </w:t>
      </w:r>
      <w:r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I</w:t>
      </w:r>
      <w:r w:rsidR="006E3353"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ncidencia</w:t>
      </w:r>
      <w:r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 xml:space="preserve"> (2010</w:t>
      </w:r>
      <w:r w:rsidR="006E3353"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-</w:t>
      </w:r>
      <w:r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>2012):</w:t>
      </w:r>
    </w:p>
    <w:p w14:paraId="77660CEF" w14:textId="0F9CAD63" w:rsidR="00D65B26" w:rsidRPr="00B2511D" w:rsidRDefault="00D65B26" w:rsidP="00D65B26">
      <w:pPr>
        <w:pStyle w:val="NormalWeb"/>
        <w:numPr>
          <w:ilvl w:val="0"/>
          <w:numId w:val="20"/>
        </w:numPr>
        <w:rPr>
          <w:sz w:val="22"/>
          <w:szCs w:val="22"/>
          <w:highlight w:val="red"/>
          <w:lang w:val="es-ES"/>
        </w:rPr>
      </w:pPr>
      <w:r w:rsidRPr="00B2511D">
        <w:rPr>
          <w:b/>
          <w:bCs/>
          <w:sz w:val="22"/>
          <w:szCs w:val="22"/>
          <w:highlight w:val="red"/>
          <w:lang w:val="es-ES"/>
        </w:rPr>
        <w:t>Numerador</w:t>
      </w:r>
      <w:r w:rsidRPr="00B2511D">
        <w:rPr>
          <w:sz w:val="22"/>
          <w:szCs w:val="22"/>
          <w:highlight w:val="red"/>
          <w:lang w:val="es-ES"/>
        </w:rPr>
        <w:t xml:space="preserve">: </w:t>
      </w:r>
      <w:r w:rsidR="006E3353" w:rsidRPr="00B2511D">
        <w:rPr>
          <w:sz w:val="22"/>
          <w:szCs w:val="22"/>
          <w:highlight w:val="red"/>
          <w:lang w:val="es-ES"/>
        </w:rPr>
        <w:t>Cantidad de adultos que estaban sin sobrepeso/obesidad en 2010 y</w:t>
      </w:r>
      <w:r w:rsidR="006E3353" w:rsidRPr="00B2511D">
        <w:rPr>
          <w:rStyle w:val="apple-converted-space"/>
          <w:rFonts w:eastAsiaTheme="majorEastAsia"/>
          <w:sz w:val="22"/>
          <w:szCs w:val="22"/>
          <w:highlight w:val="red"/>
          <w:lang w:val="es-ES"/>
        </w:rPr>
        <w:t> </w:t>
      </w:r>
      <w:r w:rsidR="006E3353" w:rsidRPr="00B2511D">
        <w:rPr>
          <w:rStyle w:val="Strong"/>
          <w:rFonts w:eastAsiaTheme="majorEastAsia"/>
          <w:sz w:val="22"/>
          <w:szCs w:val="22"/>
          <w:highlight w:val="red"/>
          <w:lang w:val="es-ES"/>
        </w:rPr>
        <w:t xml:space="preserve">se </w:t>
      </w:r>
      <w:r w:rsidR="006E3353" w:rsidRPr="00B2511D">
        <w:rPr>
          <w:rStyle w:val="Strong"/>
          <w:rFonts w:eastAsiaTheme="majorEastAsia"/>
          <w:b w:val="0"/>
          <w:bCs w:val="0"/>
          <w:sz w:val="22"/>
          <w:szCs w:val="22"/>
          <w:highlight w:val="red"/>
          <w:lang w:val="es-ES"/>
        </w:rPr>
        <w:t>convirtieron</w:t>
      </w:r>
      <w:r w:rsidR="006E3353" w:rsidRPr="00B2511D">
        <w:rPr>
          <w:rStyle w:val="apple-converted-space"/>
          <w:rFonts w:eastAsiaTheme="majorEastAsia"/>
          <w:sz w:val="22"/>
          <w:szCs w:val="22"/>
          <w:highlight w:val="red"/>
          <w:lang w:val="es-ES"/>
        </w:rPr>
        <w:t> </w:t>
      </w:r>
      <w:r w:rsidR="006E3353" w:rsidRPr="00B2511D">
        <w:rPr>
          <w:sz w:val="22"/>
          <w:szCs w:val="22"/>
          <w:highlight w:val="red"/>
          <w:lang w:val="es-ES"/>
        </w:rPr>
        <w:t>en sobrepeso/obesidad a 2012.</w:t>
      </w:r>
    </w:p>
    <w:p w14:paraId="210B1AE5" w14:textId="2F1E0A7C" w:rsidR="00D65B26" w:rsidRPr="00B2511D" w:rsidRDefault="00D65B26" w:rsidP="00D65B26">
      <w:pPr>
        <w:pStyle w:val="NormalWeb"/>
        <w:numPr>
          <w:ilvl w:val="0"/>
          <w:numId w:val="20"/>
        </w:numPr>
        <w:rPr>
          <w:sz w:val="22"/>
          <w:szCs w:val="22"/>
          <w:highlight w:val="red"/>
          <w:lang w:val="es-ES"/>
        </w:rPr>
      </w:pPr>
      <w:r w:rsidRPr="00B2511D">
        <w:rPr>
          <w:b/>
          <w:bCs/>
          <w:sz w:val="22"/>
          <w:szCs w:val="22"/>
          <w:highlight w:val="red"/>
          <w:lang w:val="es-ES"/>
        </w:rPr>
        <w:t>Denominador</w:t>
      </w:r>
      <w:r w:rsidRPr="00B2511D">
        <w:rPr>
          <w:sz w:val="22"/>
          <w:szCs w:val="22"/>
          <w:highlight w:val="red"/>
          <w:lang w:val="es-ES"/>
        </w:rPr>
        <w:t>:</w:t>
      </w:r>
      <w:r w:rsidRPr="00B2511D">
        <w:rPr>
          <w:rStyle w:val="apple-converted-space"/>
          <w:rFonts w:eastAsiaTheme="majorEastAsia"/>
          <w:sz w:val="22"/>
          <w:szCs w:val="22"/>
          <w:highlight w:val="red"/>
          <w:lang w:val="es-ES"/>
        </w:rPr>
        <w:t> </w:t>
      </w:r>
      <w:r w:rsidR="006E3353" w:rsidRPr="00B2511D">
        <w:rPr>
          <w:rStyle w:val="apple-converted-space"/>
          <w:rFonts w:eastAsiaTheme="majorEastAsia"/>
          <w:sz w:val="22"/>
          <w:szCs w:val="22"/>
          <w:highlight w:val="red"/>
          <w:lang w:val="es-ES"/>
        </w:rPr>
        <w:t>(</w:t>
      </w:r>
      <w:r w:rsidRPr="00B2511D">
        <w:rPr>
          <w:rStyle w:val="Strong"/>
          <w:rFonts w:eastAsiaTheme="majorEastAsia"/>
          <w:b w:val="0"/>
          <w:bCs w:val="0"/>
          <w:sz w:val="22"/>
          <w:szCs w:val="22"/>
          <w:highlight w:val="red"/>
          <w:lang w:val="es-ES"/>
        </w:rPr>
        <w:t>persona-</w:t>
      </w:r>
      <w:r w:rsidR="006E3353" w:rsidRPr="00B2511D">
        <w:rPr>
          <w:rStyle w:val="Strong"/>
          <w:rFonts w:eastAsiaTheme="majorEastAsia"/>
          <w:b w:val="0"/>
          <w:bCs w:val="0"/>
          <w:sz w:val="22"/>
          <w:szCs w:val="22"/>
          <w:highlight w:val="red"/>
          <w:lang w:val="es-ES"/>
        </w:rPr>
        <w:t>tiempo</w:t>
      </w:r>
      <w:r w:rsidR="006E3353" w:rsidRPr="00B2511D">
        <w:rPr>
          <w:rStyle w:val="apple-converted-space"/>
          <w:rFonts w:eastAsiaTheme="majorEastAsia"/>
          <w:sz w:val="22"/>
          <w:szCs w:val="22"/>
          <w:highlight w:val="red"/>
          <w:lang w:val="es-ES"/>
        </w:rPr>
        <w:t xml:space="preserve">) </w:t>
      </w:r>
      <w:r w:rsidRPr="00B2511D">
        <w:rPr>
          <w:sz w:val="22"/>
          <w:szCs w:val="22"/>
          <w:highlight w:val="red"/>
          <w:lang w:val="es-ES"/>
        </w:rPr>
        <w:t>acumulado (por ej., años) de todos los participantes mientras permanecen en riesgo; censar pérdidas y quienes desarrollan el evento al momento de ocurrirlo.</w:t>
      </w:r>
    </w:p>
    <w:p w14:paraId="6F15B6F0" w14:textId="77777777" w:rsidR="00D65B26" w:rsidRPr="00B94B12" w:rsidRDefault="00D65B26" w:rsidP="00D65B26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785CA82" w14:textId="74EDDB49" w:rsidR="0072586C" w:rsidRPr="00B94B12" w:rsidRDefault="0072586C" w:rsidP="000F79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¿Qué tipo de estudio diseñaría si quisiera evaluar la correlación entre consumo de edulcorantes y sobrepeso u obesidad de los habitantes de Bogotá?</w:t>
      </w:r>
    </w:p>
    <w:p w14:paraId="77CFAB5C" w14:textId="39FB5CA9" w:rsidR="000F79C2" w:rsidRPr="00B94B12" w:rsidRDefault="00BA1451" w:rsidP="00B94B12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lastRenderedPageBreak/>
        <w:t>La propuesta más adecuada sería un e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studio transversal analítico de base poblacional con muestreo probabilístico estratificado por localidades/UPZ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.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E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n una única visita se mide la exposición (tipo y frecuencia/cantidad de edulcorantes) y el desenlace (IMC para clasificar sobrepeso/obesidad) y se estima la asociación mediante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una razón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de prevalencia con modelo de Poisson o log-binomial, incorporando pesos, estratos y ajustando por edad, sexo, nivel socioeconómico, escolaridad y actividad física.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Debido a que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el objetivo es evaluar correlación/asociación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,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mas no efectos causales,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y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con ello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obtener estimaciones representativas de la población adulta de Bogotá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,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hacerlo de esa forma implica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lograr una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cuantificación de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prevalencias y la fuerza de la asociación a nivel poblacional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entre el consumo de edulcorantes y obesidad o sobrepeso. </w:t>
      </w:r>
    </w:p>
    <w:p w14:paraId="62B6E2F9" w14:textId="046E445E" w:rsidR="0072586C" w:rsidRPr="00B94B12" w:rsidRDefault="0072586C" w:rsidP="00703C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Describa el diseño del estudio de la pregunta #5 (Tipo de muestra, seguimiento, características de la población a estudio, variables a estudiar entre otras)</w:t>
      </w:r>
    </w:p>
    <w:p w14:paraId="6515DC5A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Tipo de estudio: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transversal analítico de base poblacional.</w:t>
      </w:r>
    </w:p>
    <w:p w14:paraId="3A10FE5E" w14:textId="23CF5C55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Muestra: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probabilística estratificada y </w:t>
      </w:r>
      <w:proofErr w:type="spellStart"/>
      <w:r w:rsidRPr="00B94B12">
        <w:rPr>
          <w:color w:val="000000"/>
          <w:sz w:val="22"/>
          <w:szCs w:val="22"/>
          <w:lang w:val="es-ES"/>
        </w:rPr>
        <w:t>multietápica</w:t>
      </w:r>
      <w:proofErr w:type="spellEnd"/>
    </w:p>
    <w:p w14:paraId="38FB3158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Estratos: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localidades/UPZ</w:t>
      </w:r>
    </w:p>
    <w:p w14:paraId="0DA3144D" w14:textId="47C355AC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Documentación para análisis: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pesos, estratos y </w:t>
      </w:r>
      <w:r w:rsidR="00B94B12" w:rsidRPr="00B94B12">
        <w:rPr>
          <w:color w:val="000000"/>
          <w:sz w:val="22"/>
          <w:szCs w:val="22"/>
          <w:lang w:val="es-ES"/>
        </w:rPr>
        <w:t>UPM (unidad primaria de muestreo)</w:t>
      </w:r>
    </w:p>
    <w:p w14:paraId="444E84F8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Seguimiento: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no aplica (una sola medición).</w:t>
      </w:r>
    </w:p>
    <w:p w14:paraId="13500460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Población: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adultos ≥18 años residentes habituales de Bogotá en viviendas particulares</w:t>
      </w:r>
    </w:p>
    <w:p w14:paraId="7FC48806" w14:textId="7B75BF20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Exclusiones: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embarazo o </w:t>
      </w:r>
      <w:r w:rsidR="00B94B12" w:rsidRPr="00B94B12">
        <w:rPr>
          <w:color w:val="000000"/>
          <w:sz w:val="22"/>
          <w:szCs w:val="22"/>
          <w:lang w:val="es-ES"/>
        </w:rPr>
        <w:t>condición física inviable para el desarrollo normal</w:t>
      </w:r>
    </w:p>
    <w:p w14:paraId="31A35461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Variables:</w:t>
      </w:r>
    </w:p>
    <w:p w14:paraId="61E8CD00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Exposición: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consumo de edulcorantes (tipo —no calóricos/polioles—, fuentes y frecuencia/cantidad; categorías: no/bajo/alto)</w:t>
      </w:r>
    </w:p>
    <w:p w14:paraId="3B0D68F2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Desenlace: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sobrepeso/obesidad por IMC ≥25 (peso/talla estandarizados, dos lecturas y promedio)</w:t>
      </w:r>
    </w:p>
    <w:p w14:paraId="0C7FCDA1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Confusores clave: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edad, sexo, estrato/Sisbén, escolaridad, actividad física (MET-min/</w:t>
      </w:r>
      <w:proofErr w:type="spellStart"/>
      <w:r w:rsidRPr="00B94B12">
        <w:rPr>
          <w:color w:val="000000"/>
          <w:sz w:val="22"/>
          <w:szCs w:val="22"/>
          <w:lang w:val="es-ES"/>
        </w:rPr>
        <w:t>sem</w:t>
      </w:r>
      <w:proofErr w:type="spellEnd"/>
      <w:r w:rsidRPr="00B94B12">
        <w:rPr>
          <w:color w:val="000000"/>
          <w:sz w:val="22"/>
          <w:szCs w:val="22"/>
          <w:lang w:val="es-ES"/>
        </w:rPr>
        <w:t>), ocupación, etnia</w:t>
      </w:r>
    </w:p>
    <w:p w14:paraId="1E00586E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Opcionales: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energía total, tabaquismo, alcohol, intención de bajar de peso</w:t>
      </w:r>
    </w:p>
    <w:p w14:paraId="0E4D3D9E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Procedimientos: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capacitación y piloto; calibración diaria de equipos; controles de calidad en campo.</w:t>
      </w:r>
    </w:p>
    <w:p w14:paraId="44419F14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Análisis: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estimar prevalencias ponderadas y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razones de prevalencia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crudas/ajustadas mediante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Poisson robusto</w:t>
      </w:r>
      <w:r w:rsidRPr="00B94B12">
        <w:rPr>
          <w:rStyle w:val="apple-converted-space"/>
          <w:rFonts w:eastAsiaTheme="majorEastAsia"/>
          <w:b/>
          <w:bCs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o</w:t>
      </w:r>
      <w:r w:rsidRPr="00B94B12">
        <w:rPr>
          <w:rStyle w:val="apple-converted-space"/>
          <w:rFonts w:eastAsiaTheme="majorEastAsia"/>
          <w:b/>
          <w:bCs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log-binomial</w:t>
      </w:r>
      <w:r w:rsidRPr="00B94B12">
        <w:rPr>
          <w:color w:val="000000"/>
          <w:sz w:val="22"/>
          <w:szCs w:val="22"/>
          <w:lang w:val="es-ES"/>
        </w:rPr>
        <w:t>, incorporando pesos, estratos y conglomerados</w:t>
      </w:r>
    </w:p>
    <w:p w14:paraId="2480A373" w14:textId="321C6F03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Sensibilidades: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redefinir exposición; excluir quienes reportan estar “a dieta”</w:t>
      </w:r>
      <w:r w:rsidR="00B94B12" w:rsidRPr="00B94B12">
        <w:rPr>
          <w:color w:val="000000"/>
          <w:sz w:val="22"/>
          <w:szCs w:val="22"/>
          <w:lang w:val="es-ES"/>
        </w:rPr>
        <w:t xml:space="preserve"> o deportistas</w:t>
      </w:r>
      <w:r w:rsidRPr="00B94B12">
        <w:rPr>
          <w:color w:val="000000"/>
          <w:sz w:val="22"/>
          <w:szCs w:val="22"/>
          <w:lang w:val="es-ES"/>
        </w:rPr>
        <w:t>.</w:t>
      </w:r>
    </w:p>
    <w:p w14:paraId="6E5D17FD" w14:textId="77777777" w:rsidR="00703CA2" w:rsidRPr="00B94B12" w:rsidRDefault="00703CA2" w:rsidP="00703CA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3467D46F" w14:textId="56DF80A9" w:rsidR="00CB4E81" w:rsidRPr="00B94B12" w:rsidRDefault="0072586C" w:rsidP="00703CA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Complete la siguiente tabla con los resultados del taller. </w:t>
      </w: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Incluyendo TODAS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las variables nuevas del </w:t>
      </w:r>
      <w:proofErr w:type="spellStart"/>
      <w:r w:rsidRPr="00B94B12">
        <w:rPr>
          <w:rFonts w:ascii="Times New Roman" w:hAnsi="Times New Roman" w:cs="Times New Roman"/>
          <w:sz w:val="22"/>
          <w:szCs w:val="22"/>
          <w:lang w:val="es-ES"/>
        </w:rPr>
        <w:t>codebook</w:t>
      </w:r>
      <w:proofErr w:type="spellEnd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, excepto IMCNEW2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. No incluya los </w:t>
      </w:r>
      <w:proofErr w:type="spellStart"/>
      <w:r w:rsidRPr="00B94B12">
        <w:rPr>
          <w:rFonts w:ascii="Times New Roman" w:hAnsi="Times New Roman" w:cs="Times New Roman"/>
          <w:sz w:val="22"/>
          <w:szCs w:val="22"/>
          <w:lang w:val="es-ES"/>
        </w:rPr>
        <w:t>missings</w:t>
      </w:r>
      <w:proofErr w:type="spellEnd"/>
      <w:r w:rsidRPr="00B94B12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14:paraId="20DF56FA" w14:textId="77777777" w:rsidR="001822BE" w:rsidRPr="00B94B12" w:rsidRDefault="001822BE" w:rsidP="00B94B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208"/>
        <w:gridCol w:w="1255"/>
        <w:gridCol w:w="1283"/>
        <w:gridCol w:w="1773"/>
        <w:gridCol w:w="1916"/>
      </w:tblGrid>
      <w:tr w:rsidR="007E57CB" w:rsidRPr="007E57CB" w14:paraId="670880B7" w14:textId="77777777" w:rsidTr="007E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29AAF" w14:textId="77777777" w:rsidR="007E57CB" w:rsidRPr="007E57CB" w:rsidRDefault="007E57CB" w:rsidP="007E57C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14:paraId="60C4ECD6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Categoría</w:t>
            </w:r>
            <w:proofErr w:type="spellEnd"/>
          </w:p>
        </w:tc>
        <w:tc>
          <w:tcPr>
            <w:tcW w:w="0" w:type="auto"/>
            <w:hideMark/>
          </w:tcPr>
          <w:p w14:paraId="7DBEAF98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Frecuencia</w:t>
            </w:r>
            <w:proofErr w:type="spellEnd"/>
          </w:p>
        </w:tc>
        <w:tc>
          <w:tcPr>
            <w:tcW w:w="0" w:type="auto"/>
            <w:hideMark/>
          </w:tcPr>
          <w:p w14:paraId="176362F7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Porcentaje</w:t>
            </w:r>
            <w:proofErr w:type="spellEnd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  <w:tc>
          <w:tcPr>
            <w:tcW w:w="0" w:type="auto"/>
            <w:hideMark/>
          </w:tcPr>
          <w:p w14:paraId="5AD8643D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Prevalencia_SO</w:t>
            </w:r>
            <w:proofErr w:type="spellEnd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  <w:tc>
          <w:tcPr>
            <w:tcW w:w="0" w:type="auto"/>
            <w:hideMark/>
          </w:tcPr>
          <w:p w14:paraId="3A8A4F14" w14:textId="77777777" w:rsidR="007E57CB" w:rsidRPr="007E57CB" w:rsidRDefault="007E57CB" w:rsidP="007E5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Total_sin_missing</w:t>
            </w:r>
            <w:proofErr w:type="spellEnd"/>
          </w:p>
        </w:tc>
      </w:tr>
      <w:tr w:rsidR="007E57CB" w:rsidRPr="007E57CB" w14:paraId="4011544F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ECD23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EDAD_NEW</w:t>
            </w:r>
          </w:p>
        </w:tc>
        <w:tc>
          <w:tcPr>
            <w:tcW w:w="0" w:type="auto"/>
            <w:hideMark/>
          </w:tcPr>
          <w:p w14:paraId="20509DB2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18–25</w:t>
            </w:r>
          </w:p>
        </w:tc>
        <w:tc>
          <w:tcPr>
            <w:tcW w:w="0" w:type="auto"/>
            <w:hideMark/>
          </w:tcPr>
          <w:p w14:paraId="4FBE714E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3 950</w:t>
            </w:r>
          </w:p>
        </w:tc>
        <w:tc>
          <w:tcPr>
            <w:tcW w:w="0" w:type="auto"/>
            <w:hideMark/>
          </w:tcPr>
          <w:p w14:paraId="580DADA7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29.2</w:t>
            </w:r>
          </w:p>
        </w:tc>
        <w:tc>
          <w:tcPr>
            <w:tcW w:w="0" w:type="auto"/>
            <w:hideMark/>
          </w:tcPr>
          <w:p w14:paraId="1FCBC439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32.8</w:t>
            </w:r>
          </w:p>
        </w:tc>
        <w:tc>
          <w:tcPr>
            <w:tcW w:w="0" w:type="auto"/>
            <w:hideMark/>
          </w:tcPr>
          <w:p w14:paraId="67338F67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3E9A5123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C3822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EDAD_NEW</w:t>
            </w:r>
          </w:p>
        </w:tc>
        <w:tc>
          <w:tcPr>
            <w:tcW w:w="0" w:type="auto"/>
            <w:hideMark/>
          </w:tcPr>
          <w:p w14:paraId="62625D98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&gt;25</w:t>
            </w:r>
          </w:p>
        </w:tc>
        <w:tc>
          <w:tcPr>
            <w:tcW w:w="0" w:type="auto"/>
            <w:hideMark/>
          </w:tcPr>
          <w:p w14:paraId="72AD89F9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9 586</w:t>
            </w:r>
          </w:p>
        </w:tc>
        <w:tc>
          <w:tcPr>
            <w:tcW w:w="0" w:type="auto"/>
            <w:hideMark/>
          </w:tcPr>
          <w:p w14:paraId="06931C08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70.8</w:t>
            </w:r>
          </w:p>
        </w:tc>
        <w:tc>
          <w:tcPr>
            <w:tcW w:w="0" w:type="auto"/>
            <w:hideMark/>
          </w:tcPr>
          <w:p w14:paraId="54A71B13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65.3</w:t>
            </w:r>
          </w:p>
        </w:tc>
        <w:tc>
          <w:tcPr>
            <w:tcW w:w="0" w:type="auto"/>
            <w:hideMark/>
          </w:tcPr>
          <w:p w14:paraId="29C67C46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5BEB25AC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77F09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SEXO</w:t>
            </w:r>
          </w:p>
        </w:tc>
        <w:tc>
          <w:tcPr>
            <w:tcW w:w="0" w:type="auto"/>
            <w:hideMark/>
          </w:tcPr>
          <w:p w14:paraId="23415583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Hombre</w:t>
            </w:r>
          </w:p>
        </w:tc>
        <w:tc>
          <w:tcPr>
            <w:tcW w:w="0" w:type="auto"/>
            <w:hideMark/>
          </w:tcPr>
          <w:p w14:paraId="1C7A42E1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5 675</w:t>
            </w:r>
          </w:p>
        </w:tc>
        <w:tc>
          <w:tcPr>
            <w:tcW w:w="0" w:type="auto"/>
            <w:hideMark/>
          </w:tcPr>
          <w:p w14:paraId="196485B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41.9</w:t>
            </w:r>
          </w:p>
        </w:tc>
        <w:tc>
          <w:tcPr>
            <w:tcW w:w="0" w:type="auto"/>
            <w:hideMark/>
          </w:tcPr>
          <w:p w14:paraId="406B4886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51.4</w:t>
            </w:r>
          </w:p>
        </w:tc>
        <w:tc>
          <w:tcPr>
            <w:tcW w:w="0" w:type="auto"/>
            <w:hideMark/>
          </w:tcPr>
          <w:p w14:paraId="6ECA249A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7198E80F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12FBE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SEXO</w:t>
            </w:r>
          </w:p>
        </w:tc>
        <w:tc>
          <w:tcPr>
            <w:tcW w:w="0" w:type="auto"/>
            <w:hideMark/>
          </w:tcPr>
          <w:p w14:paraId="19617A52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Mujer</w:t>
            </w:r>
          </w:p>
        </w:tc>
        <w:tc>
          <w:tcPr>
            <w:tcW w:w="0" w:type="auto"/>
            <w:hideMark/>
          </w:tcPr>
          <w:p w14:paraId="4B9E5DA7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7 861</w:t>
            </w:r>
          </w:p>
        </w:tc>
        <w:tc>
          <w:tcPr>
            <w:tcW w:w="0" w:type="auto"/>
            <w:hideMark/>
          </w:tcPr>
          <w:p w14:paraId="157B9C8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58.1</w:t>
            </w:r>
          </w:p>
        </w:tc>
        <w:tc>
          <w:tcPr>
            <w:tcW w:w="0" w:type="auto"/>
            <w:hideMark/>
          </w:tcPr>
          <w:p w14:paraId="42316846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56.5</w:t>
            </w:r>
          </w:p>
        </w:tc>
        <w:tc>
          <w:tcPr>
            <w:tcW w:w="0" w:type="auto"/>
            <w:hideMark/>
          </w:tcPr>
          <w:p w14:paraId="7C7A0EDB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673A1427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B7513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ETNIA</w:t>
            </w:r>
          </w:p>
        </w:tc>
        <w:tc>
          <w:tcPr>
            <w:tcW w:w="0" w:type="auto"/>
            <w:hideMark/>
          </w:tcPr>
          <w:p w14:paraId="5C97037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No </w:t>
            </w: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minoría</w:t>
            </w:r>
            <w:proofErr w:type="spellEnd"/>
          </w:p>
        </w:tc>
        <w:tc>
          <w:tcPr>
            <w:tcW w:w="0" w:type="auto"/>
            <w:hideMark/>
          </w:tcPr>
          <w:p w14:paraId="286DA4F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12 087</w:t>
            </w:r>
          </w:p>
        </w:tc>
        <w:tc>
          <w:tcPr>
            <w:tcW w:w="0" w:type="auto"/>
            <w:hideMark/>
          </w:tcPr>
          <w:p w14:paraId="115F1178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89.3</w:t>
            </w:r>
          </w:p>
        </w:tc>
        <w:tc>
          <w:tcPr>
            <w:tcW w:w="0" w:type="auto"/>
            <w:hideMark/>
          </w:tcPr>
          <w:p w14:paraId="072DEBB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54.1</w:t>
            </w:r>
          </w:p>
        </w:tc>
        <w:tc>
          <w:tcPr>
            <w:tcW w:w="0" w:type="auto"/>
            <w:hideMark/>
          </w:tcPr>
          <w:p w14:paraId="07B93530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34E568D4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41255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ETNIA</w:t>
            </w:r>
          </w:p>
        </w:tc>
        <w:tc>
          <w:tcPr>
            <w:tcW w:w="0" w:type="auto"/>
            <w:hideMark/>
          </w:tcPr>
          <w:p w14:paraId="14E00B84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Minoría</w:t>
            </w:r>
            <w:proofErr w:type="spellEnd"/>
          </w:p>
        </w:tc>
        <w:tc>
          <w:tcPr>
            <w:tcW w:w="0" w:type="auto"/>
            <w:hideMark/>
          </w:tcPr>
          <w:p w14:paraId="7226891D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1 449</w:t>
            </w:r>
          </w:p>
        </w:tc>
        <w:tc>
          <w:tcPr>
            <w:tcW w:w="0" w:type="auto"/>
            <w:hideMark/>
          </w:tcPr>
          <w:p w14:paraId="4B670649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10.7</w:t>
            </w:r>
          </w:p>
        </w:tc>
        <w:tc>
          <w:tcPr>
            <w:tcW w:w="0" w:type="auto"/>
            <w:hideMark/>
          </w:tcPr>
          <w:p w14:paraId="4A68F5D0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56.5</w:t>
            </w:r>
          </w:p>
        </w:tc>
        <w:tc>
          <w:tcPr>
            <w:tcW w:w="0" w:type="auto"/>
            <w:hideMark/>
          </w:tcPr>
          <w:p w14:paraId="37AAF77E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00991170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34E80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SISBEN</w:t>
            </w:r>
          </w:p>
        </w:tc>
        <w:tc>
          <w:tcPr>
            <w:tcW w:w="0" w:type="auto"/>
            <w:hideMark/>
          </w:tcPr>
          <w:p w14:paraId="14177B44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1–3</w:t>
            </w:r>
          </w:p>
        </w:tc>
        <w:tc>
          <w:tcPr>
            <w:tcW w:w="0" w:type="auto"/>
            <w:hideMark/>
          </w:tcPr>
          <w:p w14:paraId="63E08F5B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8 250</w:t>
            </w:r>
          </w:p>
        </w:tc>
        <w:tc>
          <w:tcPr>
            <w:tcW w:w="0" w:type="auto"/>
            <w:hideMark/>
          </w:tcPr>
          <w:p w14:paraId="38E883FB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60.9</w:t>
            </w:r>
          </w:p>
        </w:tc>
        <w:tc>
          <w:tcPr>
            <w:tcW w:w="0" w:type="auto"/>
            <w:hideMark/>
          </w:tcPr>
          <w:p w14:paraId="4B1BF991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53.6</w:t>
            </w:r>
          </w:p>
        </w:tc>
        <w:tc>
          <w:tcPr>
            <w:tcW w:w="0" w:type="auto"/>
            <w:hideMark/>
          </w:tcPr>
          <w:p w14:paraId="0B421129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724CAADB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EAA5E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SISBEN</w:t>
            </w:r>
          </w:p>
        </w:tc>
        <w:tc>
          <w:tcPr>
            <w:tcW w:w="0" w:type="auto"/>
            <w:hideMark/>
          </w:tcPr>
          <w:p w14:paraId="7E1A7FD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4–6</w:t>
            </w:r>
          </w:p>
        </w:tc>
        <w:tc>
          <w:tcPr>
            <w:tcW w:w="0" w:type="auto"/>
            <w:hideMark/>
          </w:tcPr>
          <w:p w14:paraId="59A80A9A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5 286</w:t>
            </w:r>
          </w:p>
        </w:tc>
        <w:tc>
          <w:tcPr>
            <w:tcW w:w="0" w:type="auto"/>
            <w:hideMark/>
          </w:tcPr>
          <w:p w14:paraId="1EAB98C7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39.1</w:t>
            </w:r>
          </w:p>
        </w:tc>
        <w:tc>
          <w:tcPr>
            <w:tcW w:w="0" w:type="auto"/>
            <w:hideMark/>
          </w:tcPr>
          <w:p w14:paraId="3810D42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55.5</w:t>
            </w:r>
          </w:p>
        </w:tc>
        <w:tc>
          <w:tcPr>
            <w:tcW w:w="0" w:type="auto"/>
            <w:hideMark/>
          </w:tcPr>
          <w:p w14:paraId="78A87991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7284FFF8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38514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ESCOLARIDAD</w:t>
            </w:r>
          </w:p>
        </w:tc>
        <w:tc>
          <w:tcPr>
            <w:tcW w:w="0" w:type="auto"/>
            <w:hideMark/>
          </w:tcPr>
          <w:p w14:paraId="73550AEF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Básica</w:t>
            </w:r>
            <w:proofErr w:type="spellEnd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/ Media</w:t>
            </w:r>
          </w:p>
        </w:tc>
        <w:tc>
          <w:tcPr>
            <w:tcW w:w="0" w:type="auto"/>
            <w:hideMark/>
          </w:tcPr>
          <w:p w14:paraId="20915549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10 317</w:t>
            </w:r>
          </w:p>
        </w:tc>
        <w:tc>
          <w:tcPr>
            <w:tcW w:w="0" w:type="auto"/>
            <w:hideMark/>
          </w:tcPr>
          <w:p w14:paraId="02818F7D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76.5</w:t>
            </w:r>
          </w:p>
        </w:tc>
        <w:tc>
          <w:tcPr>
            <w:tcW w:w="0" w:type="auto"/>
            <w:hideMark/>
          </w:tcPr>
          <w:p w14:paraId="3F6A6A34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55.3</w:t>
            </w:r>
          </w:p>
        </w:tc>
        <w:tc>
          <w:tcPr>
            <w:tcW w:w="0" w:type="auto"/>
            <w:hideMark/>
          </w:tcPr>
          <w:p w14:paraId="707924C8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13 494</w:t>
            </w:r>
          </w:p>
        </w:tc>
      </w:tr>
      <w:tr w:rsidR="007E57CB" w:rsidRPr="007E57CB" w14:paraId="5365CB1C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CBBE9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ESCOLARIDAD</w:t>
            </w:r>
          </w:p>
        </w:tc>
        <w:tc>
          <w:tcPr>
            <w:tcW w:w="0" w:type="auto"/>
            <w:hideMark/>
          </w:tcPr>
          <w:p w14:paraId="47A1CC5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Téc</w:t>
            </w:r>
            <w:proofErr w:type="spellEnd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/ Univ / Pos</w:t>
            </w:r>
          </w:p>
        </w:tc>
        <w:tc>
          <w:tcPr>
            <w:tcW w:w="0" w:type="auto"/>
            <w:hideMark/>
          </w:tcPr>
          <w:p w14:paraId="2529C2D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3 177</w:t>
            </w:r>
          </w:p>
        </w:tc>
        <w:tc>
          <w:tcPr>
            <w:tcW w:w="0" w:type="auto"/>
            <w:hideMark/>
          </w:tcPr>
          <w:p w14:paraId="4E2538CE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23.5</w:t>
            </w:r>
          </w:p>
        </w:tc>
        <w:tc>
          <w:tcPr>
            <w:tcW w:w="0" w:type="auto"/>
            <w:hideMark/>
          </w:tcPr>
          <w:p w14:paraId="05010A3C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51.0</w:t>
            </w:r>
          </w:p>
        </w:tc>
        <w:tc>
          <w:tcPr>
            <w:tcW w:w="0" w:type="auto"/>
            <w:hideMark/>
          </w:tcPr>
          <w:p w14:paraId="13F259A5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13 494</w:t>
            </w:r>
          </w:p>
        </w:tc>
      </w:tr>
      <w:tr w:rsidR="007E57CB" w:rsidRPr="007E57CB" w14:paraId="6866AE83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DC58C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OCUPACION</w:t>
            </w:r>
          </w:p>
        </w:tc>
        <w:tc>
          <w:tcPr>
            <w:tcW w:w="0" w:type="auto"/>
            <w:hideMark/>
          </w:tcPr>
          <w:p w14:paraId="0E002D35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Inactivo</w:t>
            </w:r>
            <w:proofErr w:type="spellEnd"/>
          </w:p>
        </w:tc>
        <w:tc>
          <w:tcPr>
            <w:tcW w:w="0" w:type="auto"/>
            <w:hideMark/>
          </w:tcPr>
          <w:p w14:paraId="37D2F737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5 344</w:t>
            </w:r>
          </w:p>
        </w:tc>
        <w:tc>
          <w:tcPr>
            <w:tcW w:w="0" w:type="auto"/>
            <w:hideMark/>
          </w:tcPr>
          <w:p w14:paraId="3362C2D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39.5</w:t>
            </w:r>
          </w:p>
        </w:tc>
        <w:tc>
          <w:tcPr>
            <w:tcW w:w="0" w:type="auto"/>
            <w:hideMark/>
          </w:tcPr>
          <w:p w14:paraId="6EDA4F81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51.8</w:t>
            </w:r>
          </w:p>
        </w:tc>
        <w:tc>
          <w:tcPr>
            <w:tcW w:w="0" w:type="auto"/>
            <w:hideMark/>
          </w:tcPr>
          <w:p w14:paraId="4829030C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5986748D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1B88C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OCUPACION</w:t>
            </w:r>
          </w:p>
        </w:tc>
        <w:tc>
          <w:tcPr>
            <w:tcW w:w="0" w:type="auto"/>
            <w:hideMark/>
          </w:tcPr>
          <w:p w14:paraId="6251AE58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Activo</w:t>
            </w:r>
            <w:proofErr w:type="spellEnd"/>
          </w:p>
        </w:tc>
        <w:tc>
          <w:tcPr>
            <w:tcW w:w="0" w:type="auto"/>
            <w:hideMark/>
          </w:tcPr>
          <w:p w14:paraId="729A5DDA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8 192</w:t>
            </w:r>
          </w:p>
        </w:tc>
        <w:tc>
          <w:tcPr>
            <w:tcW w:w="0" w:type="auto"/>
            <w:hideMark/>
          </w:tcPr>
          <w:p w14:paraId="270F6603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60.5</w:t>
            </w:r>
          </w:p>
        </w:tc>
        <w:tc>
          <w:tcPr>
            <w:tcW w:w="0" w:type="auto"/>
            <w:hideMark/>
          </w:tcPr>
          <w:p w14:paraId="14C957A3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56.0</w:t>
            </w:r>
          </w:p>
        </w:tc>
        <w:tc>
          <w:tcPr>
            <w:tcW w:w="0" w:type="auto"/>
            <w:hideMark/>
          </w:tcPr>
          <w:p w14:paraId="0B33B3D4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515FE5F8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22954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DISCAPACIDAD</w:t>
            </w:r>
          </w:p>
        </w:tc>
        <w:tc>
          <w:tcPr>
            <w:tcW w:w="0" w:type="auto"/>
            <w:hideMark/>
          </w:tcPr>
          <w:p w14:paraId="1D6848C5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4BC6B75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12 783</w:t>
            </w:r>
          </w:p>
        </w:tc>
        <w:tc>
          <w:tcPr>
            <w:tcW w:w="0" w:type="auto"/>
            <w:hideMark/>
          </w:tcPr>
          <w:p w14:paraId="0B7342B2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94.4</w:t>
            </w:r>
          </w:p>
        </w:tc>
        <w:tc>
          <w:tcPr>
            <w:tcW w:w="0" w:type="auto"/>
            <w:hideMark/>
          </w:tcPr>
          <w:p w14:paraId="5FD25C50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54.0</w:t>
            </w:r>
          </w:p>
        </w:tc>
        <w:tc>
          <w:tcPr>
            <w:tcW w:w="0" w:type="auto"/>
            <w:hideMark/>
          </w:tcPr>
          <w:p w14:paraId="242C4500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6F183251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6342E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DISCAPACIDAD</w:t>
            </w:r>
          </w:p>
        </w:tc>
        <w:tc>
          <w:tcPr>
            <w:tcW w:w="0" w:type="auto"/>
            <w:hideMark/>
          </w:tcPr>
          <w:p w14:paraId="740CC7C9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Sí</w:t>
            </w:r>
            <w:proofErr w:type="spellEnd"/>
          </w:p>
        </w:tc>
        <w:tc>
          <w:tcPr>
            <w:tcW w:w="0" w:type="auto"/>
            <w:hideMark/>
          </w:tcPr>
          <w:p w14:paraId="29596C9F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753</w:t>
            </w:r>
          </w:p>
        </w:tc>
        <w:tc>
          <w:tcPr>
            <w:tcW w:w="0" w:type="auto"/>
            <w:hideMark/>
          </w:tcPr>
          <w:p w14:paraId="66A8DA50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5.6</w:t>
            </w:r>
          </w:p>
        </w:tc>
        <w:tc>
          <w:tcPr>
            <w:tcW w:w="0" w:type="auto"/>
            <w:hideMark/>
          </w:tcPr>
          <w:p w14:paraId="76CC24FF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60.4</w:t>
            </w:r>
          </w:p>
        </w:tc>
        <w:tc>
          <w:tcPr>
            <w:tcW w:w="0" w:type="auto"/>
            <w:hideMark/>
          </w:tcPr>
          <w:p w14:paraId="10B44719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13837291" w14:textId="77777777" w:rsidTr="007E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F3C06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TLMEETT</w:t>
            </w:r>
          </w:p>
        </w:tc>
        <w:tc>
          <w:tcPr>
            <w:tcW w:w="0" w:type="auto"/>
            <w:hideMark/>
          </w:tcPr>
          <w:p w14:paraId="10BE698E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No </w:t>
            </w: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cumple</w:t>
            </w:r>
            <w:proofErr w:type="spellEnd"/>
          </w:p>
        </w:tc>
        <w:tc>
          <w:tcPr>
            <w:tcW w:w="0" w:type="auto"/>
            <w:hideMark/>
          </w:tcPr>
          <w:p w14:paraId="73E428FA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10 786</w:t>
            </w:r>
          </w:p>
        </w:tc>
        <w:tc>
          <w:tcPr>
            <w:tcW w:w="0" w:type="auto"/>
            <w:hideMark/>
          </w:tcPr>
          <w:p w14:paraId="1304E819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79.7</w:t>
            </w:r>
          </w:p>
        </w:tc>
        <w:tc>
          <w:tcPr>
            <w:tcW w:w="0" w:type="auto"/>
            <w:hideMark/>
          </w:tcPr>
          <w:p w14:paraId="3E48C280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55.5</w:t>
            </w:r>
          </w:p>
        </w:tc>
        <w:tc>
          <w:tcPr>
            <w:tcW w:w="0" w:type="auto"/>
            <w:hideMark/>
          </w:tcPr>
          <w:p w14:paraId="085A83EB" w14:textId="77777777" w:rsidR="007E57CB" w:rsidRPr="007E57CB" w:rsidRDefault="007E57CB" w:rsidP="007E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  <w:tr w:rsidR="007E57CB" w:rsidRPr="007E57CB" w14:paraId="65CDFEE4" w14:textId="77777777" w:rsidTr="007E5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ECDE3" w14:textId="77777777" w:rsidR="007E57CB" w:rsidRPr="007E57CB" w:rsidRDefault="007E57CB" w:rsidP="007E57C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TLMEETT</w:t>
            </w:r>
          </w:p>
        </w:tc>
        <w:tc>
          <w:tcPr>
            <w:tcW w:w="0" w:type="auto"/>
            <w:hideMark/>
          </w:tcPr>
          <w:p w14:paraId="7CBD538E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Cumple</w:t>
            </w:r>
            <w:proofErr w:type="spellEnd"/>
          </w:p>
        </w:tc>
        <w:tc>
          <w:tcPr>
            <w:tcW w:w="0" w:type="auto"/>
            <w:hideMark/>
          </w:tcPr>
          <w:p w14:paraId="063B637A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2 750</w:t>
            </w:r>
          </w:p>
        </w:tc>
        <w:tc>
          <w:tcPr>
            <w:tcW w:w="0" w:type="auto"/>
            <w:hideMark/>
          </w:tcPr>
          <w:p w14:paraId="2F640096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20.3</w:t>
            </w:r>
          </w:p>
        </w:tc>
        <w:tc>
          <w:tcPr>
            <w:tcW w:w="0" w:type="auto"/>
            <w:hideMark/>
          </w:tcPr>
          <w:p w14:paraId="2A7735FD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49.8</w:t>
            </w:r>
          </w:p>
        </w:tc>
        <w:tc>
          <w:tcPr>
            <w:tcW w:w="0" w:type="auto"/>
            <w:hideMark/>
          </w:tcPr>
          <w:p w14:paraId="3A5EE6EE" w14:textId="77777777" w:rsidR="007E57CB" w:rsidRPr="007E57CB" w:rsidRDefault="007E57CB" w:rsidP="007E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57C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13 536</w:t>
            </w:r>
          </w:p>
        </w:tc>
      </w:tr>
    </w:tbl>
    <w:p w14:paraId="4802D5F7" w14:textId="77777777" w:rsidR="00CB4E81" w:rsidRPr="0072586C" w:rsidRDefault="00CB4E81" w:rsidP="00C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p w14:paraId="48243F69" w14:textId="24B0AF64" w:rsidR="00B94B12" w:rsidRPr="00B94B12" w:rsidRDefault="00B94B12" w:rsidP="00B94B1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En un párrafo describa los resultados de la tabla.</w:t>
      </w:r>
    </w:p>
    <w:p w14:paraId="2287C1CC" w14:textId="29E29329" w:rsidR="00B94B12" w:rsidRPr="00D728BE" w:rsidRDefault="007E57CB" w:rsidP="00B94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D728B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La muestra válida (n=13 536; sin valores perdidos en la mayoría de las variables) está compuesta por 29.2 % de adultos jóvenes de 18–25 años y 70.8 % de personas mayores de 25 años; 58.1 % mujeres y 41.9 % hombres. El 89.3 % no se identifica como minoría étnica; 60.9 % está clasificado en Sisbén 1–3; 76.5 % reporta escolaridad básica o media; 60.5 % está laboralmente activo; 5.6 % reporta alguna discapacidad; y 20.3 % cumple con la recomendación mínima de actividad física. La prevalencia de sobrepeso/obesidad (IMC ≥ 25) fue mayor en mayores de 25 años frente a 18–25 (65.3 % vs 32.8 %), mayor en mujeres que en hombres (56.5 % vs 51.4 %), ligeramente mayor en Sisbén 4–6 que en Sisbén 1–3 (55.5 % vs 53.6 %), y mayor en personas ocupadas que inactivas (56.0 % vs 51.8 %). También fue más alta en quienes reportaron discapacidad (60.4 % vs 54.0 %) y más baja entre quienes cumplen con la recomendación de actividad física (49.8 % vs 55.5 %).</w:t>
      </w:r>
    </w:p>
    <w:p w14:paraId="3BFA27E8" w14:textId="27462BC2" w:rsidR="00827F9B" w:rsidRPr="0072586C" w:rsidRDefault="00827F9B" w:rsidP="00CB4E81">
      <w:pPr>
        <w:ind w:left="360"/>
        <w:rPr>
          <w:lang w:val="es-ES"/>
        </w:rPr>
      </w:pPr>
    </w:p>
    <w:sectPr w:rsidR="00827F9B" w:rsidRPr="0072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7BF1"/>
    <w:multiLevelType w:val="multilevel"/>
    <w:tmpl w:val="2A1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A45D6"/>
    <w:multiLevelType w:val="multilevel"/>
    <w:tmpl w:val="B3987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1853"/>
    <w:multiLevelType w:val="hybridMultilevel"/>
    <w:tmpl w:val="7766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3AFE"/>
    <w:multiLevelType w:val="multilevel"/>
    <w:tmpl w:val="B0F6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8670C"/>
    <w:multiLevelType w:val="multilevel"/>
    <w:tmpl w:val="1D50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B4F13"/>
    <w:multiLevelType w:val="multilevel"/>
    <w:tmpl w:val="C01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309E"/>
    <w:multiLevelType w:val="multilevel"/>
    <w:tmpl w:val="C3A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459A9"/>
    <w:multiLevelType w:val="multilevel"/>
    <w:tmpl w:val="D2E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2071"/>
    <w:multiLevelType w:val="hybridMultilevel"/>
    <w:tmpl w:val="8190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F6170"/>
    <w:multiLevelType w:val="multilevel"/>
    <w:tmpl w:val="89B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A098A"/>
    <w:multiLevelType w:val="multilevel"/>
    <w:tmpl w:val="23CC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D3CD2"/>
    <w:multiLevelType w:val="multilevel"/>
    <w:tmpl w:val="0A74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92446"/>
    <w:multiLevelType w:val="multilevel"/>
    <w:tmpl w:val="859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60ABF"/>
    <w:multiLevelType w:val="multilevel"/>
    <w:tmpl w:val="FE269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2361E"/>
    <w:multiLevelType w:val="multilevel"/>
    <w:tmpl w:val="C0562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E5DD6"/>
    <w:multiLevelType w:val="multilevel"/>
    <w:tmpl w:val="4546F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56685"/>
    <w:multiLevelType w:val="multilevel"/>
    <w:tmpl w:val="8D3C97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23700"/>
    <w:multiLevelType w:val="multilevel"/>
    <w:tmpl w:val="6C266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B48F7"/>
    <w:multiLevelType w:val="multilevel"/>
    <w:tmpl w:val="013A4D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30258"/>
    <w:multiLevelType w:val="multilevel"/>
    <w:tmpl w:val="3CF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F18C2"/>
    <w:multiLevelType w:val="multilevel"/>
    <w:tmpl w:val="FC26E9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BB4F3C"/>
    <w:multiLevelType w:val="multilevel"/>
    <w:tmpl w:val="EB0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86B40"/>
    <w:multiLevelType w:val="multilevel"/>
    <w:tmpl w:val="819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030032">
    <w:abstractNumId w:val="2"/>
  </w:num>
  <w:num w:numId="2" w16cid:durableId="885337415">
    <w:abstractNumId w:val="11"/>
  </w:num>
  <w:num w:numId="3" w16cid:durableId="438184302">
    <w:abstractNumId w:val="12"/>
  </w:num>
  <w:num w:numId="4" w16cid:durableId="302582144">
    <w:abstractNumId w:val="1"/>
  </w:num>
  <w:num w:numId="5" w16cid:durableId="2065060457">
    <w:abstractNumId w:val="7"/>
  </w:num>
  <w:num w:numId="6" w16cid:durableId="451634408">
    <w:abstractNumId w:val="14"/>
  </w:num>
  <w:num w:numId="7" w16cid:durableId="61216701">
    <w:abstractNumId w:val="21"/>
  </w:num>
  <w:num w:numId="8" w16cid:durableId="456416500">
    <w:abstractNumId w:val="17"/>
  </w:num>
  <w:num w:numId="9" w16cid:durableId="732892446">
    <w:abstractNumId w:val="20"/>
  </w:num>
  <w:num w:numId="10" w16cid:durableId="2045061229">
    <w:abstractNumId w:val="3"/>
  </w:num>
  <w:num w:numId="11" w16cid:durableId="728115677">
    <w:abstractNumId w:val="0"/>
  </w:num>
  <w:num w:numId="12" w16cid:durableId="952978467">
    <w:abstractNumId w:val="13"/>
  </w:num>
  <w:num w:numId="13" w16cid:durableId="2124378798">
    <w:abstractNumId w:val="9"/>
  </w:num>
  <w:num w:numId="14" w16cid:durableId="822086136">
    <w:abstractNumId w:val="15"/>
  </w:num>
  <w:num w:numId="15" w16cid:durableId="1452934922">
    <w:abstractNumId w:val="4"/>
  </w:num>
  <w:num w:numId="16" w16cid:durableId="1345132124">
    <w:abstractNumId w:val="16"/>
  </w:num>
  <w:num w:numId="17" w16cid:durableId="822236644">
    <w:abstractNumId w:val="18"/>
  </w:num>
  <w:num w:numId="18" w16cid:durableId="785585941">
    <w:abstractNumId w:val="8"/>
  </w:num>
  <w:num w:numId="19" w16cid:durableId="149829339">
    <w:abstractNumId w:val="19"/>
  </w:num>
  <w:num w:numId="20" w16cid:durableId="1828402045">
    <w:abstractNumId w:val="6"/>
  </w:num>
  <w:num w:numId="21" w16cid:durableId="182745336">
    <w:abstractNumId w:val="10"/>
  </w:num>
  <w:num w:numId="22" w16cid:durableId="867454503">
    <w:abstractNumId w:val="5"/>
  </w:num>
  <w:num w:numId="23" w16cid:durableId="1896744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8"/>
    <w:rsid w:val="00063902"/>
    <w:rsid w:val="000F5164"/>
    <w:rsid w:val="000F79C2"/>
    <w:rsid w:val="001822BE"/>
    <w:rsid w:val="00184EFE"/>
    <w:rsid w:val="002A49A9"/>
    <w:rsid w:val="004068EA"/>
    <w:rsid w:val="0054052E"/>
    <w:rsid w:val="006E3353"/>
    <w:rsid w:val="00703CA2"/>
    <w:rsid w:val="0072586C"/>
    <w:rsid w:val="007512D0"/>
    <w:rsid w:val="007E57CB"/>
    <w:rsid w:val="00827F9B"/>
    <w:rsid w:val="00857E78"/>
    <w:rsid w:val="00B2511D"/>
    <w:rsid w:val="00B3605A"/>
    <w:rsid w:val="00B94B12"/>
    <w:rsid w:val="00BA1451"/>
    <w:rsid w:val="00CB3212"/>
    <w:rsid w:val="00CB4E81"/>
    <w:rsid w:val="00CE33F4"/>
    <w:rsid w:val="00D65B26"/>
    <w:rsid w:val="00D728BE"/>
    <w:rsid w:val="00D940DE"/>
    <w:rsid w:val="00E025E7"/>
    <w:rsid w:val="00E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815"/>
  <w15:chartTrackingRefBased/>
  <w15:docId w15:val="{FF6D3292-0A99-DF4F-8BB7-C9F347D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E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4E81"/>
    <w:rPr>
      <w:b/>
      <w:bCs/>
    </w:rPr>
  </w:style>
  <w:style w:type="character" w:customStyle="1" w:styleId="apple-converted-space">
    <w:name w:val="apple-converted-space"/>
    <w:basedOn w:val="DefaultParagraphFont"/>
    <w:rsid w:val="00CB4E81"/>
  </w:style>
  <w:style w:type="character" w:styleId="Emphasis">
    <w:name w:val="Emphasis"/>
    <w:basedOn w:val="DefaultParagraphFont"/>
    <w:uiPriority w:val="20"/>
    <w:qFormat/>
    <w:rsid w:val="00CB4E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4E81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7E57C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7E57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Correa Riobo</dc:creator>
  <cp:keywords/>
  <dc:description/>
  <cp:lastModifiedBy>Juan Jacobo Correa Riobo</cp:lastModifiedBy>
  <cp:revision>8</cp:revision>
  <dcterms:created xsi:type="dcterms:W3CDTF">2025-09-09T15:46:00Z</dcterms:created>
  <dcterms:modified xsi:type="dcterms:W3CDTF">2025-10-26T00:03:00Z</dcterms:modified>
</cp:coreProperties>
</file>