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line="276" w:lineRule="auto"/>
      </w:pPr>
      <w:r>
        <w:rPr>
          <w:rFonts w:ascii="Aptos" w:hAnsi="Aptos"/>
          <w:b/>
          <w:i w:val="0"/>
          <w:color w:val="123A63"/>
          <w:sz w:val="20"/>
        </w:rPr>
        <w:t>REPURLY</w:t>
      </w:r>
    </w:p>
    <w:p>
      <w:pPr>
        <w:spacing w:before="120" w:after="80" w:line="276" w:lineRule="auto"/>
      </w:pPr>
      <w:r>
        <w:rPr>
          <w:rFonts w:ascii="Aptos" w:hAnsi="Aptos"/>
          <w:b/>
          <w:i w:val="0"/>
          <w:color w:val="1F2937"/>
          <w:sz w:val="48"/>
        </w:rPr>
        <w:t>Strategic comparison and recommendation</w:t>
      </w:r>
    </w:p>
    <w:p>
      <w:pPr>
        <w:spacing w:before="0" w:after="200" w:line="276" w:lineRule="auto"/>
      </w:pPr>
      <w:r>
        <w:rPr>
          <w:rFonts w:ascii="Aptos" w:hAnsi="Aptos"/>
          <w:b w:val="0"/>
          <w:i w:val="0"/>
          <w:color w:val="4B5563"/>
          <w:sz w:val="24"/>
        </w:rPr>
        <w:t>Which build has more upside, what to keep from each, and what the product could be worth if it reaches its real potential.</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68"/>
        <w:gridCol w:w="4968"/>
      </w:tblGrid>
      <w:tr>
        <w:tc>
          <w:tcPr>
            <w:tcW w:type="dxa" w:w="3024"/>
            <w:tcMar>
              <w:top w:w="90" w:type="dxa"/>
              <w:start w:w="120" w:type="dxa"/>
              <w:bottom w:w="90" w:type="dxa"/>
              <w:end w:w="120" w:type="dxa"/>
            </w:tcMar>
            <w:shd w:fill="EFF4F8"/>
          </w:tcPr>
          <w:p>
            <w:pPr>
              <w:spacing w:before="0" w:after="0" w:line="276" w:lineRule="auto"/>
            </w:pPr>
            <w:r>
              <w:rPr>
                <w:rFonts w:ascii="Aptos" w:hAnsi="Aptos"/>
                <w:b/>
                <w:i w:val="0"/>
                <w:color w:val="123A63"/>
                <w:sz w:val="18"/>
              </w:rPr>
              <w:t>Prepared for</w:t>
            </w:r>
          </w:p>
        </w:tc>
        <w:tc>
          <w:tcPr>
            <w:tcW w:type="dxa" w:w="6912"/>
            <w:tcMar>
              <w:top w:w="90" w:type="dxa"/>
              <w:start w:w="120" w:type="dxa"/>
              <w:bottom w:w="90" w:type="dxa"/>
              <w:end w:w="120" w:type="dxa"/>
            </w:tcMar>
            <w:shd w:fill="FAFCFE"/>
          </w:tcPr>
          <w:p>
            <w:pPr>
              <w:spacing w:before="0" w:after="0" w:line="276" w:lineRule="auto"/>
            </w:pPr>
            <w:r>
              <w:rPr>
                <w:rFonts w:ascii="Aptos" w:hAnsi="Aptos"/>
                <w:b w:val="0"/>
                <w:i w:val="0"/>
                <w:color w:val="1F2937"/>
                <w:sz w:val="21"/>
              </w:rPr>
              <w:t>Tracy Avery</w:t>
            </w:r>
          </w:p>
        </w:tc>
      </w:tr>
      <w:tr>
        <w:tc>
          <w:tcPr>
            <w:tcW w:type="dxa" w:w="3024"/>
            <w:tcMar>
              <w:top w:w="90" w:type="dxa"/>
              <w:start w:w="120" w:type="dxa"/>
              <w:bottom w:w="90" w:type="dxa"/>
              <w:end w:w="120" w:type="dxa"/>
            </w:tcMar>
            <w:shd w:fill="EFF4F8"/>
          </w:tcPr>
          <w:p>
            <w:pPr>
              <w:spacing w:before="0" w:after="0" w:line="276" w:lineRule="auto"/>
            </w:pPr>
            <w:r>
              <w:rPr>
                <w:rFonts w:ascii="Aptos" w:hAnsi="Aptos"/>
                <w:b/>
                <w:i w:val="0"/>
                <w:color w:val="123A63"/>
                <w:sz w:val="18"/>
              </w:rPr>
              <w:t>Date</w:t>
            </w:r>
          </w:p>
        </w:tc>
        <w:tc>
          <w:tcPr>
            <w:tcW w:type="dxa" w:w="6912"/>
            <w:tcMar>
              <w:top w:w="90" w:type="dxa"/>
              <w:start w:w="120" w:type="dxa"/>
              <w:bottom w:w="90" w:type="dxa"/>
              <w:end w:w="120" w:type="dxa"/>
            </w:tcMar>
            <w:shd w:fill="FAFCFE"/>
          </w:tcPr>
          <w:p>
            <w:pPr>
              <w:spacing w:before="0" w:after="0" w:line="276" w:lineRule="auto"/>
            </w:pPr>
            <w:r>
              <w:rPr>
                <w:rFonts w:ascii="Aptos" w:hAnsi="Aptos"/>
                <w:b w:val="0"/>
                <w:i w:val="0"/>
                <w:color w:val="1F2937"/>
                <w:sz w:val="21"/>
              </w:rPr>
              <w:t>April 2026</w:t>
            </w:r>
          </w:p>
        </w:tc>
      </w:tr>
    </w:tbl>
    <w:p/>
    <w:tbl>
      <w:tblPr>
        <w:tblW w:type="auto" w:w="0"/>
        <w:jc w:val="left"/>
        <w:tblLayout w:type="fixed"/>
        <w:tblLook w:firstColumn="1" w:firstRow="1" w:lastColumn="0" w:lastRow="0" w:noHBand="0" w:noVBand="1" w:val="04A0"/>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Pr>
      <w:tblGrid>
        <w:gridCol w:w="9936"/>
      </w:tblGrid>
      <w:tr>
        <w:tc>
          <w:tcPr>
            <w:tcW w:type="dxa" w:w="9792"/>
            <w:shd w:fill="F8FBFD"/>
            <w:tcMar>
              <w:top w:w="120" w:type="dxa"/>
              <w:start w:w="140" w:type="dxa"/>
              <w:bottom w:w="120" w:type="dxa"/>
              <w:end w:w="140" w:type="dxa"/>
            </w:tcMar>
          </w:tcPr>
          <w:p>
            <w:pPr>
              <w:spacing w:before="0" w:after="80" w:line="276" w:lineRule="auto"/>
            </w:pPr>
            <w:r>
              <w:rPr>
                <w:rFonts w:ascii="Aptos" w:hAnsi="Aptos"/>
                <w:b/>
                <w:i w:val="0"/>
                <w:color w:val="0D9488"/>
                <w:sz w:val="20"/>
              </w:rPr>
              <w:t>Decision in one line</w:t>
            </w:r>
          </w:p>
          <w:p>
            <w:pPr>
              <w:spacing w:before="0" w:after="20" w:line="276" w:lineRule="auto"/>
            </w:pPr>
            <w:r>
              <w:rPr>
                <w:rFonts w:ascii="Aptos" w:hAnsi="Aptos"/>
                <w:b/>
                <w:i w:val="0"/>
                <w:color w:val="0D9488"/>
                <w:sz w:val="22"/>
              </w:rPr>
              <w:t xml:space="preserve">• </w:t>
            </w:r>
            <w:r>
              <w:rPr>
                <w:rFonts w:ascii="Aptos" w:hAnsi="Aptos"/>
                <w:b w:val="0"/>
                <w:i w:val="0"/>
                <w:color w:val="1F2937"/>
                <w:sz w:val="21"/>
              </w:rPr>
              <w:t>Choose the delivery-logs / notification-channels build as the main codebase.</w:t>
            </w:r>
          </w:p>
          <w:p>
            <w:pPr>
              <w:spacing w:before="0" w:after="20" w:line="276" w:lineRule="auto"/>
            </w:pPr>
            <w:r>
              <w:rPr>
                <w:rFonts w:ascii="Aptos" w:hAnsi="Aptos"/>
                <w:b/>
                <w:i w:val="0"/>
                <w:color w:val="0D9488"/>
                <w:sz w:val="22"/>
              </w:rPr>
              <w:t xml:space="preserve">• </w:t>
            </w:r>
            <w:r>
              <w:rPr>
                <w:rFonts w:ascii="Aptos" w:hAnsi="Aptos"/>
                <w:b w:val="0"/>
                <w:i w:val="0"/>
                <w:color w:val="1F2937"/>
                <w:sz w:val="21"/>
              </w:rPr>
              <w:t>Use the narrower product strategy from the best build: LinkedIn-first content ops for agencies and B2B teams.</w:t>
            </w:r>
          </w:p>
          <w:p>
            <w:pPr>
              <w:spacing w:before="0" w:after="20" w:line="276" w:lineRule="auto"/>
            </w:pPr>
            <w:r>
              <w:rPr>
                <w:rFonts w:ascii="Aptos" w:hAnsi="Aptos"/>
                <w:b/>
                <w:i w:val="0"/>
                <w:color w:val="0D9488"/>
                <w:sz w:val="22"/>
              </w:rPr>
              <w:t xml:space="preserve">• </w:t>
            </w:r>
            <w:r>
              <w:rPr>
                <w:rFonts w:ascii="Aptos" w:hAnsi="Aptos"/>
                <w:b w:val="0"/>
                <w:i w:val="0"/>
                <w:color w:val="1F2937"/>
                <w:sz w:val="21"/>
              </w:rPr>
              <w:t>Do not finish it as a broad mini-Sprout.</w:t>
            </w:r>
          </w:p>
        </w:tc>
      </w:tr>
    </w:tbl>
    <w:p>
      <w:r>
        <w:br w:type="page"/>
      </w:r>
    </w:p>
    <w:p>
      <w:pPr>
        <w:pStyle w:val="Heading1"/>
      </w:pPr>
      <w:r>
        <w:t>Executive decision</w:t>
      </w:r>
    </w:p>
    <w:p>
      <w:pPr>
        <w:spacing w:before="0" w:after="120" w:line="276" w:lineRule="auto"/>
      </w:pPr>
      <w:r>
        <w:rPr>
          <w:rFonts w:ascii="Aptos" w:hAnsi="Aptos"/>
          <w:b w:val="0"/>
          <w:i w:val="0"/>
          <w:color w:val="1F2937"/>
          <w:sz w:val="21"/>
        </w:rPr>
        <w:t>Use the delivery-logs build as the base because it has the stronger data model, richer operational surfaces, and higher commercial ceiling. Use the best build as the strategic guardrail because it has the better story, tighter market wedge, and more realistic launch scope.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12"/>
        <w:gridCol w:w="3312"/>
        <w:gridCol w:w="3312"/>
      </w:tblGrid>
      <w:tr>
        <w:tc>
          <w:tcPr>
            <w:tcW w:type="dxa" w:w="3168"/>
            <w:shd w:fill="EFF4F8"/>
            <w:tcMar>
              <w:top w:w="100" w:type="dxa"/>
              <w:start w:w="120" w:type="dxa"/>
              <w:bottom w:w="100" w:type="dxa"/>
              <w:end w:w="120" w:type="dxa"/>
            </w:tcMar>
          </w:tcPr>
          <w:p>
            <w:pPr>
              <w:spacing w:before="0" w:after="40" w:line="276" w:lineRule="auto"/>
              <w:jc w:val="center"/>
            </w:pPr>
            <w:r>
              <w:rPr>
                <w:rFonts w:ascii="Aptos" w:hAnsi="Aptos"/>
                <w:b/>
                <w:i w:val="0"/>
                <w:color w:val="123A63"/>
                <w:sz w:val="18"/>
              </w:rPr>
              <w:t>Codebase to build from</w:t>
              <w:br/>
            </w:r>
            <w:r>
              <w:rPr>
                <w:rFonts w:ascii="Aptos" w:hAnsi="Aptos"/>
                <w:b/>
                <w:i w:val="0"/>
                <w:color w:val="1F2937"/>
                <w:sz w:val="24"/>
              </w:rPr>
              <w:t>delivery-logs</w:t>
            </w:r>
          </w:p>
        </w:tc>
        <w:tc>
          <w:tcPr>
            <w:tcW w:type="dxa" w:w="3168"/>
            <w:shd w:fill="EFF4F8"/>
            <w:tcMar>
              <w:top w:w="100" w:type="dxa"/>
              <w:start w:w="120" w:type="dxa"/>
              <w:bottom w:w="100" w:type="dxa"/>
              <w:end w:w="120" w:type="dxa"/>
            </w:tcMar>
          </w:tcPr>
          <w:p>
            <w:pPr>
              <w:spacing w:before="0" w:after="40" w:line="276" w:lineRule="auto"/>
              <w:jc w:val="center"/>
            </w:pPr>
            <w:r>
              <w:rPr>
                <w:rFonts w:ascii="Aptos" w:hAnsi="Aptos"/>
                <w:b/>
                <w:i w:val="0"/>
                <w:color w:val="123A63"/>
                <w:sz w:val="18"/>
              </w:rPr>
              <w:t>Market position to adopt</w:t>
              <w:br/>
            </w:r>
            <w:r>
              <w:rPr>
                <w:rFonts w:ascii="Aptos" w:hAnsi="Aptos"/>
                <w:b/>
                <w:i w:val="0"/>
                <w:color w:val="1F2937"/>
                <w:sz w:val="24"/>
              </w:rPr>
              <w:t>LinkedIn-first content ops</w:t>
            </w:r>
          </w:p>
        </w:tc>
        <w:tc>
          <w:tcPr>
            <w:tcW w:type="dxa" w:w="3168"/>
            <w:shd w:fill="EFF4F8"/>
            <w:tcMar>
              <w:top w:w="100" w:type="dxa"/>
              <w:start w:w="120" w:type="dxa"/>
              <w:bottom w:w="100" w:type="dxa"/>
              <w:end w:w="120" w:type="dxa"/>
            </w:tcMar>
          </w:tcPr>
          <w:p>
            <w:pPr>
              <w:spacing w:before="0" w:after="40" w:line="276" w:lineRule="auto"/>
              <w:jc w:val="center"/>
            </w:pPr>
            <w:r>
              <w:rPr>
                <w:rFonts w:ascii="Aptos" w:hAnsi="Aptos"/>
                <w:b/>
                <w:i w:val="0"/>
                <w:color w:val="123A63"/>
                <w:sz w:val="18"/>
              </w:rPr>
              <w:t>Biggest rule</w:t>
              <w:br/>
            </w:r>
            <w:r>
              <w:rPr>
                <w:rFonts w:ascii="Aptos" w:hAnsi="Aptos"/>
                <w:b/>
                <w:i w:val="0"/>
                <w:color w:val="1F2937"/>
                <w:sz w:val="24"/>
              </w:rPr>
              <w:t>workflow before more channels</w:t>
            </w:r>
          </w:p>
        </w:tc>
      </w:tr>
    </w:tbl>
    <w:p/>
    <w:p>
      <w:pPr>
        <w:pStyle w:val="Heading1"/>
      </w:pPr>
      <w:r>
        <w:t>Build comparison</w:t>
      </w:r>
    </w:p>
    <w:p>
      <w:pPr>
        <w:spacing w:before="0" w:after="120" w:line="276" w:lineRule="auto"/>
      </w:pPr>
      <w:r>
        <w:rPr>
          <w:rFonts w:ascii="Aptos" w:hAnsi="Aptos"/>
          <w:b w:val="0"/>
          <w:i w:val="0"/>
          <w:color w:val="1F2937"/>
          <w:sz w:val="21"/>
        </w:rPr>
        <w:t>The bigger repo has the stronger commercial backbone. The smaller repo has the cleaner story. The winning move is to use the bigger build as the base and force it into the narrower market position.</w:t>
      </w:r>
    </w:p>
    <w:tbl>
      <w:tblPr>
        <w:tblW w:type="auto" w:w="0"/>
        <w:jc w:val="center"/>
        <w:tblLayout w:type="fixed"/>
        <w:tblLook w:firstColumn="1" w:firstRow="1" w:lastColumn="0" w:lastRow="0" w:noHBand="0" w:noVBand="1" w:val="04A0"/>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Pr>
      <w:tblGrid>
        <w:gridCol w:w="2484"/>
        <w:gridCol w:w="2484"/>
        <w:gridCol w:w="2484"/>
        <w:gridCol w:w="2484"/>
      </w:tblGrid>
      <w:tr>
        <w:tc>
          <w:tcPr>
            <w:tcW w:type="dxa" w:w="1872"/>
            <w:shd w:fill="123A63"/>
            <w:tcMar>
              <w:top w:w="90" w:type="dxa"/>
              <w:start w:w="110" w:type="dxa"/>
              <w:bottom w:w="90" w:type="dxa"/>
              <w:end w:w="110" w:type="dxa"/>
            </w:tcMar>
            <w:vAlign w:val="center"/>
          </w:tcPr>
          <w:p>
            <w:pPr>
              <w:spacing w:before="0" w:after="0" w:line="276" w:lineRule="auto"/>
              <w:jc w:val="center"/>
            </w:pPr>
            <w:r>
              <w:rPr>
                <w:rFonts w:ascii="Aptos" w:hAnsi="Aptos"/>
                <w:b/>
                <w:i w:val="0"/>
                <w:color w:val="FFFFFF"/>
                <w:sz w:val="18"/>
              </w:rPr>
              <w:t>Dimension</w:t>
            </w:r>
          </w:p>
        </w:tc>
        <w:tc>
          <w:tcPr>
            <w:tcW w:type="dxa" w:w="2088"/>
            <w:shd w:fill="123A63"/>
            <w:tcMar>
              <w:top w:w="90" w:type="dxa"/>
              <w:start w:w="110" w:type="dxa"/>
              <w:bottom w:w="90" w:type="dxa"/>
              <w:end w:w="110" w:type="dxa"/>
            </w:tcMar>
            <w:vAlign w:val="center"/>
          </w:tcPr>
          <w:p>
            <w:pPr>
              <w:spacing w:before="0" w:after="0" w:line="276" w:lineRule="auto"/>
              <w:jc w:val="center"/>
            </w:pPr>
            <w:r>
              <w:rPr>
                <w:rFonts w:ascii="Aptos" w:hAnsi="Aptos"/>
                <w:b/>
                <w:i w:val="0"/>
                <w:color w:val="FFFFFF"/>
                <w:sz w:val="18"/>
              </w:rPr>
              <w:t>repurly_v2_best</w:t>
            </w:r>
          </w:p>
        </w:tc>
        <w:tc>
          <w:tcPr>
            <w:tcW w:type="dxa" w:w="3744"/>
            <w:shd w:fill="123A63"/>
            <w:tcMar>
              <w:top w:w="90" w:type="dxa"/>
              <w:start w:w="110" w:type="dxa"/>
              <w:bottom w:w="90" w:type="dxa"/>
              <w:end w:w="110" w:type="dxa"/>
            </w:tcMar>
            <w:vAlign w:val="center"/>
          </w:tcPr>
          <w:p>
            <w:pPr>
              <w:spacing w:before="0" w:after="0" w:line="276" w:lineRule="auto"/>
              <w:jc w:val="center"/>
            </w:pPr>
            <w:r>
              <w:rPr>
                <w:rFonts w:ascii="Aptos" w:hAnsi="Aptos"/>
                <w:b/>
                <w:i w:val="0"/>
                <w:color w:val="FFFFFF"/>
                <w:sz w:val="18"/>
              </w:rPr>
              <w:t>delivery-logs / notification-channels</w:t>
            </w:r>
          </w:p>
        </w:tc>
        <w:tc>
          <w:tcPr>
            <w:tcW w:type="dxa" w:w="2088"/>
            <w:shd w:fill="123A63"/>
            <w:tcMar>
              <w:top w:w="90" w:type="dxa"/>
              <w:start w:w="110" w:type="dxa"/>
              <w:bottom w:w="90" w:type="dxa"/>
              <w:end w:w="110" w:type="dxa"/>
            </w:tcMar>
            <w:vAlign w:val="center"/>
          </w:tcPr>
          <w:p>
            <w:pPr>
              <w:spacing w:before="0" w:after="0" w:line="276" w:lineRule="auto"/>
              <w:jc w:val="center"/>
            </w:pPr>
            <w:r>
              <w:rPr>
                <w:rFonts w:ascii="Aptos" w:hAnsi="Aptos"/>
                <w:b/>
                <w:i w:val="0"/>
                <w:color w:val="FFFFFF"/>
                <w:sz w:val="18"/>
              </w:rPr>
              <w:t>Recommendation</w:t>
            </w:r>
          </w:p>
        </w:tc>
      </w:tr>
      <w:tr>
        <w:tc>
          <w:tcPr>
            <w:tcW w:type="dxa" w:w="1872"/>
            <w:shd w:fill="FAFCFE"/>
            <w:tcMar>
              <w:top w:w="90" w:type="dxa"/>
              <w:start w:w="105" w:type="dxa"/>
              <w:bottom w:w="90" w:type="dxa"/>
              <w:end w:w="105" w:type="dxa"/>
            </w:tcMar>
            <w:vAlign w:val="center"/>
          </w:tcPr>
          <w:p>
            <w:pPr>
              <w:spacing w:before="0" w:after="0" w:line="276" w:lineRule="auto"/>
            </w:pPr>
            <w:r>
              <w:rPr>
                <w:rFonts w:ascii="Aptos" w:hAnsi="Aptos"/>
                <w:b/>
                <w:i w:val="0"/>
                <w:color w:val="1F2937"/>
                <w:sz w:val="18"/>
              </w:rPr>
              <w:t>Product story</w:t>
            </w:r>
          </w:p>
        </w:tc>
        <w:tc>
          <w:tcPr>
            <w:tcW w:type="dxa" w:w="2088"/>
            <w:shd w:fill="FAFCFE"/>
            <w:tcMar>
              <w:top w:w="90" w:type="dxa"/>
              <w:start w:w="105" w:type="dxa"/>
              <w:bottom w:w="90" w:type="dxa"/>
              <w:end w:w="105" w:type="dxa"/>
            </w:tcMar>
            <w:vAlign w:val="center"/>
          </w:tcPr>
          <w:p>
            <w:pPr>
              <w:spacing w:before="0" w:after="0" w:line="276" w:lineRule="auto"/>
            </w:pPr>
            <w:r>
              <w:rPr>
                <w:rFonts w:ascii="Aptos" w:hAnsi="Aptos"/>
                <w:b w:val="0"/>
                <w:i w:val="0"/>
                <w:color w:val="1F2937"/>
                <w:sz w:val="18"/>
              </w:rPr>
              <w:t>Cleaner, narrower, easier to explain</w:t>
            </w:r>
          </w:p>
        </w:tc>
        <w:tc>
          <w:tcPr>
            <w:tcW w:type="dxa" w:w="3744"/>
            <w:shd w:fill="FAFCFE"/>
            <w:tcMar>
              <w:top w:w="90" w:type="dxa"/>
              <w:start w:w="105" w:type="dxa"/>
              <w:bottom w:w="90" w:type="dxa"/>
              <w:end w:w="105" w:type="dxa"/>
            </w:tcMar>
            <w:vAlign w:val="center"/>
          </w:tcPr>
          <w:p>
            <w:pPr>
              <w:spacing w:before="0" w:after="0" w:line="276" w:lineRule="auto"/>
            </w:pPr>
            <w:r>
              <w:rPr>
                <w:rFonts w:ascii="Aptos" w:hAnsi="Aptos"/>
                <w:b w:val="0"/>
                <w:i w:val="0"/>
                <w:color w:val="1F2937"/>
                <w:sz w:val="18"/>
              </w:rPr>
              <w:t>Broader, more ambitious, more future-ready</w:t>
            </w:r>
          </w:p>
        </w:tc>
        <w:tc>
          <w:tcPr>
            <w:tcW w:type="dxa" w:w="2088"/>
            <w:shd w:fill="FAFCFE"/>
            <w:tcMar>
              <w:top w:w="90" w:type="dxa"/>
              <w:start w:w="105" w:type="dxa"/>
              <w:bottom w:w="90" w:type="dxa"/>
              <w:end w:w="105" w:type="dxa"/>
            </w:tcMar>
            <w:vAlign w:val="center"/>
          </w:tcPr>
          <w:p>
            <w:pPr>
              <w:spacing w:before="0" w:after="0" w:line="276" w:lineRule="auto"/>
            </w:pPr>
            <w:r>
              <w:rPr>
                <w:rFonts w:ascii="Aptos" w:hAnsi="Aptos"/>
                <w:b w:val="0"/>
                <w:i w:val="0"/>
                <w:color w:val="1F2937"/>
                <w:sz w:val="18"/>
              </w:rPr>
              <w:t>Use the narrow story from best</w:t>
            </w:r>
          </w:p>
        </w:tc>
      </w:tr>
      <w:tr>
        <w:tc>
          <w:tcPr>
            <w:tcW w:type="dxa" w:w="1872"/>
            <w:shd w:fill="F5F8FB"/>
            <w:tcMar>
              <w:top w:w="90" w:type="dxa"/>
              <w:start w:w="105" w:type="dxa"/>
              <w:bottom w:w="90" w:type="dxa"/>
              <w:end w:w="105" w:type="dxa"/>
            </w:tcMar>
            <w:vAlign w:val="center"/>
          </w:tcPr>
          <w:p>
            <w:pPr>
              <w:spacing w:before="0" w:after="0" w:line="276" w:lineRule="auto"/>
            </w:pPr>
            <w:r>
              <w:rPr>
                <w:rFonts w:ascii="Aptos" w:hAnsi="Aptos"/>
                <w:b/>
                <w:i w:val="0"/>
                <w:color w:val="1F2937"/>
                <w:sz w:val="18"/>
              </w:rPr>
              <w:t>Data model</w:t>
            </w:r>
          </w:p>
        </w:tc>
        <w:tc>
          <w:tcPr>
            <w:tcW w:type="dxa" w:w="2088"/>
            <w:shd w:fill="F5F8FB"/>
            <w:tcMar>
              <w:top w:w="90" w:type="dxa"/>
              <w:start w:w="105" w:type="dxa"/>
              <w:bottom w:w="90" w:type="dxa"/>
              <w:end w:w="105" w:type="dxa"/>
            </w:tcMar>
            <w:vAlign w:val="center"/>
          </w:tcPr>
          <w:p>
            <w:pPr>
              <w:spacing w:before="0" w:after="0" w:line="276" w:lineRule="auto"/>
            </w:pPr>
            <w:r>
              <w:rPr>
                <w:rFonts w:ascii="Aptos" w:hAnsi="Aptos"/>
                <w:b w:val="0"/>
                <w:i w:val="0"/>
                <w:color w:val="1F2937"/>
                <w:sz w:val="18"/>
              </w:rPr>
              <w:t>Simpler one-post/one-platform path</w:t>
            </w:r>
          </w:p>
        </w:tc>
        <w:tc>
          <w:tcPr>
            <w:tcW w:type="dxa" w:w="3744"/>
            <w:shd w:fill="F5F8FB"/>
            <w:tcMar>
              <w:top w:w="90" w:type="dxa"/>
              <w:start w:w="105" w:type="dxa"/>
              <w:bottom w:w="90" w:type="dxa"/>
              <w:end w:w="105" w:type="dxa"/>
            </w:tcMar>
            <w:vAlign w:val="center"/>
          </w:tcPr>
          <w:p>
            <w:pPr>
              <w:spacing w:before="0" w:after="0" w:line="276" w:lineRule="auto"/>
            </w:pPr>
            <w:r>
              <w:rPr>
                <w:rFonts w:ascii="Aptos" w:hAnsi="Aptos"/>
                <w:b w:val="0"/>
                <w:i w:val="0"/>
                <w:color w:val="1F2937"/>
                <w:sz w:val="18"/>
              </w:rPr>
              <w:t>Platform accounts, post targets, delivery logs, notifications</w:t>
            </w:r>
          </w:p>
        </w:tc>
        <w:tc>
          <w:tcPr>
            <w:tcW w:type="dxa" w:w="2088"/>
            <w:shd w:fill="F5F8FB"/>
            <w:tcMar>
              <w:top w:w="90" w:type="dxa"/>
              <w:start w:w="105" w:type="dxa"/>
              <w:bottom w:w="90" w:type="dxa"/>
              <w:end w:w="105" w:type="dxa"/>
            </w:tcMar>
            <w:vAlign w:val="center"/>
          </w:tcPr>
          <w:p>
            <w:pPr>
              <w:spacing w:before="0" w:after="0" w:line="276" w:lineRule="auto"/>
            </w:pPr>
            <w:r>
              <w:rPr>
                <w:rFonts w:ascii="Aptos" w:hAnsi="Aptos"/>
                <w:b w:val="0"/>
                <w:i w:val="0"/>
                <w:color w:val="1F2937"/>
                <w:sz w:val="18"/>
              </w:rPr>
              <w:t>Use the richer delivery-logs model</w:t>
            </w:r>
          </w:p>
        </w:tc>
      </w:tr>
      <w:tr>
        <w:tc>
          <w:tcPr>
            <w:tcW w:type="dxa" w:w="1872"/>
            <w:shd w:fill="FAFCFE"/>
            <w:tcMar>
              <w:top w:w="90" w:type="dxa"/>
              <w:start w:w="105" w:type="dxa"/>
              <w:bottom w:w="90" w:type="dxa"/>
              <w:end w:w="105" w:type="dxa"/>
            </w:tcMar>
            <w:vAlign w:val="center"/>
          </w:tcPr>
          <w:p>
            <w:pPr>
              <w:spacing w:before="0" w:after="0" w:line="276" w:lineRule="auto"/>
            </w:pPr>
            <w:r>
              <w:rPr>
                <w:rFonts w:ascii="Aptos" w:hAnsi="Aptos"/>
                <w:b/>
                <w:i w:val="0"/>
                <w:color w:val="1F2937"/>
                <w:sz w:val="18"/>
              </w:rPr>
              <w:t>Workflow depth</w:t>
            </w:r>
          </w:p>
        </w:tc>
        <w:tc>
          <w:tcPr>
            <w:tcW w:type="dxa" w:w="2088"/>
            <w:shd w:fill="FAFCFE"/>
            <w:tcMar>
              <w:top w:w="90" w:type="dxa"/>
              <w:start w:w="105" w:type="dxa"/>
              <w:bottom w:w="90" w:type="dxa"/>
              <w:end w:w="105" w:type="dxa"/>
            </w:tcMar>
            <w:vAlign w:val="center"/>
          </w:tcPr>
          <w:p>
            <w:pPr>
              <w:spacing w:before="0" w:after="0" w:line="276" w:lineRule="auto"/>
            </w:pPr>
            <w:r>
              <w:rPr>
                <w:rFonts w:ascii="Aptos" w:hAnsi="Aptos"/>
                <w:b w:val="0"/>
                <w:i w:val="0"/>
                <w:color w:val="1F2937"/>
                <w:sz w:val="18"/>
              </w:rPr>
              <w:t>Focused foundation</w:t>
            </w:r>
          </w:p>
        </w:tc>
        <w:tc>
          <w:tcPr>
            <w:tcW w:type="dxa" w:w="3744"/>
            <w:shd w:fill="FAFCFE"/>
            <w:tcMar>
              <w:top w:w="90" w:type="dxa"/>
              <w:start w:w="105" w:type="dxa"/>
              <w:bottom w:w="90" w:type="dxa"/>
              <w:end w:w="105" w:type="dxa"/>
            </w:tcMar>
            <w:vAlign w:val="center"/>
          </w:tcPr>
          <w:p>
            <w:pPr>
              <w:spacing w:before="0" w:after="0" w:line="276" w:lineRule="auto"/>
            </w:pPr>
            <w:r>
              <w:rPr>
                <w:rFonts w:ascii="Aptos" w:hAnsi="Aptos"/>
                <w:b w:val="0"/>
                <w:i w:val="0"/>
                <w:color w:val="1F2937"/>
                <w:sz w:val="18"/>
              </w:rPr>
              <w:t>Stronger ops and reliability surfaces</w:t>
            </w:r>
          </w:p>
        </w:tc>
        <w:tc>
          <w:tcPr>
            <w:tcW w:type="dxa" w:w="2088"/>
            <w:shd w:fill="FAFCFE"/>
            <w:tcMar>
              <w:top w:w="90" w:type="dxa"/>
              <w:start w:w="105" w:type="dxa"/>
              <w:bottom w:w="90" w:type="dxa"/>
              <w:end w:w="105" w:type="dxa"/>
            </w:tcMar>
            <w:vAlign w:val="center"/>
          </w:tcPr>
          <w:p>
            <w:pPr>
              <w:spacing w:before="0" w:after="0" w:line="276" w:lineRule="auto"/>
            </w:pPr>
            <w:r>
              <w:rPr>
                <w:rFonts w:ascii="Aptos" w:hAnsi="Aptos"/>
                <w:b w:val="0"/>
                <w:i w:val="0"/>
                <w:color w:val="1F2937"/>
                <w:sz w:val="18"/>
              </w:rPr>
              <w:t>Use delivery-logs as the base</w:t>
            </w:r>
          </w:p>
        </w:tc>
      </w:tr>
      <w:tr>
        <w:tc>
          <w:tcPr>
            <w:tcW w:type="dxa" w:w="1872"/>
            <w:shd w:fill="F5F8FB"/>
            <w:tcMar>
              <w:top w:w="90" w:type="dxa"/>
              <w:start w:w="105" w:type="dxa"/>
              <w:bottom w:w="90" w:type="dxa"/>
              <w:end w:w="105" w:type="dxa"/>
            </w:tcMar>
            <w:vAlign w:val="center"/>
          </w:tcPr>
          <w:p>
            <w:pPr>
              <w:spacing w:before="0" w:after="0" w:line="276" w:lineRule="auto"/>
            </w:pPr>
            <w:r>
              <w:rPr>
                <w:rFonts w:ascii="Aptos" w:hAnsi="Aptos"/>
                <w:b/>
                <w:i w:val="0"/>
                <w:color w:val="1F2937"/>
                <w:sz w:val="18"/>
              </w:rPr>
              <w:t>Launch risk</w:t>
            </w:r>
          </w:p>
        </w:tc>
        <w:tc>
          <w:tcPr>
            <w:tcW w:type="dxa" w:w="2088"/>
            <w:shd w:fill="F5F8FB"/>
            <w:tcMar>
              <w:top w:w="90" w:type="dxa"/>
              <w:start w:w="105" w:type="dxa"/>
              <w:bottom w:w="90" w:type="dxa"/>
              <w:end w:w="105" w:type="dxa"/>
            </w:tcMar>
            <w:vAlign w:val="center"/>
          </w:tcPr>
          <w:p>
            <w:pPr>
              <w:spacing w:before="0" w:after="0" w:line="276" w:lineRule="auto"/>
            </w:pPr>
            <w:r>
              <w:rPr>
                <w:rFonts w:ascii="Aptos" w:hAnsi="Aptos"/>
                <w:b w:val="0"/>
                <w:i w:val="0"/>
                <w:color w:val="1F2937"/>
                <w:sz w:val="18"/>
              </w:rPr>
              <w:t>Lower</w:t>
            </w:r>
          </w:p>
        </w:tc>
        <w:tc>
          <w:tcPr>
            <w:tcW w:type="dxa" w:w="3744"/>
            <w:shd w:fill="F5F8FB"/>
            <w:tcMar>
              <w:top w:w="90" w:type="dxa"/>
              <w:start w:w="105" w:type="dxa"/>
              <w:bottom w:w="90" w:type="dxa"/>
              <w:end w:w="105" w:type="dxa"/>
            </w:tcMar>
            <w:vAlign w:val="center"/>
          </w:tcPr>
          <w:p>
            <w:pPr>
              <w:spacing w:before="0" w:after="0" w:line="276" w:lineRule="auto"/>
            </w:pPr>
            <w:r>
              <w:rPr>
                <w:rFonts w:ascii="Aptos" w:hAnsi="Aptos"/>
                <w:b w:val="0"/>
                <w:i w:val="0"/>
                <w:color w:val="1F2937"/>
                <w:sz w:val="18"/>
              </w:rPr>
              <w:t>Higher unless scope is aggressively cut</w:t>
            </w:r>
          </w:p>
        </w:tc>
        <w:tc>
          <w:tcPr>
            <w:tcW w:type="dxa" w:w="2088"/>
            <w:shd w:fill="F5F8FB"/>
            <w:tcMar>
              <w:top w:w="90" w:type="dxa"/>
              <w:start w:w="105" w:type="dxa"/>
              <w:bottom w:w="90" w:type="dxa"/>
              <w:end w:w="105" w:type="dxa"/>
            </w:tcMar>
            <w:vAlign w:val="center"/>
          </w:tcPr>
          <w:p>
            <w:pPr>
              <w:spacing w:before="0" w:after="0" w:line="276" w:lineRule="auto"/>
            </w:pPr>
            <w:r>
              <w:rPr>
                <w:rFonts w:ascii="Aptos" w:hAnsi="Aptos"/>
                <w:b w:val="0"/>
                <w:i w:val="0"/>
                <w:color w:val="1F2937"/>
                <w:sz w:val="18"/>
              </w:rPr>
              <w:t>Hide unfinished channels and shells</w:t>
            </w:r>
          </w:p>
        </w:tc>
      </w:tr>
      <w:tr>
        <w:tc>
          <w:tcPr>
            <w:tcW w:type="dxa" w:w="1872"/>
            <w:shd w:fill="FAFCFE"/>
            <w:tcMar>
              <w:top w:w="90" w:type="dxa"/>
              <w:start w:w="105" w:type="dxa"/>
              <w:bottom w:w="90" w:type="dxa"/>
              <w:end w:w="105" w:type="dxa"/>
            </w:tcMar>
            <w:vAlign w:val="center"/>
          </w:tcPr>
          <w:p>
            <w:pPr>
              <w:spacing w:before="0" w:after="0" w:line="276" w:lineRule="auto"/>
            </w:pPr>
            <w:r>
              <w:rPr>
                <w:rFonts w:ascii="Aptos" w:hAnsi="Aptos"/>
                <w:b/>
                <w:i w:val="0"/>
                <w:color w:val="1F2937"/>
                <w:sz w:val="18"/>
              </w:rPr>
              <w:t>Commercial upside</w:t>
            </w:r>
          </w:p>
        </w:tc>
        <w:tc>
          <w:tcPr>
            <w:tcW w:type="dxa" w:w="2088"/>
            <w:shd w:fill="FAFCFE"/>
            <w:tcMar>
              <w:top w:w="90" w:type="dxa"/>
              <w:start w:w="105" w:type="dxa"/>
              <w:bottom w:w="90" w:type="dxa"/>
              <w:end w:w="105" w:type="dxa"/>
            </w:tcMar>
            <w:vAlign w:val="center"/>
          </w:tcPr>
          <w:p>
            <w:pPr>
              <w:spacing w:before="0" w:after="0" w:line="276" w:lineRule="auto"/>
            </w:pPr>
            <w:r>
              <w:rPr>
                <w:rFonts w:ascii="Aptos" w:hAnsi="Aptos"/>
                <w:b w:val="0"/>
                <w:i w:val="0"/>
                <w:color w:val="1F2937"/>
                <w:sz w:val="18"/>
              </w:rPr>
              <w:t>Moderate</w:t>
            </w:r>
          </w:p>
        </w:tc>
        <w:tc>
          <w:tcPr>
            <w:tcW w:type="dxa" w:w="3744"/>
            <w:shd w:fill="FAFCFE"/>
            <w:tcMar>
              <w:top w:w="90" w:type="dxa"/>
              <w:start w:w="105" w:type="dxa"/>
              <w:bottom w:w="90" w:type="dxa"/>
              <w:end w:w="105" w:type="dxa"/>
            </w:tcMar>
            <w:vAlign w:val="center"/>
          </w:tcPr>
          <w:p>
            <w:pPr>
              <w:spacing w:before="0" w:after="0" w:line="276" w:lineRule="auto"/>
            </w:pPr>
            <w:r>
              <w:rPr>
                <w:rFonts w:ascii="Aptos" w:hAnsi="Aptos"/>
                <w:b w:val="0"/>
                <w:i w:val="0"/>
                <w:color w:val="1F2937"/>
                <w:sz w:val="18"/>
              </w:rPr>
              <w:t>Higher if focused on one wedge</w:t>
            </w:r>
          </w:p>
        </w:tc>
        <w:tc>
          <w:tcPr>
            <w:tcW w:type="dxa" w:w="2088"/>
            <w:shd w:fill="FAFCFE"/>
            <w:tcMar>
              <w:top w:w="90" w:type="dxa"/>
              <w:start w:w="105" w:type="dxa"/>
              <w:bottom w:w="90" w:type="dxa"/>
              <w:end w:w="105" w:type="dxa"/>
            </w:tcMar>
            <w:vAlign w:val="center"/>
          </w:tcPr>
          <w:p>
            <w:pPr>
              <w:spacing w:before="0" w:after="0" w:line="276" w:lineRule="auto"/>
            </w:pPr>
            <w:r>
              <w:rPr>
                <w:rFonts w:ascii="Aptos" w:hAnsi="Aptos"/>
                <w:b w:val="0"/>
                <w:i w:val="0"/>
                <w:color w:val="1F2937"/>
                <w:sz w:val="18"/>
              </w:rPr>
              <w:t>Prioritize agencies and B2B teams</w:t>
            </w:r>
          </w:p>
        </w:tc>
      </w:tr>
    </w:tbl>
    <w:p/>
    <w:p>
      <w:pPr>
        <w:pStyle w:val="Heading1"/>
      </w:pPr>
      <w:r>
        <w:t>Recommended product strategy</w:t>
      </w:r>
    </w:p>
    <w:p>
      <w:pPr>
        <w:spacing w:after="60"/>
        <w:ind w:left="288" w:hanging="245"/>
      </w:pPr>
      <w:r>
        <w:rPr>
          <w:rFonts w:ascii="Aptos" w:hAnsi="Aptos"/>
          <w:b/>
          <w:i w:val="0"/>
          <w:color w:val="0D9488"/>
          <w:sz w:val="22"/>
        </w:rPr>
        <w:t xml:space="preserve">• </w:t>
      </w:r>
      <w:r>
        <w:rPr>
          <w:rFonts w:ascii="Aptos" w:hAnsi="Aptos"/>
          <w:b/>
          <w:i w:val="0"/>
          <w:color w:val="1F2937"/>
          <w:sz w:val="21"/>
        </w:rPr>
        <w:t xml:space="preserve">Primary customer: </w:t>
      </w:r>
      <w:r>
        <w:rPr>
          <w:rFonts w:ascii="Aptos" w:hAnsi="Aptos"/>
          <w:b w:val="0"/>
          <w:i w:val="0"/>
          <w:color w:val="1F2937"/>
          <w:sz w:val="21"/>
        </w:rPr>
        <w:t>Agencies and B2B marketing teams that care about approvals, multi-brand control, and reliable publishing more than they care about every possible network.</w:t>
      </w:r>
    </w:p>
    <w:p>
      <w:pPr>
        <w:spacing w:after="60"/>
        <w:ind w:left="288" w:hanging="245"/>
      </w:pPr>
      <w:r>
        <w:rPr>
          <w:rFonts w:ascii="Aptos" w:hAnsi="Aptos"/>
          <w:b/>
          <w:i w:val="0"/>
          <w:color w:val="0D9488"/>
          <w:sz w:val="22"/>
        </w:rPr>
        <w:t xml:space="preserve">• </w:t>
      </w:r>
      <w:r>
        <w:rPr>
          <w:rFonts w:ascii="Aptos" w:hAnsi="Aptos"/>
          <w:b/>
          <w:i w:val="0"/>
          <w:color w:val="1F2937"/>
          <w:sz w:val="21"/>
        </w:rPr>
        <w:t xml:space="preserve">Core promise: </w:t>
      </w:r>
      <w:r>
        <w:rPr>
          <w:rFonts w:ascii="Aptos" w:hAnsi="Aptos"/>
          <w:b w:val="0"/>
          <w:i w:val="0"/>
          <w:color w:val="1F2937"/>
          <w:sz w:val="21"/>
        </w:rPr>
        <w:t>A premium LinkedIn-led workflow product with scheduling, approvals, post-target management, activity visibility, and failure recovery.</w:t>
      </w:r>
    </w:p>
    <w:p>
      <w:pPr>
        <w:spacing w:after="60"/>
        <w:ind w:left="288" w:hanging="245"/>
      </w:pPr>
      <w:r>
        <w:rPr>
          <w:rFonts w:ascii="Aptos" w:hAnsi="Aptos"/>
          <w:b/>
          <w:i w:val="0"/>
          <w:color w:val="0D9488"/>
          <w:sz w:val="22"/>
        </w:rPr>
        <w:t xml:space="preserve">• </w:t>
      </w:r>
      <w:r>
        <w:rPr>
          <w:rFonts w:ascii="Aptos" w:hAnsi="Aptos"/>
          <w:b/>
          <w:i w:val="0"/>
          <w:color w:val="1F2937"/>
          <w:sz w:val="21"/>
        </w:rPr>
        <w:t xml:space="preserve">Why this wedge works: </w:t>
      </w:r>
      <w:r>
        <w:rPr>
          <w:rFonts w:ascii="Aptos" w:hAnsi="Aptos"/>
          <w:b w:val="0"/>
          <w:i w:val="0"/>
          <w:color w:val="1F2937"/>
          <w:sz w:val="21"/>
        </w:rPr>
        <w:t>The stronger repo already leans into delivery logs, notifications, reconnect guidance, and operator confidence. Those are operations features, not commodity scheduler features.</w:t>
      </w:r>
    </w:p>
    <w:p>
      <w:pPr>
        <w:spacing w:after="60"/>
        <w:ind w:left="288" w:hanging="245"/>
      </w:pPr>
      <w:r>
        <w:rPr>
          <w:rFonts w:ascii="Aptos" w:hAnsi="Aptos"/>
          <w:b/>
          <w:i w:val="0"/>
          <w:color w:val="0D9488"/>
          <w:sz w:val="22"/>
        </w:rPr>
        <w:t xml:space="preserve">• </w:t>
      </w:r>
      <w:r>
        <w:rPr>
          <w:rFonts w:ascii="Aptos" w:hAnsi="Aptos"/>
          <w:b/>
          <w:i w:val="0"/>
          <w:color w:val="1F2937"/>
          <w:sz w:val="21"/>
        </w:rPr>
        <w:t xml:space="preserve">What not to become yet: </w:t>
      </w:r>
      <w:r>
        <w:rPr>
          <w:rFonts w:ascii="Aptos" w:hAnsi="Aptos"/>
          <w:b w:val="0"/>
          <w:i w:val="0"/>
          <w:color w:val="1F2937"/>
          <w:sz w:val="21"/>
        </w:rPr>
        <w:t>A full social suite with listening, inbox, broad analytics, creator features, and every network exposed on day one.</w:t>
      </w:r>
    </w:p>
    <w:p>
      <w:pPr>
        <w:pStyle w:val="Heading1"/>
      </w:pPr>
      <w:r>
        <w:t>What to keep, hide, and build next</w:t>
      </w:r>
    </w:p>
    <w:p>
      <w:pPr>
        <w:spacing w:before="0" w:after="120" w:line="276" w:lineRule="auto"/>
      </w:pPr>
      <w:r>
        <w:rPr>
          <w:rFonts w:ascii="Aptos" w:hAnsi="Aptos"/>
          <w:b w:val="0"/>
          <w:i w:val="0"/>
          <w:color w:val="1F2937"/>
          <w:sz w:val="21"/>
        </w:rPr>
        <w:t>Keep the wide backend. Narrow the visible product. That gives you the upside of the larger repo without forcing a broad go-to-market too early.</w:t>
      </w:r>
    </w:p>
    <w:tbl>
      <w:tblPr>
        <w:tblW w:type="auto" w:w="0"/>
        <w:jc w:val="center"/>
        <w:tblLayout w:type="fixed"/>
        <w:tblLook w:firstColumn="1" w:firstRow="1" w:lastColumn="0" w:lastRow="0" w:noHBand="0" w:noVBand="1" w:val="04A0"/>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Pr>
      <w:tblGrid>
        <w:gridCol w:w="3312"/>
        <w:gridCol w:w="3312"/>
        <w:gridCol w:w="3312"/>
      </w:tblGrid>
      <w:tr>
        <w:tc>
          <w:tcPr>
            <w:tcW w:type="dxa" w:w="3024"/>
            <w:shd w:fill="123A63"/>
            <w:tcMar>
              <w:top w:w="90" w:type="dxa"/>
              <w:start w:w="110" w:type="dxa"/>
              <w:bottom w:w="90" w:type="dxa"/>
              <w:end w:w="110" w:type="dxa"/>
            </w:tcMar>
          </w:tcPr>
          <w:p>
            <w:pPr>
              <w:spacing w:before="0" w:after="0" w:line="276" w:lineRule="auto"/>
              <w:jc w:val="center"/>
            </w:pPr>
            <w:r>
              <w:rPr>
                <w:rFonts w:ascii="Aptos" w:hAnsi="Aptos"/>
                <w:b/>
                <w:i w:val="0"/>
                <w:color w:val="FFFFFF"/>
                <w:sz w:val="18"/>
              </w:rPr>
              <w:t>Keep live now</w:t>
            </w:r>
          </w:p>
        </w:tc>
        <w:tc>
          <w:tcPr>
            <w:tcW w:type="dxa" w:w="3240"/>
            <w:shd w:fill="123A63"/>
            <w:tcMar>
              <w:top w:w="90" w:type="dxa"/>
              <w:start w:w="110" w:type="dxa"/>
              <w:bottom w:w="90" w:type="dxa"/>
              <w:end w:w="110" w:type="dxa"/>
            </w:tcMar>
          </w:tcPr>
          <w:p>
            <w:pPr>
              <w:spacing w:before="0" w:after="0" w:line="276" w:lineRule="auto"/>
              <w:jc w:val="center"/>
            </w:pPr>
            <w:r>
              <w:rPr>
                <w:rFonts w:ascii="Aptos" w:hAnsi="Aptos"/>
                <w:b/>
                <w:i w:val="0"/>
                <w:color w:val="FFFFFF"/>
                <w:sz w:val="18"/>
              </w:rPr>
              <w:t>Keep in code but hide from positioning</w:t>
            </w:r>
          </w:p>
        </w:tc>
        <w:tc>
          <w:tcPr>
            <w:tcW w:type="dxa" w:w="3240"/>
            <w:shd w:fill="123A63"/>
            <w:tcMar>
              <w:top w:w="90" w:type="dxa"/>
              <w:start w:w="110" w:type="dxa"/>
              <w:bottom w:w="90" w:type="dxa"/>
              <w:end w:w="110" w:type="dxa"/>
            </w:tcMar>
          </w:tcPr>
          <w:p>
            <w:pPr>
              <w:spacing w:before="0" w:after="0" w:line="276" w:lineRule="auto"/>
              <w:jc w:val="center"/>
            </w:pPr>
            <w:r>
              <w:rPr>
                <w:rFonts w:ascii="Aptos" w:hAnsi="Aptos"/>
                <w:b/>
                <w:i w:val="0"/>
                <w:color w:val="FFFFFF"/>
                <w:sz w:val="18"/>
              </w:rPr>
              <w:t>Delay until after product-market fit</w:t>
            </w:r>
          </w:p>
        </w:tc>
      </w:tr>
      <w:tr>
        <w:tc>
          <w:tcPr>
            <w:tcW w:type="dxa" w:w="3024"/>
            <w:shd w:fill="F9FBFD"/>
            <w:tcMar>
              <w:top w:w="90" w:type="dxa"/>
              <w:start w:w="100" w:type="dxa"/>
              <w:bottom w:w="90" w:type="dxa"/>
              <w:end w:w="100" w:type="dxa"/>
            </w:tcMar>
          </w:tcPr>
          <w:p>
            <w:pPr>
              <w:spacing w:before="0" w:after="0" w:line="276" w:lineRule="auto"/>
            </w:pPr>
            <w:r>
              <w:rPr>
                <w:rFonts w:ascii="Aptos" w:hAnsi="Aptos"/>
                <w:b/>
                <w:i w:val="0"/>
                <w:color w:val="0D9488"/>
                <w:sz w:val="20"/>
              </w:rPr>
              <w:t xml:space="preserve">• </w:t>
            </w:r>
            <w:r>
              <w:rPr>
                <w:rFonts w:ascii="Aptos" w:hAnsi="Aptos"/>
                <w:b w:val="0"/>
                <w:i w:val="0"/>
                <w:color w:val="1F2937"/>
                <w:sz w:val="18"/>
              </w:rPr>
              <w:t>LinkedIn as the hero channel</w:t>
            </w:r>
          </w:p>
        </w:tc>
        <w:tc>
          <w:tcPr>
            <w:tcW w:type="dxa" w:w="3240"/>
            <w:shd w:fill="F9FBFD"/>
            <w:tcMar>
              <w:top w:w="90" w:type="dxa"/>
              <w:start w:w="100" w:type="dxa"/>
              <w:bottom w:w="90" w:type="dxa"/>
              <w:end w:w="100" w:type="dxa"/>
            </w:tcMar>
          </w:tcPr>
          <w:p>
            <w:pPr>
              <w:spacing w:before="0" w:after="0" w:line="276" w:lineRule="auto"/>
            </w:pPr>
            <w:r>
              <w:rPr>
                <w:rFonts w:ascii="Aptos" w:hAnsi="Aptos"/>
                <w:b/>
                <w:i w:val="0"/>
                <w:color w:val="0D9488"/>
                <w:sz w:val="20"/>
              </w:rPr>
              <w:t xml:space="preserve">• </w:t>
            </w:r>
            <w:r>
              <w:rPr>
                <w:rFonts w:ascii="Aptos" w:hAnsi="Aptos"/>
                <w:b w:val="0"/>
                <w:i w:val="0"/>
                <w:color w:val="1F2937"/>
                <w:sz w:val="18"/>
              </w:rPr>
              <w:t>X / Facebook / Instagram adapters until polished</w:t>
            </w:r>
          </w:p>
        </w:tc>
        <w:tc>
          <w:tcPr>
            <w:tcW w:type="dxa" w:w="3240"/>
            <w:shd w:fill="F9FBFD"/>
            <w:tcMar>
              <w:top w:w="90" w:type="dxa"/>
              <w:start w:w="100" w:type="dxa"/>
              <w:bottom w:w="90" w:type="dxa"/>
              <w:end w:w="100" w:type="dxa"/>
            </w:tcMar>
          </w:tcPr>
          <w:p>
            <w:pPr>
              <w:spacing w:before="0" w:after="0" w:line="276" w:lineRule="auto"/>
            </w:pPr>
            <w:r>
              <w:rPr>
                <w:rFonts w:ascii="Aptos" w:hAnsi="Aptos"/>
                <w:b/>
                <w:i w:val="0"/>
                <w:color w:val="0D9488"/>
                <w:sz w:val="20"/>
              </w:rPr>
              <w:t xml:space="preserve">• </w:t>
            </w:r>
            <w:r>
              <w:rPr>
                <w:rFonts w:ascii="Aptos" w:hAnsi="Aptos"/>
                <w:b w:val="0"/>
                <w:i w:val="0"/>
                <w:color w:val="1F2937"/>
                <w:sz w:val="18"/>
              </w:rPr>
              <w:t>Threads, YouTube, TikTok</w:t>
            </w:r>
          </w:p>
        </w:tc>
      </w:tr>
      <w:tr>
        <w:tc>
          <w:tcPr>
            <w:tcW w:type="dxa" w:w="3024"/>
            <w:shd w:fill="F2F6FA"/>
            <w:tcMar>
              <w:top w:w="90" w:type="dxa"/>
              <w:start w:w="100" w:type="dxa"/>
              <w:bottom w:w="90" w:type="dxa"/>
              <w:end w:w="100" w:type="dxa"/>
            </w:tcMar>
          </w:tcPr>
          <w:p>
            <w:pPr>
              <w:spacing w:before="0" w:after="0" w:line="276" w:lineRule="auto"/>
            </w:pPr>
            <w:r>
              <w:rPr>
                <w:rFonts w:ascii="Aptos" w:hAnsi="Aptos"/>
                <w:b/>
                <w:i w:val="0"/>
                <w:color w:val="0D9488"/>
                <w:sz w:val="20"/>
              </w:rPr>
              <w:t xml:space="preserve">• </w:t>
            </w:r>
            <w:r>
              <w:rPr>
                <w:rFonts w:ascii="Aptos" w:hAnsi="Aptos"/>
                <w:b w:val="0"/>
                <w:i w:val="0"/>
                <w:color w:val="1F2937"/>
                <w:sz w:val="18"/>
              </w:rPr>
              <w:t>Platform accounts + post targets</w:t>
            </w:r>
          </w:p>
        </w:tc>
        <w:tc>
          <w:tcPr>
            <w:tcW w:type="dxa" w:w="3240"/>
            <w:shd w:fill="F2F6FA"/>
            <w:tcMar>
              <w:top w:w="90" w:type="dxa"/>
              <w:start w:w="100" w:type="dxa"/>
              <w:bottom w:w="90" w:type="dxa"/>
              <w:end w:w="100" w:type="dxa"/>
            </w:tcMar>
          </w:tcPr>
          <w:p>
            <w:pPr>
              <w:spacing w:before="0" w:after="0" w:line="276" w:lineRule="auto"/>
            </w:pPr>
            <w:r>
              <w:rPr>
                <w:rFonts w:ascii="Aptos" w:hAnsi="Aptos"/>
                <w:b/>
                <w:i w:val="0"/>
                <w:color w:val="0D9488"/>
                <w:sz w:val="20"/>
              </w:rPr>
              <w:t xml:space="preserve">• </w:t>
            </w:r>
            <w:r>
              <w:rPr>
                <w:rFonts w:ascii="Aptos" w:hAnsi="Aptos"/>
                <w:b w:val="0"/>
                <w:i w:val="0"/>
                <w:color w:val="1F2937"/>
                <w:sz w:val="18"/>
              </w:rPr>
              <w:t>Broad channel grid in UI</w:t>
            </w:r>
          </w:p>
        </w:tc>
        <w:tc>
          <w:tcPr>
            <w:tcW w:type="dxa" w:w="3240"/>
            <w:shd w:fill="F2F6FA"/>
            <w:tcMar>
              <w:top w:w="90" w:type="dxa"/>
              <w:start w:w="100" w:type="dxa"/>
              <w:bottom w:w="90" w:type="dxa"/>
              <w:end w:w="100" w:type="dxa"/>
            </w:tcMar>
          </w:tcPr>
          <w:p>
            <w:pPr>
              <w:spacing w:before="0" w:after="0" w:line="276" w:lineRule="auto"/>
            </w:pPr>
            <w:r>
              <w:rPr>
                <w:rFonts w:ascii="Aptos" w:hAnsi="Aptos"/>
                <w:b/>
                <w:i w:val="0"/>
                <w:color w:val="0D9488"/>
                <w:sz w:val="20"/>
              </w:rPr>
              <w:t xml:space="preserve">• </w:t>
            </w:r>
            <w:r>
              <w:rPr>
                <w:rFonts w:ascii="Aptos" w:hAnsi="Aptos"/>
                <w:b w:val="0"/>
                <w:i w:val="0"/>
                <w:color w:val="1F2937"/>
                <w:sz w:val="18"/>
              </w:rPr>
              <w:t>Listening or inbox features</w:t>
            </w:r>
          </w:p>
        </w:tc>
      </w:tr>
      <w:tr>
        <w:tc>
          <w:tcPr>
            <w:tcW w:type="dxa" w:w="3024"/>
            <w:shd w:fill="F9FBFD"/>
            <w:tcMar>
              <w:top w:w="90" w:type="dxa"/>
              <w:start w:w="100" w:type="dxa"/>
              <w:bottom w:w="90" w:type="dxa"/>
              <w:end w:w="100" w:type="dxa"/>
            </w:tcMar>
          </w:tcPr>
          <w:p>
            <w:pPr>
              <w:spacing w:before="0" w:after="0" w:line="276" w:lineRule="auto"/>
            </w:pPr>
            <w:r>
              <w:rPr>
                <w:rFonts w:ascii="Aptos" w:hAnsi="Aptos"/>
                <w:b/>
                <w:i w:val="0"/>
                <w:color w:val="0D9488"/>
                <w:sz w:val="20"/>
              </w:rPr>
              <w:t xml:space="preserve">• </w:t>
            </w:r>
            <w:r>
              <w:rPr>
                <w:rFonts w:ascii="Aptos" w:hAnsi="Aptos"/>
                <w:b w:val="0"/>
                <w:i w:val="0"/>
                <w:color w:val="1F2937"/>
                <w:sz w:val="18"/>
              </w:rPr>
              <w:t>Publish activity and job detail</w:t>
            </w:r>
          </w:p>
        </w:tc>
        <w:tc>
          <w:tcPr>
            <w:tcW w:type="dxa" w:w="3240"/>
            <w:shd w:fill="F9FBFD"/>
            <w:tcMar>
              <w:top w:w="90" w:type="dxa"/>
              <w:start w:w="100" w:type="dxa"/>
              <w:bottom w:w="90" w:type="dxa"/>
              <w:end w:w="100" w:type="dxa"/>
            </w:tcMar>
          </w:tcPr>
          <w:p>
            <w:pPr>
              <w:spacing w:before="0" w:after="0" w:line="276" w:lineRule="auto"/>
            </w:pPr>
            <w:r>
              <w:rPr>
                <w:rFonts w:ascii="Aptos" w:hAnsi="Aptos"/>
                <w:b/>
                <w:i w:val="0"/>
                <w:color w:val="0D9488"/>
                <w:sz w:val="20"/>
              </w:rPr>
              <w:t xml:space="preserve">• </w:t>
            </w:r>
            <w:r>
              <w:rPr>
                <w:rFonts w:ascii="Aptos" w:hAnsi="Aptos"/>
                <w:b w:val="0"/>
                <w:i w:val="0"/>
                <w:color w:val="1F2937"/>
                <w:sz w:val="18"/>
              </w:rPr>
              <w:t>Any claim of analytics depth</w:t>
            </w:r>
          </w:p>
        </w:tc>
        <w:tc>
          <w:tcPr>
            <w:tcW w:type="dxa" w:w="3240"/>
            <w:shd w:fill="F9FBFD"/>
            <w:tcMar>
              <w:top w:w="90" w:type="dxa"/>
              <w:start w:w="100" w:type="dxa"/>
              <w:bottom w:w="90" w:type="dxa"/>
              <w:end w:w="100" w:type="dxa"/>
            </w:tcMar>
          </w:tcPr>
          <w:p>
            <w:pPr>
              <w:spacing w:before="0" w:after="0" w:line="276" w:lineRule="auto"/>
            </w:pPr>
            <w:r>
              <w:rPr>
                <w:rFonts w:ascii="Aptos" w:hAnsi="Aptos"/>
                <w:b/>
                <w:i w:val="0"/>
                <w:color w:val="0D9488"/>
                <w:sz w:val="20"/>
              </w:rPr>
              <w:t xml:space="preserve">• </w:t>
            </w:r>
            <w:r>
              <w:rPr>
                <w:rFonts w:ascii="Aptos" w:hAnsi="Aptos"/>
                <w:b w:val="0"/>
                <w:i w:val="0"/>
                <w:color w:val="1F2937"/>
                <w:sz w:val="18"/>
              </w:rPr>
              <w:t>Deep analytics suite</w:t>
            </w:r>
          </w:p>
        </w:tc>
      </w:tr>
      <w:tr>
        <w:tc>
          <w:tcPr>
            <w:tcW w:type="dxa" w:w="3024"/>
            <w:shd w:fill="F2F6FA"/>
            <w:tcMar>
              <w:top w:w="90" w:type="dxa"/>
              <w:start w:w="100" w:type="dxa"/>
              <w:bottom w:w="90" w:type="dxa"/>
              <w:end w:w="100" w:type="dxa"/>
            </w:tcMar>
          </w:tcPr>
          <w:p>
            <w:pPr>
              <w:spacing w:before="0" w:after="0" w:line="276" w:lineRule="auto"/>
            </w:pPr>
            <w:r>
              <w:rPr>
                <w:rFonts w:ascii="Aptos" w:hAnsi="Aptos"/>
                <w:b/>
                <w:i w:val="0"/>
                <w:color w:val="0D9488"/>
                <w:sz w:val="20"/>
              </w:rPr>
              <w:t xml:space="preserve">• </w:t>
            </w:r>
            <w:r>
              <w:rPr>
                <w:rFonts w:ascii="Aptos" w:hAnsi="Aptos"/>
                <w:b w:val="0"/>
                <w:i w:val="0"/>
                <w:color w:val="1F2937"/>
                <w:sz w:val="18"/>
              </w:rPr>
              <w:t>Notifications and reconnect guidance</w:t>
            </w:r>
          </w:p>
        </w:tc>
        <w:tc>
          <w:tcPr>
            <w:tcW w:type="dxa" w:w="3240"/>
            <w:shd w:fill="F2F6FA"/>
            <w:tcMar>
              <w:top w:w="90" w:type="dxa"/>
              <w:start w:w="100" w:type="dxa"/>
              <w:bottom w:w="90" w:type="dxa"/>
              <w:end w:w="100" w:type="dxa"/>
            </w:tcMar>
          </w:tcPr>
          <w:p>
            <w:pPr>
              <w:spacing w:before="0" w:after="0" w:line="276" w:lineRule="auto"/>
            </w:pPr>
            <w:r>
              <w:rPr>
                <w:rFonts w:ascii="Aptos" w:hAnsi="Aptos"/>
                <w:b/>
                <w:i w:val="0"/>
                <w:color w:val="0D9488"/>
                <w:sz w:val="20"/>
              </w:rPr>
              <w:t xml:space="preserve">• </w:t>
            </w:r>
            <w:r>
              <w:rPr>
                <w:rFonts w:ascii="Aptos" w:hAnsi="Aptos"/>
                <w:b w:val="0"/>
                <w:i w:val="0"/>
                <w:color w:val="1F2937"/>
                <w:sz w:val="18"/>
              </w:rPr>
              <w:t>Any claim of equal channel maturity</w:t>
            </w:r>
          </w:p>
        </w:tc>
        <w:tc>
          <w:tcPr>
            <w:tcW w:type="dxa" w:w="3240"/>
            <w:shd w:fill="F2F6FA"/>
            <w:tcMar>
              <w:top w:w="90" w:type="dxa"/>
              <w:start w:w="100" w:type="dxa"/>
              <w:bottom w:w="90" w:type="dxa"/>
              <w:end w:w="100" w:type="dxa"/>
            </w:tcMar>
          </w:tcPr>
          <w:p>
            <w:pPr>
              <w:spacing w:before="0" w:after="0" w:line="276" w:lineRule="auto"/>
            </w:pPr>
            <w:r>
              <w:rPr>
                <w:rFonts w:ascii="Aptos" w:hAnsi="Aptos"/>
                <w:b/>
                <w:i w:val="0"/>
                <w:color w:val="0D9488"/>
                <w:sz w:val="20"/>
              </w:rPr>
              <w:t xml:space="preserve">• </w:t>
            </w:r>
            <w:r>
              <w:rPr>
                <w:rFonts w:ascii="Aptos" w:hAnsi="Aptos"/>
                <w:b w:val="0"/>
                <w:i w:val="0"/>
                <w:color w:val="1F2937"/>
                <w:sz w:val="18"/>
              </w:rPr>
              <w:t>AI writing as the headline</w:t>
            </w:r>
          </w:p>
        </w:tc>
      </w:tr>
      <w:tr>
        <w:tc>
          <w:tcPr>
            <w:tcW w:type="dxa" w:w="3024"/>
            <w:shd w:fill="F9FBFD"/>
            <w:tcMar>
              <w:top w:w="90" w:type="dxa"/>
              <w:start w:w="100" w:type="dxa"/>
              <w:bottom w:w="90" w:type="dxa"/>
              <w:end w:w="100" w:type="dxa"/>
            </w:tcMar>
          </w:tcPr>
          <w:p>
            <w:pPr>
              <w:spacing w:before="0" w:after="0" w:line="276" w:lineRule="auto"/>
            </w:pPr>
            <w:r>
              <w:rPr>
                <w:rFonts w:ascii="Aptos" w:hAnsi="Aptos"/>
                <w:b/>
                <w:i w:val="0"/>
                <w:color w:val="0D9488"/>
                <w:sz w:val="20"/>
              </w:rPr>
              <w:t xml:space="preserve">• </w:t>
            </w:r>
            <w:r>
              <w:rPr>
                <w:rFonts w:ascii="Aptos" w:hAnsi="Aptos"/>
                <w:b w:val="0"/>
                <w:i w:val="0"/>
                <w:color w:val="1F2937"/>
                <w:sz w:val="18"/>
              </w:rPr>
              <w:t>Workspace-aware billing and usage</w:t>
            </w:r>
          </w:p>
        </w:tc>
        <w:tc>
          <w:tcPr>
            <w:tcW w:type="dxa" w:w="3240"/>
            <w:shd w:fill="F9FBFD"/>
            <w:tcMar>
              <w:top w:w="90" w:type="dxa"/>
              <w:start w:w="100" w:type="dxa"/>
              <w:bottom w:w="90" w:type="dxa"/>
              <w:end w:w="100" w:type="dxa"/>
            </w:tcMar>
          </w:tcPr>
          <w:p>
            <w:pPr>
              <w:spacing w:before="0" w:after="0" w:line="276" w:lineRule="auto"/>
            </w:pPr>
          </w:p>
        </w:tc>
        <w:tc>
          <w:tcPr>
            <w:tcW w:type="dxa" w:w="3240"/>
            <w:shd w:fill="F9FBFD"/>
            <w:tcMar>
              <w:top w:w="90" w:type="dxa"/>
              <w:start w:w="100" w:type="dxa"/>
              <w:bottom w:w="90" w:type="dxa"/>
              <w:end w:w="100" w:type="dxa"/>
            </w:tcMar>
          </w:tcPr>
          <w:p>
            <w:pPr>
              <w:spacing w:before="0" w:after="0" w:line="276" w:lineRule="auto"/>
            </w:pPr>
            <w:r>
              <w:rPr>
                <w:rFonts w:ascii="Aptos" w:hAnsi="Aptos"/>
                <w:b/>
                <w:i w:val="0"/>
                <w:color w:val="0D9488"/>
                <w:sz w:val="20"/>
              </w:rPr>
              <w:t xml:space="preserve">• </w:t>
            </w:r>
            <w:r>
              <w:rPr>
                <w:rFonts w:ascii="Aptos" w:hAnsi="Aptos"/>
                <w:b w:val="0"/>
                <w:i w:val="0"/>
                <w:color w:val="1F2937"/>
                <w:sz w:val="18"/>
              </w:rPr>
              <w:t>Creator-market features</w:t>
            </w:r>
          </w:p>
        </w:tc>
      </w:tr>
    </w:tbl>
    <w:p/>
    <w:p>
      <w:pPr>
        <w:pStyle w:val="Heading1"/>
      </w:pPr>
      <w:r>
        <w:t>What must change before launch</w:t>
      </w:r>
    </w:p>
    <w:p>
      <w:pPr>
        <w:spacing w:after="60"/>
        <w:ind w:left="288" w:hanging="245"/>
      </w:pPr>
      <w:r>
        <w:rPr>
          <w:rFonts w:ascii="Aptos" w:hAnsi="Aptos"/>
          <w:b/>
          <w:i w:val="0"/>
          <w:color w:val="0D9488"/>
          <w:sz w:val="22"/>
        </w:rPr>
        <w:t xml:space="preserve">• </w:t>
      </w:r>
      <w:r>
        <w:rPr>
          <w:rFonts w:ascii="Aptos" w:hAnsi="Aptos"/>
          <w:b/>
          <w:i w:val="0"/>
          <w:color w:val="1F2937"/>
          <w:sz w:val="21"/>
        </w:rPr>
        <w:t xml:space="preserve">Finish the visible workflow: </w:t>
      </w:r>
      <w:r>
        <w:rPr>
          <w:rFonts w:ascii="Aptos" w:hAnsi="Aptos"/>
          <w:b w:val="0"/>
          <w:i w:val="0"/>
          <w:color w:val="1F2937"/>
          <w:sz w:val="21"/>
        </w:rPr>
        <w:t>The composer, approvals loop, calendar, job detail view, and target selection need to feel excellent before more adapter work.</w:t>
      </w:r>
    </w:p>
    <w:p>
      <w:pPr>
        <w:spacing w:after="60"/>
        <w:ind w:left="288" w:hanging="245"/>
      </w:pPr>
      <w:r>
        <w:rPr>
          <w:rFonts w:ascii="Aptos" w:hAnsi="Aptos"/>
          <w:b/>
          <w:i w:val="0"/>
          <w:color w:val="0D9488"/>
          <w:sz w:val="22"/>
        </w:rPr>
        <w:t xml:space="preserve">• </w:t>
      </w:r>
      <w:r>
        <w:rPr>
          <w:rFonts w:ascii="Aptos" w:hAnsi="Aptos"/>
          <w:b/>
          <w:i w:val="0"/>
          <w:color w:val="1F2937"/>
          <w:sz w:val="21"/>
        </w:rPr>
        <w:t xml:space="preserve">Remove trust-breakers: </w:t>
      </w:r>
      <w:r>
        <w:rPr>
          <w:rFonts w:ascii="Aptos" w:hAnsi="Aptos"/>
          <w:b w:val="0"/>
          <w:i w:val="0"/>
          <w:color w:val="1F2937"/>
          <w:sz w:val="21"/>
        </w:rPr>
        <w:t>Eliminate demo workspace paths, placeholder OAuth values, and snapshot-only pages from the core story.</w:t>
      </w:r>
    </w:p>
    <w:p>
      <w:pPr>
        <w:spacing w:after="60"/>
        <w:ind w:left="288" w:hanging="245"/>
      </w:pPr>
      <w:r>
        <w:rPr>
          <w:rFonts w:ascii="Aptos" w:hAnsi="Aptos"/>
          <w:b/>
          <w:i w:val="0"/>
          <w:color w:val="0D9488"/>
          <w:sz w:val="22"/>
        </w:rPr>
        <w:t xml:space="preserve">• </w:t>
      </w:r>
      <w:r>
        <w:rPr>
          <w:rFonts w:ascii="Aptos" w:hAnsi="Aptos"/>
          <w:b/>
          <w:i w:val="0"/>
          <w:color w:val="1F2937"/>
          <w:sz w:val="21"/>
        </w:rPr>
        <w:t xml:space="preserve">Hide unfinished breadth: </w:t>
      </w:r>
      <w:r>
        <w:rPr>
          <w:rFonts w:ascii="Aptos" w:hAnsi="Aptos"/>
          <w:b w:val="0"/>
          <w:i w:val="0"/>
          <w:color w:val="1F2937"/>
          <w:sz w:val="21"/>
        </w:rPr>
        <w:t>Keep future channels in code, but do not market them or make them central to the launch experience.</w:t>
      </w:r>
    </w:p>
    <w:p>
      <w:pPr>
        <w:spacing w:after="60"/>
        <w:ind w:left="288" w:hanging="245"/>
      </w:pPr>
      <w:r>
        <w:rPr>
          <w:rFonts w:ascii="Aptos" w:hAnsi="Aptos"/>
          <w:b/>
          <w:i w:val="0"/>
          <w:color w:val="0D9488"/>
          <w:sz w:val="22"/>
        </w:rPr>
        <w:t xml:space="preserve">• </w:t>
      </w:r>
      <w:r>
        <w:rPr>
          <w:rFonts w:ascii="Aptos" w:hAnsi="Aptos"/>
          <w:b/>
          <w:i w:val="0"/>
          <w:color w:val="1F2937"/>
          <w:sz w:val="21"/>
        </w:rPr>
        <w:t xml:space="preserve">Reframe pricing: </w:t>
      </w:r>
      <w:r>
        <w:rPr>
          <w:rFonts w:ascii="Aptos" w:hAnsi="Aptos"/>
          <w:b w:val="0"/>
          <w:i w:val="0"/>
          <w:color w:val="1F2937"/>
          <w:sz w:val="21"/>
        </w:rPr>
        <w:t>Price for serious teams and agencies. Do not chase solo creators or cheap scheduler buyers.</w:t>
      </w:r>
    </w:p>
    <w:p>
      <w:pPr>
        <w:pStyle w:val="Heading1"/>
      </w:pPr>
      <w:r>
        <w:t>Potential value at full execution</w:t>
      </w:r>
    </w:p>
    <w:p>
      <w:pPr>
        <w:spacing w:before="0" w:after="120" w:line="276" w:lineRule="auto"/>
      </w:pPr>
      <w:r>
        <w:rPr>
          <w:rFonts w:ascii="Aptos" w:hAnsi="Aptos"/>
          <w:b w:val="0"/>
          <w:i w:val="0"/>
          <w:color w:val="1F2937"/>
          <w:sz w:val="21"/>
        </w:rPr>
        <w:t>These are strategic valuation ranges, not formal appraisals. They assume the product stays tightly focused on a premium niche, proves retention, and stops trying to be a full Sprout substitute too early.</w:t>
      </w:r>
    </w:p>
    <w:tbl>
      <w:tblPr>
        <w:tblW w:type="auto" w:w="0"/>
        <w:jc w:val="center"/>
        <w:tblLayout w:type="fixed"/>
        <w:tblLook w:firstColumn="1" w:firstRow="1" w:lastColumn="0" w:lastRow="0" w:noHBand="0" w:noVBand="1" w:val="04A0"/>
        <w:tblBorders>
          <w:top w:val="single" w:sz="8" w:space="0" w:color="CFD8E3"/>
          <w:left w:val="single" w:sz="8" w:space="0" w:color="CFD8E3"/>
          <w:bottom w:val="single" w:sz="8" w:space="0" w:color="CFD8E3"/>
          <w:right w:val="single" w:sz="8" w:space="0" w:color="CFD8E3"/>
          <w:insideH w:val="single" w:sz="8" w:space="0" w:color="CFD8E3"/>
          <w:insideV w:val="single" w:sz="8" w:space="0" w:color="CFD8E3"/>
        </w:tblBorders>
      </w:tblPr>
      <w:tblGrid>
        <w:gridCol w:w="3312"/>
        <w:gridCol w:w="3312"/>
        <w:gridCol w:w="3312"/>
      </w:tblGrid>
      <w:tr>
        <w:tc>
          <w:tcPr>
            <w:tcW w:type="dxa" w:w="3456"/>
            <w:tcMar>
              <w:top w:w="90" w:type="dxa"/>
              <w:start w:w="105" w:type="dxa"/>
              <w:bottom w:w="90" w:type="dxa"/>
              <w:end w:w="105" w:type="dxa"/>
            </w:tcMar>
            <w:shd w:fill="123A63"/>
          </w:tcPr>
          <w:p>
            <w:pPr>
              <w:spacing w:before="0" w:after="0" w:line="276" w:lineRule="auto"/>
              <w:jc w:val="center"/>
            </w:pPr>
            <w:r>
              <w:rPr>
                <w:rFonts w:ascii="Aptos" w:hAnsi="Aptos"/>
                <w:b/>
                <w:i w:val="0"/>
                <w:color w:val="FFFFFF"/>
                <w:sz w:val="18"/>
              </w:rPr>
              <w:t>Scenario</w:t>
            </w:r>
          </w:p>
        </w:tc>
        <w:tc>
          <w:tcPr>
            <w:tcW w:type="dxa" w:w="2880"/>
            <w:tcMar>
              <w:top w:w="90" w:type="dxa"/>
              <w:start w:w="105" w:type="dxa"/>
              <w:bottom w:w="90" w:type="dxa"/>
              <w:end w:w="105" w:type="dxa"/>
            </w:tcMar>
            <w:shd w:fill="123A63"/>
          </w:tcPr>
          <w:p>
            <w:pPr>
              <w:spacing w:before="0" w:after="0" w:line="276" w:lineRule="auto"/>
              <w:jc w:val="center"/>
            </w:pPr>
            <w:r>
              <w:rPr>
                <w:rFonts w:ascii="Aptos" w:hAnsi="Aptos"/>
                <w:b/>
                <w:i w:val="0"/>
                <w:color w:val="FFFFFF"/>
                <w:sz w:val="18"/>
              </w:rPr>
              <w:t>Indicative value</w:t>
            </w:r>
          </w:p>
        </w:tc>
        <w:tc>
          <w:tcPr>
            <w:tcW w:type="dxa" w:w="3456"/>
            <w:tcMar>
              <w:top w:w="90" w:type="dxa"/>
              <w:start w:w="105" w:type="dxa"/>
              <w:bottom w:w="90" w:type="dxa"/>
              <w:end w:w="105" w:type="dxa"/>
            </w:tcMar>
            <w:shd w:fill="123A63"/>
          </w:tcPr>
          <w:p>
            <w:pPr>
              <w:spacing w:before="0" w:after="0" w:line="276" w:lineRule="auto"/>
              <w:jc w:val="center"/>
            </w:pPr>
            <w:r>
              <w:rPr>
                <w:rFonts w:ascii="Aptos" w:hAnsi="Aptos"/>
                <w:b/>
                <w:i w:val="0"/>
                <w:color w:val="FFFFFF"/>
                <w:sz w:val="18"/>
              </w:rPr>
              <w:t>What must be true</w:t>
            </w:r>
          </w:p>
        </w:tc>
      </w:tr>
      <w:tr>
        <w:tc>
          <w:tcPr>
            <w:tcW w:type="dxa" w:w="3456"/>
            <w:tcMar>
              <w:top w:w="90" w:type="dxa"/>
              <w:start w:w="105" w:type="dxa"/>
              <w:bottom w:w="90" w:type="dxa"/>
              <w:end w:w="105" w:type="dxa"/>
            </w:tcMar>
            <w:shd w:fill="FAFCFE"/>
          </w:tcPr>
          <w:p>
            <w:pPr>
              <w:spacing w:before="0" w:after="0" w:line="276" w:lineRule="auto"/>
              <w:jc w:val="left"/>
            </w:pPr>
            <w:r>
              <w:rPr>
                <w:rFonts w:ascii="Aptos" w:hAnsi="Aptos"/>
                <w:b/>
                <w:i w:val="0"/>
                <w:color w:val="1F2937"/>
                <w:sz w:val="18"/>
              </w:rPr>
              <w:t>Finished product, limited traction</w:t>
            </w:r>
          </w:p>
        </w:tc>
        <w:tc>
          <w:tcPr>
            <w:tcW w:type="dxa" w:w="2880"/>
            <w:tcMar>
              <w:top w:w="90" w:type="dxa"/>
              <w:start w:w="105" w:type="dxa"/>
              <w:bottom w:w="90" w:type="dxa"/>
              <w:end w:w="105" w:type="dxa"/>
            </w:tcMar>
            <w:shd w:fill="FAFCFE"/>
          </w:tcPr>
          <w:p>
            <w:pPr>
              <w:spacing w:before="0" w:after="0" w:line="276" w:lineRule="auto"/>
              <w:jc w:val="center"/>
            </w:pPr>
            <w:r>
              <w:rPr>
                <w:rFonts w:ascii="Aptos" w:hAnsi="Aptos"/>
                <w:b w:val="0"/>
                <w:i w:val="0"/>
                <w:color w:val="1F2937"/>
                <w:sz w:val="18"/>
              </w:rPr>
              <w:t>£250k - £750k</w:t>
            </w:r>
          </w:p>
        </w:tc>
        <w:tc>
          <w:tcPr>
            <w:tcW w:type="dxa" w:w="3456"/>
            <w:tcMar>
              <w:top w:w="90" w:type="dxa"/>
              <w:start w:w="105" w:type="dxa"/>
              <w:bottom w:w="90" w:type="dxa"/>
              <w:end w:w="105" w:type="dxa"/>
            </w:tcMar>
            <w:shd w:fill="FAFCFE"/>
          </w:tcPr>
          <w:p>
            <w:pPr>
              <w:spacing w:before="0" w:after="0" w:line="276" w:lineRule="auto"/>
              <w:jc w:val="left"/>
            </w:pPr>
            <w:r>
              <w:rPr>
                <w:rFonts w:ascii="Aptos" w:hAnsi="Aptos"/>
                <w:b w:val="0"/>
                <w:i w:val="0"/>
                <w:color w:val="1F2937"/>
                <w:sz w:val="18"/>
              </w:rPr>
              <w:t>Working end-to-end workflow, but little proof on retention or repeatable sales</w:t>
            </w:r>
          </w:p>
        </w:tc>
      </w:tr>
      <w:tr>
        <w:tc>
          <w:tcPr>
            <w:tcW w:type="dxa" w:w="3456"/>
            <w:tcMar>
              <w:top w:w="90" w:type="dxa"/>
              <w:start w:w="105" w:type="dxa"/>
              <w:bottom w:w="90" w:type="dxa"/>
              <w:end w:w="105" w:type="dxa"/>
            </w:tcMar>
            <w:shd w:fill="F4F8FB"/>
          </w:tcPr>
          <w:p>
            <w:pPr>
              <w:spacing w:before="0" w:after="0" w:line="276" w:lineRule="auto"/>
              <w:jc w:val="left"/>
            </w:pPr>
            <w:r>
              <w:rPr>
                <w:rFonts w:ascii="Aptos" w:hAnsi="Aptos"/>
                <w:b/>
                <w:i w:val="0"/>
                <w:color w:val="1F2937"/>
                <w:sz w:val="18"/>
              </w:rPr>
              <w:t>Focused niche SaaS</w:t>
            </w:r>
          </w:p>
        </w:tc>
        <w:tc>
          <w:tcPr>
            <w:tcW w:type="dxa" w:w="2880"/>
            <w:tcMar>
              <w:top w:w="90" w:type="dxa"/>
              <w:start w:w="105" w:type="dxa"/>
              <w:bottom w:w="90" w:type="dxa"/>
              <w:end w:w="105" w:type="dxa"/>
            </w:tcMar>
            <w:shd w:fill="F4F8FB"/>
          </w:tcPr>
          <w:p>
            <w:pPr>
              <w:spacing w:before="0" w:after="0" w:line="276" w:lineRule="auto"/>
              <w:jc w:val="center"/>
            </w:pPr>
            <w:r>
              <w:rPr>
                <w:rFonts w:ascii="Aptos" w:hAnsi="Aptos"/>
                <w:b w:val="0"/>
                <w:i w:val="0"/>
                <w:color w:val="1F2937"/>
                <w:sz w:val="18"/>
              </w:rPr>
              <w:t>£1.5m - £4m</w:t>
            </w:r>
          </w:p>
        </w:tc>
        <w:tc>
          <w:tcPr>
            <w:tcW w:type="dxa" w:w="3456"/>
            <w:tcMar>
              <w:top w:w="90" w:type="dxa"/>
              <w:start w:w="105" w:type="dxa"/>
              <w:bottom w:w="90" w:type="dxa"/>
              <w:end w:w="105" w:type="dxa"/>
            </w:tcMar>
            <w:shd w:fill="F4F8FB"/>
          </w:tcPr>
          <w:p>
            <w:pPr>
              <w:spacing w:before="0" w:after="0" w:line="276" w:lineRule="auto"/>
              <w:jc w:val="left"/>
            </w:pPr>
            <w:r>
              <w:rPr>
                <w:rFonts w:ascii="Aptos" w:hAnsi="Aptos"/>
                <w:b w:val="0"/>
                <w:i w:val="0"/>
                <w:color w:val="1F2937"/>
                <w:sz w:val="18"/>
              </w:rPr>
              <w:t>Agencies or B2B teams paying consistently, low founder hand-holding</w:t>
            </w:r>
          </w:p>
        </w:tc>
      </w:tr>
      <w:tr>
        <w:tc>
          <w:tcPr>
            <w:tcW w:type="dxa" w:w="3456"/>
            <w:tcMar>
              <w:top w:w="90" w:type="dxa"/>
              <w:start w:w="105" w:type="dxa"/>
              <w:bottom w:w="90" w:type="dxa"/>
              <w:end w:w="105" w:type="dxa"/>
            </w:tcMar>
            <w:shd w:fill="FAFCFE"/>
          </w:tcPr>
          <w:p>
            <w:pPr>
              <w:spacing w:before="0" w:after="0" w:line="276" w:lineRule="auto"/>
              <w:jc w:val="left"/>
            </w:pPr>
            <w:r>
              <w:rPr>
                <w:rFonts w:ascii="Aptos" w:hAnsi="Aptos"/>
                <w:b/>
                <w:i w:val="0"/>
                <w:color w:val="1F2937"/>
                <w:sz w:val="18"/>
              </w:rPr>
              <w:t>Category wedge winner</w:t>
            </w:r>
          </w:p>
        </w:tc>
        <w:tc>
          <w:tcPr>
            <w:tcW w:type="dxa" w:w="2880"/>
            <w:tcMar>
              <w:top w:w="90" w:type="dxa"/>
              <w:start w:w="105" w:type="dxa"/>
              <w:bottom w:w="90" w:type="dxa"/>
              <w:end w:w="105" w:type="dxa"/>
            </w:tcMar>
            <w:shd w:fill="FAFCFE"/>
          </w:tcPr>
          <w:p>
            <w:pPr>
              <w:spacing w:before="0" w:after="0" w:line="276" w:lineRule="auto"/>
              <w:jc w:val="center"/>
            </w:pPr>
            <w:r>
              <w:rPr>
                <w:rFonts w:ascii="Aptos" w:hAnsi="Aptos"/>
                <w:b w:val="0"/>
                <w:i w:val="0"/>
                <w:color w:val="1F2937"/>
                <w:sz w:val="18"/>
              </w:rPr>
              <w:t>£4m - £10m</w:t>
            </w:r>
          </w:p>
        </w:tc>
        <w:tc>
          <w:tcPr>
            <w:tcW w:type="dxa" w:w="3456"/>
            <w:tcMar>
              <w:top w:w="90" w:type="dxa"/>
              <w:start w:w="105" w:type="dxa"/>
              <w:bottom w:w="90" w:type="dxa"/>
              <w:end w:w="105" w:type="dxa"/>
            </w:tcMar>
            <w:shd w:fill="FAFCFE"/>
          </w:tcPr>
          <w:p>
            <w:pPr>
              <w:spacing w:before="0" w:after="0" w:line="276" w:lineRule="auto"/>
              <w:jc w:val="left"/>
            </w:pPr>
            <w:r>
              <w:rPr>
                <w:rFonts w:ascii="Aptos" w:hAnsi="Aptos"/>
                <w:b w:val="0"/>
                <w:i w:val="0"/>
                <w:color w:val="1F2937"/>
                <w:sz w:val="18"/>
              </w:rPr>
              <w:t>Strong retention, clear workflow moat, reliable LinkedIn-led execution</w:t>
            </w:r>
          </w:p>
        </w:tc>
      </w:tr>
    </w:tbl>
    <w:p/>
    <w:p>
      <w:pPr>
        <w:spacing w:after="60"/>
        <w:ind w:left="288" w:hanging="245"/>
      </w:pPr>
      <w:r>
        <w:rPr>
          <w:rFonts w:ascii="Aptos" w:hAnsi="Aptos"/>
          <w:b/>
          <w:i w:val="0"/>
          <w:color w:val="0D9488"/>
          <w:sz w:val="22"/>
        </w:rPr>
        <w:t xml:space="preserve">• </w:t>
      </w:r>
      <w:r>
        <w:rPr>
          <w:rFonts w:ascii="Aptos" w:hAnsi="Aptos"/>
          <w:b/>
          <w:i w:val="0"/>
          <w:color w:val="1F2937"/>
          <w:sz w:val="21"/>
        </w:rPr>
        <w:t xml:space="preserve">Stretch case: </w:t>
      </w:r>
      <w:r>
        <w:rPr>
          <w:rFonts w:ascii="Aptos" w:hAnsi="Aptos"/>
          <w:b w:val="0"/>
          <w:i w:val="0"/>
          <w:color w:val="1F2937"/>
          <w:sz w:val="21"/>
        </w:rPr>
        <w:t>Low-teens valuation is possible only if the larger repo is kept narrow, customer retention is real, and premium pricing is justified by approvals, reliability, and multi-brand workflow.</w:t>
      </w:r>
    </w:p>
    <w:p>
      <w:pPr>
        <w:spacing w:after="60"/>
        <w:ind w:left="288" w:hanging="245"/>
      </w:pPr>
      <w:r>
        <w:rPr>
          <w:rFonts w:ascii="Aptos" w:hAnsi="Aptos"/>
          <w:b/>
          <w:i w:val="0"/>
          <w:color w:val="0D9488"/>
          <w:sz w:val="22"/>
        </w:rPr>
        <w:t xml:space="preserve">• </w:t>
      </w:r>
      <w:r>
        <w:rPr>
          <w:rFonts w:ascii="Aptos" w:hAnsi="Aptos"/>
          <w:b/>
          <w:i w:val="0"/>
          <w:color w:val="1F2937"/>
          <w:sz w:val="21"/>
        </w:rPr>
        <w:t xml:space="preserve">Biggest trap: </w:t>
      </w:r>
      <w:r>
        <w:rPr>
          <w:rFonts w:ascii="Aptos" w:hAnsi="Aptos"/>
          <w:b w:val="0"/>
          <w:i w:val="0"/>
          <w:color w:val="1F2937"/>
          <w:sz w:val="21"/>
        </w:rPr>
        <w:t>Broadening into a mini-Sprout before the core composer, approvals, calendar, and job-detail loop feel excellent.</w:t>
      </w:r>
    </w:p>
    <w:sectPr w:rsidR="00FC693F" w:rsidRPr="0006063C" w:rsidSect="00034616">
      <w:footerReference w:type="default" r:id="rId9"/>
      <w:pgSz w:w="12240" w:h="15840"/>
      <w:pgMar w:top="1008" w:right="1152" w:bottom="936"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4B5563"/>
        <w:sz w:val="16"/>
      </w:rPr>
      <w:t xml:space="preserve">Repurly strategic plan  |  </w:t>
    </w:r>
    <w:fldSimple w:instr="PAGE">
      <w:r>
        <w:rPr>
          <w:sz w:val="16"/>
          <w:color w:val="4B5563"/>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23A63"/>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Label">
    <w:name w:val="SmallCapsLabel"/>
    <w:pPr>
      <w:spacing w:after="40"/>
    </w:pPr>
    <w:rPr>
      <w:rFonts w:ascii="Aptos" w:hAnsi="Aptos"/>
      <w:b/>
      <w:color w:val="123A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