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Repurly revised launch decision memo</w:t>
      </w:r>
    </w:p>
    <w:p>
      <w:pPr>
        <w:pStyle w:val="Subtitle"/>
        <w:jc w:val="left"/>
      </w:pPr>
      <w:r>
        <w:t>Tighter commercial framing, revised valuation bands, and go / no-go thresholds for the April 2026 decision pack.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b/>
                <w:color w:val="164478"/>
                <w:sz w:val="22"/>
              </w:rPr>
              <w:t>Bottom line</w:t>
              <w:br/>
            </w:r>
            <w:r>
              <w:rPr>
                <w:sz w:val="21"/>
              </w:rPr>
              <w:t>Proceed with the current strategy, but tighten the pack. The product direction is right; the figures should be treated as upside ranges, not base-case planning numbers. Day 30 should mean pilot-ready, not commercially validated.</w:t>
            </w:r>
          </w:p>
        </w:tc>
      </w:tr>
    </w:tbl>
    <w:p>
      <w:pPr>
        <w:pStyle w:val="Heading1"/>
      </w:pPr>
      <w:r>
        <w:t>What changes from the current pack</w:t>
      </w:r>
    </w:p>
    <w:p>
      <w:pPr>
        <w:pStyle w:val="ListBullet"/>
        <w:ind w:left="0"/>
      </w:pPr>
      <w:r>
        <w:t>Keep the core strategy: build from the delivery-logs codebase, but keep the visible promise narrow and LinkedIn-first.</w:t>
      </w:r>
    </w:p>
    <w:p>
      <w:pPr>
        <w:pStyle w:val="ListBullet"/>
        <w:ind w:left="0"/>
      </w:pPr>
      <w:r>
        <w:t>Reframe the 30-day outcome: a credible pilot-ready product is realistic; proving the business model inside 30 days is not.</w:t>
      </w:r>
    </w:p>
    <w:p>
      <w:pPr>
        <w:pStyle w:val="ListBullet"/>
        <w:ind w:left="0"/>
      </w:pPr>
      <w:r>
        <w:t>Use more conservative valuation bands for planning so the pack is investor-proof rather than optimistic.</w:t>
      </w:r>
    </w:p>
    <w:p>
      <w:pPr>
        <w:pStyle w:val="ListBullet"/>
        <w:ind w:left="0"/>
      </w:pPr>
      <w:r>
        <w:t>Add explicit commercial gates: discovery calls, paid pilots, completed workflows, renewal signal, and pricing proof.</w:t>
      </w:r>
    </w:p>
    <w:p>
      <w:pPr>
        <w:pStyle w:val="Heading1"/>
      </w:pPr>
      <w:r>
        <w:t>Judgment on direction</w:t>
      </w:r>
    </w:p>
    <w:p>
      <w:pPr>
        <w:pStyle w:val="ListBullet"/>
        <w:ind w:left="0"/>
      </w:pPr>
      <w:r>
        <w:t>Right way forward: Yes. The narrow workflow-plus-reliability strategy is the strongest reading of the uploaded codebases.</w:t>
      </w:r>
    </w:p>
    <w:p>
      <w:pPr>
        <w:pStyle w:val="ListBullet"/>
        <w:ind w:left="0"/>
      </w:pPr>
      <w:r>
        <w:t>Wrong way forward: finishing breadth first, marketing unfinished channels, or assuming a pure self-serve SaaS launch will justify premium pricing immediately.</w:t>
      </w:r>
    </w:p>
    <w:p>
      <w:pPr>
        <w:pStyle w:val="ListBullet"/>
        <w:ind w:left="0"/>
      </w:pPr>
      <w:r>
        <w:t>Most important distinction: the product can be technically ahead of the market proof. The pack should show that difference clearly.</w:t>
      </w:r>
    </w:p>
    <w:p>
      <w:pPr>
        <w:pStyle w:val="Heading1"/>
      </w:pPr>
      <w:r>
        <w:t>Revised valuation bands</w:t>
      </w:r>
    </w:p>
    <w:p>
      <w:pPr/>
      <w:r>
        <w:t>These are planning bands for a focused niche product in the current 2026 market. They are not formal appraisals and should not be read as likely outcomes without customer proof.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73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Stage</w:t>
            </w:r>
          </w:p>
        </w:tc>
        <w:tc>
          <w:tcPr>
            <w:tcW w:type="dxa" w:w="158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Revised range</w:t>
            </w:r>
          </w:p>
        </w:tc>
        <w:tc>
          <w:tcPr>
            <w:tcW w:type="dxa" w:w="3456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What must be true</w:t>
            </w:r>
          </w:p>
        </w:tc>
        <w:tc>
          <w:tcPr>
            <w:tcW w:type="dxa" w:w="2160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How to use it</w:t>
            </w:r>
          </w:p>
        </w:tc>
      </w:tr>
      <w:t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Pilot-ready product with limited proof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£100k - £400k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End-to-end workflow works, trust-breakers are removed, and there is at least some early buyer interest.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Use as the realistic pre-traction planning band.</w:t>
            </w:r>
          </w:p>
        </w:tc>
      </w:tr>
      <w:t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Small validated niche SaaS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£1m - £3m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 few customers pay consistently, onboarding is becoming repeatable, and the product solves an operational pain better than a generic scheduler.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This is the first band that assumes real commercial validation.</w:t>
            </w:r>
          </w:p>
        </w:tc>
      </w:tr>
      <w:t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Strong wedge business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£3m - £8m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Retention is holding, premium pricing survives contact with the market, and the company is known for LinkedIn-led content ops rather than channel breadth.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Reasonable upside case if the wedge really works.</w:t>
            </w:r>
          </w:p>
        </w:tc>
      </w:tr>
      <w:t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Exceptional niche winner</w:t>
            </w:r>
          </w:p>
        </w:tc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£8m+</w:t>
            </w:r>
          </w:p>
        </w:tc>
        <w:tc>
          <w:tcPr>
            <w:tcW w:type="dxa" w:w="34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The business shows durable retention, clean unit economics, and enough traction to look like a category-defining wedge rather than a small tool.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Treat as a stretch case only.</w:t>
            </w:r>
          </w:p>
        </w:tc>
      </w:tr>
    </w:tbl>
    <w:p/>
    <w:p>
      <w:pPr>
        <w:pStyle w:val="Heading1"/>
      </w:pPr>
      <w:r>
        <w:t>Why the figures need tightening</w:t>
      </w:r>
    </w:p>
    <w:p>
      <w:pPr>
        <w:pStyle w:val="ListBullet"/>
        <w:ind w:left="0"/>
      </w:pPr>
      <w:r>
        <w:t>The low end of the market is already served by cheap schedulers, so price-sensitive buyers have alternatives.</w:t>
      </w:r>
    </w:p>
    <w:p>
      <w:pPr>
        <w:pStyle w:val="ListBullet"/>
        <w:ind w:left="0"/>
      </w:pPr>
      <w:r>
        <w:t>The premium end is occupied by broad suites with more functionality and stronger brand trust.</w:t>
      </w:r>
    </w:p>
    <w:p>
      <w:pPr>
        <w:pStyle w:val="ListBullet"/>
        <w:ind w:left="0"/>
      </w:pPr>
      <w:r>
        <w:t>That means Repurly only earns premium pricing if it clearly solves workflow, approvals, reliability, and operational confidence for a narrow buyer.</w:t>
      </w:r>
    </w:p>
    <w:p>
      <w:pPr>
        <w:pStyle w:val="ListBullet"/>
        <w:ind w:left="0"/>
      </w:pPr>
      <w:r>
        <w:t>For that reason, the current pack's upper ranges are fine as strategic upside but too generous to use as base-case expectations.</w:t>
      </w:r>
    </w:p>
    <w:p>
      <w:pPr>
        <w:pStyle w:val="Heading1"/>
      </w:pPr>
      <w:r>
        <w:t>Commercial go / no-go thresholds</w:t>
      </w:r>
    </w:p>
    <w:p>
      <w:pPr/>
      <w:r>
        <w:t>Do not call the model 'working' until the product gates and the commercial gates are both green.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Gate</w:t>
            </w:r>
          </w:p>
        </w:tc>
        <w:tc>
          <w:tcPr>
            <w:tcW w:type="dxa" w:w="388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Threshold</w:t>
            </w:r>
          </w:p>
        </w:tc>
        <w:tc>
          <w:tcPr>
            <w:tcW w:type="dxa" w:w="3888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Why it matters</w:t>
            </w:r>
          </w:p>
        </w:tc>
      </w:tr>
      <w:t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Discovery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10-15 completed discovery calls with the target ICP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Confirms the pain is real and sharp enough to buy against.</w:t>
            </w:r>
          </w:p>
        </w:tc>
      </w:tr>
      <w:t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Paid pilots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3 paid pilots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Proves buyers will pay, not just praise the concept.</w:t>
            </w:r>
          </w:p>
        </w:tc>
      </w:tr>
      <w:t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Workflow completion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2 pilots complete onboarding plus one full create -&gt; approve -&gt; schedule -&gt; publish cycle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Confirms the product is usable, not just demo-able.</w:t>
            </w:r>
          </w:p>
        </w:tc>
      </w:tr>
      <w:t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Renewal / continuation signal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At least 1 pilot clearly wants to continue or renew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Separates curiosity from recurring value.</w:t>
            </w:r>
          </w:p>
        </w:tc>
      </w:tr>
      <w:t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Price proof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At least one buyer accepts the intended premium band without forcing you into cheap-scheduler pricing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Shows the wedge supports economics.</w:t>
            </w:r>
          </w:p>
        </w:tc>
      </w:tr>
      <w:t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Support load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Manual support is heavy but trending down; no pilot requires constant daily rescue</w:t>
            </w:r>
          </w:p>
        </w:tc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Indicates the service-backed launch can scale into software.</w:t>
            </w:r>
          </w:p>
        </w:tc>
      </w:tr>
    </w:tbl>
    <w:p/>
    <w:p>
      <w:pPr>
        <w:pStyle w:val="Heading1"/>
      </w:pPr>
      <w:r>
        <w:t>How to interpret day 30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fill="E8F3E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What day 30 can realistically prove</w:t>
            </w:r>
          </w:p>
        </w:tc>
        <w:tc>
          <w:tcPr>
            <w:tcW w:type="dxa" w:w="4752"/>
            <w:shd w:fill="E8F3E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b/>
                <w:sz w:val="19"/>
              </w:rPr>
              <w:t>What it cannot prove yet</w:t>
            </w:r>
          </w:p>
        </w:tc>
      </w:tr>
      <w:t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The product is coherent enough to sell a pilot.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That the business is validated.</w:t>
            </w:r>
          </w:p>
        </w:tc>
      </w:tr>
      <w:t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LinkedIn-first positioning is consistent across the app, docs, and demo.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That long-term churn will be low.</w:t>
            </w:r>
          </w:p>
        </w:tc>
      </w:tr>
      <w:t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A buyer can complete the core workflow and understand failures.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That premium pricing will hold at scale.</w:t>
            </w:r>
          </w:p>
        </w:tc>
      </w:tr>
      <w:tr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The team knows what to automate next because real usage is showing the pain points.</w:t>
            </w:r>
          </w:p>
        </w:tc>
        <w:tc>
          <w:tcPr>
            <w:tcW w:type="dxa" w:w="47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9"/>
              </w:rPr>
              <w:t>That the company deserves a high-end SaaS multiple.</w:t>
            </w:r>
          </w:p>
        </w:tc>
      </w:tr>
    </w:tbl>
    <w:p/>
    <w:p>
      <w:pPr>
        <w:pStyle w:val="Heading1"/>
      </w:pPr>
      <w:r>
        <w:t>Recommended update to the pack</w:t>
      </w:r>
    </w:p>
    <w:p>
      <w:pPr>
        <w:pStyle w:val="ListBullet"/>
        <w:ind w:left="0"/>
      </w:pPr>
      <w:r>
        <w:t>Keep the strategy memo and codebase recommendation intact.</w:t>
      </w:r>
    </w:p>
    <w:p>
      <w:pPr>
        <w:pStyle w:val="ListBullet"/>
        <w:ind w:left="0"/>
      </w:pPr>
      <w:r>
        <w:t>Replace the valuation table with the revised bands above.</w:t>
      </w:r>
    </w:p>
    <w:p>
      <w:pPr>
        <w:pStyle w:val="ListBullet"/>
        <w:ind w:left="0"/>
      </w:pPr>
      <w:r>
        <w:t>Add the commercial gates table to the final review memo and the launch checklist.</w:t>
      </w:r>
    </w:p>
    <w:p>
      <w:pPr>
        <w:pStyle w:val="ListBullet"/>
        <w:ind w:left="0"/>
      </w:pPr>
      <w:r>
        <w:t>Rewrite any sentence that makes day 30 sound like product-market fit rather than pilot readiness.</w:t>
      </w:r>
    </w:p>
    <w:p>
      <w:pPr>
        <w:pStyle w:val="ListBullet"/>
        <w:ind w:left="0"/>
      </w:pPr>
      <w:r>
        <w:t>Treat stretch-case numbers as narrative upside only, not as planning assumptions.</w:t>
      </w:r>
    </w:p>
    <w:p>
      <w:pPr>
        <w:pStyle w:val="Heading1"/>
      </w:pPr>
      <w:r>
        <w:t>Market anchors used</w:t>
      </w:r>
    </w:p>
    <w:p>
      <w:pPr>
        <w:pStyle w:val="ListBullet"/>
      </w:pPr>
      <w:r>
        <w:t>Buffer pricing page - low-end scheduler anchor.</w:t>
      </w:r>
    </w:p>
    <w:p>
      <w:pPr>
        <w:pStyle w:val="ListBullet"/>
      </w:pPr>
      <w:r>
        <w:t>Sprout Social pricing page - premium suite anchor.</w:t>
      </w:r>
    </w:p>
    <w:p>
      <w:pPr>
        <w:pStyle w:val="ListBullet"/>
      </w:pPr>
      <w:r>
        <w:t>Acquire.com Jan 2026 multiples report - profit-multiple market context.</w:t>
      </w:r>
    </w:p>
    <w:p>
      <w:pPr>
        <w:pStyle w:val="ListBullet"/>
      </w:pPr>
      <w:r>
        <w:t>SaaS Capital 2025 private SaaS valuations - revenue-multiple market context.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644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274E1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644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C66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