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Repurly revised go / no-go checklist</w:t>
      </w:r>
    </w:p>
    <w:p>
      <w:pPr>
        <w:pStyle w:val="Subtitle"/>
        <w:jc w:val="left"/>
      </w:pPr>
      <w:r>
        <w:t>Launch only when the product gates and the commercial gates are both strong enough to support a pilot sale.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9E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274E13"/>
                <w:sz w:val="22"/>
              </w:rPr>
              <w:t>Use this ruthlessly</w:t>
              <w:br/>
            </w:r>
            <w:r>
              <w:rPr>
                <w:sz w:val="21"/>
              </w:rPr>
              <w:t>A polished demo is not enough. The launch decision should stay red until the core workflow is trustworthy and there is real commercial signal from the target buyer.</w:t>
            </w:r>
          </w:p>
        </w:tc>
      </w:tr>
    </w:tbl>
    <w:p>
      <w:pPr>
        <w:pStyle w:val="Heading1"/>
      </w:pPr>
      <w:r>
        <w:t>1. Strategy and positioning - must have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62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129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187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Owner note</w:t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Visible story is LinkedIn-first content ops for agencies and B2B teams.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Threads, YouTube, and TikTok are hidden from launch marketing and core navigation.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The demo does not imply broad suite parity with Sprout or cheap-scheduler pricing logic.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The product is being sold around approvals, reliability, target control, and publish visibility.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2. Core workflow - must have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62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129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187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Owner note</w:t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 user can create a post with body, asset, schedule time, and target.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 post moves through draft, pending approval, approved, scheduled, and published as a real workflow.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An approver can accept or reject and leave a short note.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LinkedIn target selection is workspace-aware and reliable.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Calendar / queue clearly shows upcoming, failed, and published work.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Job detail explains events, delivery logs, retry guidance, and reconnect actions.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3. Trust-breakers - must have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62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129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187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Owner note</w:t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Customer-critical screens use live reads instead of demo or snapshot fallback logic.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Placeholder OAuth / PKCE values are removed from visible flows.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No customer-facing screen looks like a shell or concept card in the main demo path.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Any secondary channel shown publicly has a genuinely clean connection and publishing flow.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Commercial gates - must have before calling the model 'working'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62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129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187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Owner note</w:t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10-15 discovery calls completed with the target ICP.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3 paid pilots signed.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2 pilots complete onboarding and one full publish cycle.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At least 1 pilot clearly wants to continue or renew.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At least 1 buyer accepts the intended premium band without forcing a cheap-scheduler compromise.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Manual support burden is trending down rather than exploding.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5. Should-have polish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62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129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187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Owner note</w:t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 short case study or testimonial exists from a pilot.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Pilot onboarding checklist is reusable without improvising every step.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Metrics shown on the dashboard are backed by real data only.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One clear decision exists on whether to add a second channel after pilots.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Decision rule</w:t>
      </w:r>
    </w:p>
    <w:p>
      <w:pPr>
        <w:pStyle w:val="ListBullet"/>
        <w:ind w:left="0"/>
      </w:pPr>
      <w:r>
        <w:t>Go: all must-have product and commercial items are Yes.</w:t>
      </w:r>
    </w:p>
    <w:p>
      <w:pPr>
        <w:pStyle w:val="ListBullet"/>
        <w:ind w:left="0"/>
      </w:pPr>
      <w:r>
        <w:t>Yellow: product is pilot-ready, but the model is not yet validated; keep selling pilots, not a broad SaaS launch.</w:t>
      </w:r>
    </w:p>
    <w:p>
      <w:pPr>
        <w:pStyle w:val="ListBullet"/>
        <w:ind w:left="0"/>
      </w:pPr>
      <w:r>
        <w:t>No-go: any trust-breaker remains visible, the workflow still feels incomplete, or commercial gates are missing.</w:t>
      </w:r>
    </w:p>
    <w:p>
      <w:pPr>
        <w:pStyle w:val="ListBullet"/>
        <w:ind w:left="0"/>
      </w:pPr>
      <w:r>
        <w:t>Do not use more channels as a substitute for missing workflow quality or missing customer proof.</w:t>
      </w:r>
    </w:p>
    <w:p>
      <w:pPr>
        <w:pStyle w:val="Heading1"/>
      </w:pPr>
      <w:r>
        <w:t>Recommended price-test posture</w:t>
      </w:r>
    </w:p>
    <w:p>
      <w:pPr>
        <w:pStyle w:val="ListBullet"/>
        <w:ind w:left="0"/>
      </w:pPr>
      <w:r>
        <w:t>Default early path: managed pilot or white-glove onboarding rather than pure self-serve.</w:t>
      </w:r>
    </w:p>
    <w:p>
      <w:pPr>
        <w:pStyle w:val="ListBullet"/>
        <w:ind w:left="0"/>
      </w:pPr>
      <w:r>
        <w:t>Use price tests to learn whether the wedge supports premium economics before broadening scope.</w:t>
      </w:r>
    </w:p>
    <w:p>
      <w:pPr>
        <w:pStyle w:val="ListBullet"/>
        <w:ind w:left="0"/>
      </w:pPr>
      <w:r>
        <w:t>If buyers only respond at cheap-scheduler pricing, revisit the offer before adding features.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44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74E1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44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C66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