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A547E5" w:rsidRDefault="00C9443E"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 xml:space="preserve">1 Idea </w:t>
      </w:r>
      <w:proofErr w:type="spellStart"/>
      <w:r w:rsidR="00EA7488" w:rsidRPr="00A547E5">
        <w:rPr>
          <w:rFonts w:ascii="Times New Roman" w:hAnsi="Times New Roman" w:cs="Times New Roman"/>
          <w:b/>
          <w:bCs/>
          <w:i/>
          <w:iCs/>
          <w:sz w:val="28"/>
          <w:szCs w:val="28"/>
        </w:rPr>
        <w:t>q</w:t>
      </w:r>
      <w:r w:rsidRPr="00A547E5">
        <w:rPr>
          <w:rFonts w:ascii="Times New Roman" w:hAnsi="Times New Roman" w:cs="Times New Roman"/>
          <w:b/>
          <w:bCs/>
          <w:i/>
          <w:iCs/>
          <w:sz w:val="28"/>
          <w:szCs w:val="28"/>
        </w:rPr>
        <w:t>uantified</w:t>
      </w:r>
      <w:proofErr w:type="spellEnd"/>
      <w:r w:rsidRPr="00A547E5">
        <w:rPr>
          <w:rFonts w:ascii="Times New Roman" w:hAnsi="Times New Roman" w:cs="Times New Roman"/>
          <w:b/>
          <w:bCs/>
          <w:i/>
          <w:iCs/>
          <w:sz w:val="28"/>
          <w:szCs w:val="28"/>
        </w:rPr>
        <w:t xml:space="preserve"> </w:t>
      </w:r>
      <w:proofErr w:type="spellStart"/>
      <w:r w:rsidR="00EA7488" w:rsidRPr="00A547E5">
        <w:rPr>
          <w:rFonts w:ascii="Times New Roman" w:hAnsi="Times New Roman" w:cs="Times New Roman"/>
          <w:b/>
          <w:bCs/>
          <w:i/>
          <w:iCs/>
          <w:sz w:val="28"/>
          <w:szCs w:val="28"/>
        </w:rPr>
        <w:t>s</w:t>
      </w:r>
      <w:r w:rsidRPr="00A547E5">
        <w:rPr>
          <w:rFonts w:ascii="Times New Roman" w:hAnsi="Times New Roman" w:cs="Times New Roman"/>
          <w:b/>
          <w:bCs/>
          <w:i/>
          <w:iCs/>
          <w:sz w:val="28"/>
          <w:szCs w:val="28"/>
        </w:rPr>
        <w:t>elf</w:t>
      </w:r>
      <w:proofErr w:type="spellEnd"/>
      <w:r w:rsidRPr="00A547E5">
        <w:rPr>
          <w:rFonts w:ascii="Times New Roman" w:hAnsi="Times New Roman" w:cs="Times New Roman"/>
          <w:b/>
          <w:bCs/>
          <w:sz w:val="28"/>
          <w:szCs w:val="28"/>
        </w:rPr>
        <w:t>: Zbieranie i analiza danych osobistych</w:t>
      </w:r>
    </w:p>
    <w:p w14:paraId="7AA72518" w14:textId="64482AA4"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005F070F" w:rsidRPr="00A547E5">
        <w:rPr>
          <w:rFonts w:ascii="Times New Roman" w:hAnsi="Times New Roman" w:cs="Times New Roman"/>
          <w:b/>
          <w:bCs/>
          <w:sz w:val="24"/>
          <w:szCs w:val="24"/>
        </w:rPr>
        <w:t xml:space="preserve">.1 </w:t>
      </w:r>
      <w:r w:rsidRPr="00A547E5">
        <w:rPr>
          <w:rFonts w:ascii="Times New Roman" w:hAnsi="Times New Roman" w:cs="Times New Roman"/>
          <w:b/>
          <w:bCs/>
          <w:sz w:val="24"/>
          <w:szCs w:val="24"/>
        </w:rPr>
        <w:t>Wprowadzenie i kluczowe zagadnienia</w:t>
      </w:r>
    </w:p>
    <w:p w14:paraId="42A2BE63" w14:textId="611C0B3E"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Koncepcja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A547E5">
        <w:rPr>
          <w:rFonts w:ascii="Times New Roman" w:hAnsi="Times New Roman" w:cs="Times New Roman"/>
          <w:sz w:val="24"/>
          <w:szCs w:val="24"/>
        </w:rPr>
        <w:t>zachowań</w:t>
      </w:r>
      <w:proofErr w:type="spellEnd"/>
      <w:r w:rsidRPr="00A547E5">
        <w:rPr>
          <w:rFonts w:ascii="Times New Roman" w:hAnsi="Times New Roman" w:cs="Times New Roman"/>
          <w:sz w:val="24"/>
          <w:szCs w:val="24"/>
        </w:rPr>
        <w:t xml:space="preserve"> i nawyków, eksplorowanie idei lub teorii, aż po czystą ciekawość. Ideę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można podsumować frazą: „samopoznanie poprzez liczby”. Termin ten został po raz pierwszy wprowadzony przez </w:t>
      </w:r>
      <w:proofErr w:type="spellStart"/>
      <w:r w:rsidRPr="00A547E5">
        <w:rPr>
          <w:rFonts w:ascii="Times New Roman" w:hAnsi="Times New Roman" w:cs="Times New Roman"/>
          <w:sz w:val="24"/>
          <w:szCs w:val="24"/>
        </w:rPr>
        <w:t>Gary'ego</w:t>
      </w:r>
      <w:proofErr w:type="spellEnd"/>
      <w:r w:rsidRPr="00A547E5">
        <w:rPr>
          <w:rFonts w:ascii="Times New Roman" w:hAnsi="Times New Roman" w:cs="Times New Roman"/>
          <w:sz w:val="24"/>
          <w:szCs w:val="24"/>
        </w:rPr>
        <w:t xml:space="preserve"> Wolfa i Kevina </w:t>
      </w:r>
      <w:proofErr w:type="spellStart"/>
      <w:r w:rsidRPr="00A547E5">
        <w:rPr>
          <w:rFonts w:ascii="Times New Roman" w:hAnsi="Times New Roman" w:cs="Times New Roman"/>
          <w:sz w:val="24"/>
          <w:szCs w:val="24"/>
        </w:rPr>
        <w:t>Kelly'ego</w:t>
      </w:r>
      <w:proofErr w:type="spellEnd"/>
      <w:r w:rsidRPr="00A547E5">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A547E5">
        <w:rPr>
          <w:rStyle w:val="Odwoanieprzypisudolnego"/>
          <w:rFonts w:ascii="Times New Roman" w:hAnsi="Times New Roman" w:cs="Times New Roman"/>
          <w:sz w:val="24"/>
          <w:szCs w:val="24"/>
        </w:rPr>
        <w:footnoteReference w:id="1"/>
      </w:r>
      <w:r w:rsidRPr="00A547E5">
        <w:rPr>
          <w:rFonts w:ascii="Times New Roman" w:hAnsi="Times New Roman" w:cs="Times New Roman"/>
          <w:sz w:val="24"/>
          <w:szCs w:val="24"/>
        </w:rPr>
        <w:t xml:space="preserve">. Chociaż praktyka </w:t>
      </w:r>
      <w:r w:rsidR="002C449E" w:rsidRPr="00A547E5">
        <w:rPr>
          <w:rFonts w:ascii="Times New Roman" w:hAnsi="Times New Roman" w:cs="Times New Roman"/>
          <w:sz w:val="24"/>
          <w:szCs w:val="24"/>
        </w:rPr>
        <w:t>monitorowania danych osobistych</w:t>
      </w:r>
      <w:r w:rsidRPr="00A547E5">
        <w:rPr>
          <w:rFonts w:ascii="Times New Roman" w:hAnsi="Times New Roman" w:cs="Times New Roman"/>
          <w:sz w:val="24"/>
          <w:szCs w:val="24"/>
        </w:rPr>
        <w:t xml:space="preserve"> jest stosowana od </w:t>
      </w:r>
      <w:r w:rsidR="00E4176B" w:rsidRPr="00A547E5">
        <w:rPr>
          <w:rFonts w:ascii="Times New Roman" w:hAnsi="Times New Roman" w:cs="Times New Roman"/>
          <w:sz w:val="24"/>
          <w:szCs w:val="24"/>
        </w:rPr>
        <w:t>wielu</w:t>
      </w:r>
      <w:r w:rsidRPr="00A547E5">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A547E5">
        <w:rPr>
          <w:rStyle w:val="Odwoanieprzypisudolnego"/>
          <w:rFonts w:ascii="Times New Roman" w:hAnsi="Times New Roman" w:cs="Times New Roman"/>
          <w:sz w:val="24"/>
          <w:szCs w:val="24"/>
        </w:rPr>
        <w:footnoteReference w:id="2"/>
      </w:r>
      <w:r w:rsidRPr="00A547E5">
        <w:rPr>
          <w:rFonts w:ascii="Times New Roman" w:hAnsi="Times New Roman" w:cs="Times New Roman"/>
          <w:sz w:val="24"/>
          <w:szCs w:val="24"/>
        </w:rPr>
        <w:t>.</w:t>
      </w:r>
    </w:p>
    <w:p w14:paraId="4E41B22D" w14:textId="311CC4D9" w:rsidR="00B10D03"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Wielu badaczy, inżynierów i informatyków eksperymentowało z technologiami cyfrowymi, w szczególności komputerami </w:t>
      </w:r>
      <w:r w:rsidR="00E4176B" w:rsidRPr="00A547E5">
        <w:rPr>
          <w:rFonts w:ascii="Times New Roman" w:hAnsi="Times New Roman" w:cs="Times New Roman"/>
          <w:sz w:val="24"/>
          <w:szCs w:val="24"/>
        </w:rPr>
        <w:t>ubieralnymi</w:t>
      </w:r>
      <w:r w:rsidR="00FD4F34" w:rsidRPr="00A547E5">
        <w:rPr>
          <w:rFonts w:ascii="Times New Roman" w:hAnsi="Times New Roman" w:cs="Times New Roman"/>
          <w:sz w:val="24"/>
          <w:szCs w:val="24"/>
        </w:rPr>
        <w:t xml:space="preserve"> (en. </w:t>
      </w:r>
      <w:proofErr w:type="spellStart"/>
      <w:r w:rsidR="00FD4F34" w:rsidRPr="00A547E5">
        <w:rPr>
          <w:rFonts w:ascii="Times New Roman" w:hAnsi="Times New Roman" w:cs="Times New Roman"/>
          <w:i/>
          <w:iCs/>
          <w:sz w:val="24"/>
          <w:szCs w:val="24"/>
        </w:rPr>
        <w:t>wearable</w:t>
      </w:r>
      <w:proofErr w:type="spellEnd"/>
      <w:r w:rsidR="00FD4F34" w:rsidRPr="00A547E5">
        <w:rPr>
          <w:rFonts w:ascii="Times New Roman" w:hAnsi="Times New Roman" w:cs="Times New Roman"/>
          <w:i/>
          <w:iCs/>
          <w:sz w:val="24"/>
          <w:szCs w:val="24"/>
        </w:rPr>
        <w:t xml:space="preserve"> </w:t>
      </w:r>
      <w:proofErr w:type="spellStart"/>
      <w:r w:rsidR="00FD4F34" w:rsidRPr="00A547E5">
        <w:rPr>
          <w:rFonts w:ascii="Times New Roman" w:hAnsi="Times New Roman" w:cs="Times New Roman"/>
          <w:i/>
          <w:iCs/>
          <w:sz w:val="24"/>
          <w:szCs w:val="24"/>
        </w:rPr>
        <w:t>computers</w:t>
      </w:r>
      <w:proofErr w:type="spellEnd"/>
      <w:r w:rsidR="00FD4F34" w:rsidRPr="00A547E5">
        <w:rPr>
          <w:rFonts w:ascii="Times New Roman" w:hAnsi="Times New Roman" w:cs="Times New Roman"/>
          <w:sz w:val="24"/>
          <w:szCs w:val="24"/>
        </w:rPr>
        <w:t>)</w:t>
      </w:r>
      <w:r w:rsidRPr="00A547E5">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A547E5">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A547E5">
        <w:rPr>
          <w:rStyle w:val="Odwoanieprzypisudolnego"/>
          <w:rFonts w:ascii="Times New Roman" w:hAnsi="Times New Roman" w:cs="Times New Roman"/>
          <w:sz w:val="24"/>
          <w:szCs w:val="24"/>
        </w:rPr>
        <w:footnoteReference w:id="3"/>
      </w:r>
      <w:r w:rsidR="00B10D03" w:rsidRPr="00A547E5">
        <w:rPr>
          <w:rFonts w:ascii="Times New Roman" w:hAnsi="Times New Roman" w:cs="Times New Roman"/>
          <w:sz w:val="24"/>
          <w:szCs w:val="24"/>
        </w:rPr>
        <w:t>.</w:t>
      </w:r>
    </w:p>
    <w:p w14:paraId="786EC10A" w14:textId="495D59F0"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A547E5">
        <w:rPr>
          <w:rFonts w:ascii="Times New Roman" w:hAnsi="Times New Roman" w:cs="Times New Roman"/>
          <w:sz w:val="24"/>
          <w:szCs w:val="24"/>
        </w:rPr>
        <w:t xml:space="preserve"> (en. „</w:t>
      </w:r>
      <w:proofErr w:type="spellStart"/>
      <w:r w:rsidR="00E4176B" w:rsidRPr="00A547E5">
        <w:rPr>
          <w:rFonts w:ascii="Times New Roman" w:hAnsi="Times New Roman" w:cs="Times New Roman"/>
          <w:i/>
          <w:iCs/>
          <w:sz w:val="24"/>
          <w:szCs w:val="24"/>
        </w:rPr>
        <w:t>mediated</w:t>
      </w:r>
      <w:proofErr w:type="spellEnd"/>
      <w:r w:rsidR="00E4176B" w:rsidRPr="00A547E5">
        <w:rPr>
          <w:rFonts w:ascii="Times New Roman" w:hAnsi="Times New Roman" w:cs="Times New Roman"/>
          <w:i/>
          <w:iCs/>
          <w:sz w:val="24"/>
          <w:szCs w:val="24"/>
        </w:rPr>
        <w:t xml:space="preserve"> </w:t>
      </w:r>
      <w:proofErr w:type="spellStart"/>
      <w:r w:rsidR="00E4176B" w:rsidRPr="00A547E5">
        <w:rPr>
          <w:rFonts w:ascii="Times New Roman" w:hAnsi="Times New Roman" w:cs="Times New Roman"/>
          <w:i/>
          <w:iCs/>
          <w:sz w:val="24"/>
          <w:szCs w:val="24"/>
        </w:rPr>
        <w:t>reality</w:t>
      </w:r>
      <w:proofErr w:type="spellEnd"/>
      <w:r w:rsidR="00E4176B" w:rsidRPr="00A547E5">
        <w:rPr>
          <w:rFonts w:ascii="Times New Roman" w:hAnsi="Times New Roman" w:cs="Times New Roman"/>
          <w:sz w:val="24"/>
          <w:szCs w:val="24"/>
        </w:rPr>
        <w:t>”)</w:t>
      </w:r>
      <w:r w:rsidRPr="00A547E5">
        <w:rPr>
          <w:rFonts w:ascii="Times New Roman" w:hAnsi="Times New Roman" w:cs="Times New Roman"/>
          <w:sz w:val="24"/>
          <w:szCs w:val="24"/>
        </w:rPr>
        <w:t xml:space="preserve"> – zdolność do zmiany lub ulepszania doświadczeń sensorycznych poprzez cyfrow</w:t>
      </w:r>
      <w:r w:rsidR="000B7E60" w:rsidRPr="00A547E5">
        <w:rPr>
          <w:rFonts w:ascii="Times New Roman" w:hAnsi="Times New Roman" w:cs="Times New Roman"/>
          <w:sz w:val="24"/>
          <w:szCs w:val="24"/>
        </w:rPr>
        <w:t>ą augmentację</w:t>
      </w:r>
      <w:r w:rsidR="000B7E60" w:rsidRPr="00A547E5">
        <w:rPr>
          <w:rStyle w:val="Odwoanieprzypisudolnego"/>
          <w:rFonts w:ascii="Times New Roman" w:hAnsi="Times New Roman" w:cs="Times New Roman"/>
          <w:sz w:val="24"/>
          <w:szCs w:val="24"/>
        </w:rPr>
        <w:footnoteReference w:id="4"/>
      </w:r>
      <w:r w:rsidRPr="00A547E5">
        <w:rPr>
          <w:rFonts w:ascii="Times New Roman" w:hAnsi="Times New Roman" w:cs="Times New Roman"/>
          <w:sz w:val="24"/>
          <w:szCs w:val="24"/>
        </w:rPr>
        <w:t xml:space="preserve">. W 1992 roku Mann założył Projekt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Wireless </w:t>
      </w:r>
      <w:proofErr w:type="spellStart"/>
      <w:r w:rsidRPr="00A547E5">
        <w:rPr>
          <w:rFonts w:ascii="Times New Roman" w:hAnsi="Times New Roman" w:cs="Times New Roman"/>
          <w:sz w:val="24"/>
          <w:szCs w:val="24"/>
        </w:rPr>
        <w:t>Webcam</w:t>
      </w:r>
      <w:proofErr w:type="spellEnd"/>
      <w:r w:rsidRPr="00A547E5">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rejestrującą zarówno jego otoczenie, jak i dane osobiste, i skutecznie demonstrującą potencjał urządzeń ubieralnych w</w:t>
      </w:r>
      <w:r w:rsidR="00E4176B" w:rsidRPr="00A547E5">
        <w:rPr>
          <w:rFonts w:ascii="Times New Roman" w:hAnsi="Times New Roman" w:cs="Times New Roman"/>
          <w:sz w:val="24"/>
          <w:szCs w:val="24"/>
        </w:rPr>
        <w:t xml:space="preserve"> kontekście zbierania i analizy danych osobistych</w:t>
      </w:r>
      <w:r w:rsidRPr="00A547E5">
        <w:rPr>
          <w:rFonts w:ascii="Times New Roman" w:hAnsi="Times New Roman" w:cs="Times New Roman"/>
          <w:sz w:val="24"/>
          <w:szCs w:val="24"/>
        </w:rPr>
        <w:t>.</w:t>
      </w:r>
    </w:p>
    <w:p w14:paraId="4BF09E1C" w14:textId="78BF7289"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A547E5">
        <w:rPr>
          <w:rFonts w:ascii="Times New Roman" w:hAnsi="Times New Roman" w:cs="Times New Roman"/>
          <w:sz w:val="24"/>
          <w:szCs w:val="24"/>
        </w:rPr>
        <w:t>wiele</w:t>
      </w:r>
      <w:r w:rsidRPr="00A547E5">
        <w:rPr>
          <w:rFonts w:ascii="Times New Roman" w:hAnsi="Times New Roman" w:cs="Times New Roman"/>
          <w:sz w:val="24"/>
          <w:szCs w:val="24"/>
        </w:rPr>
        <w:t xml:space="preserve"> sensorów, które umożliwiają </w:t>
      </w:r>
      <w:r w:rsidR="00E4176B" w:rsidRPr="00A547E5">
        <w:rPr>
          <w:rFonts w:ascii="Times New Roman" w:hAnsi="Times New Roman" w:cs="Times New Roman"/>
          <w:sz w:val="24"/>
          <w:szCs w:val="24"/>
        </w:rPr>
        <w:t>zbieranie</w:t>
      </w:r>
      <w:r w:rsidRPr="00A547E5">
        <w:rPr>
          <w:rFonts w:ascii="Times New Roman" w:hAnsi="Times New Roman" w:cs="Times New Roman"/>
          <w:sz w:val="24"/>
          <w:szCs w:val="24"/>
        </w:rPr>
        <w:t xml:space="preserve"> różnych </w:t>
      </w:r>
      <w:r w:rsidR="00E4176B" w:rsidRPr="00A547E5">
        <w:rPr>
          <w:rFonts w:ascii="Times New Roman" w:hAnsi="Times New Roman" w:cs="Times New Roman"/>
          <w:sz w:val="24"/>
          <w:szCs w:val="24"/>
        </w:rPr>
        <w:t>zmiennych</w:t>
      </w:r>
      <w:r w:rsidRPr="00A547E5">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A547E5">
        <w:rPr>
          <w:rFonts w:ascii="Times New Roman" w:hAnsi="Times New Roman" w:cs="Times New Roman"/>
          <w:sz w:val="24"/>
          <w:szCs w:val="24"/>
        </w:rPr>
        <w:t>różne</w:t>
      </w:r>
      <w:r w:rsidRPr="00A547E5">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najważniejszym katalizatorem w rozwoju i ekspansji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były innowacje w zakresie sensorów biometrycznych. Urządzenia ubieralne, takie jak smartwatche i </w:t>
      </w:r>
      <w:r w:rsidR="00E4176B" w:rsidRPr="00A547E5">
        <w:rPr>
          <w:rFonts w:ascii="Times New Roman" w:hAnsi="Times New Roman" w:cs="Times New Roman"/>
          <w:sz w:val="24"/>
          <w:szCs w:val="24"/>
        </w:rPr>
        <w:t>opaski</w:t>
      </w:r>
      <w:r w:rsidRPr="00A547E5">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A547E5">
        <w:rPr>
          <w:rFonts w:ascii="Times New Roman" w:hAnsi="Times New Roman" w:cs="Times New Roman"/>
          <w:sz w:val="24"/>
          <w:szCs w:val="24"/>
        </w:rPr>
        <w:t>informacje</w:t>
      </w:r>
      <w:r w:rsidRPr="00A547E5">
        <w:rPr>
          <w:rFonts w:ascii="Times New Roman" w:hAnsi="Times New Roman" w:cs="Times New Roman"/>
          <w:sz w:val="24"/>
          <w:szCs w:val="24"/>
        </w:rPr>
        <w:t>, takie jak</w:t>
      </w:r>
      <w:r w:rsidR="002C449E" w:rsidRPr="00A547E5">
        <w:rPr>
          <w:rFonts w:ascii="Times New Roman" w:hAnsi="Times New Roman" w:cs="Times New Roman"/>
          <w:sz w:val="24"/>
          <w:szCs w:val="24"/>
        </w:rPr>
        <w:t xml:space="preserve"> dzienna</w:t>
      </w:r>
      <w:r w:rsidRPr="00A547E5">
        <w:rPr>
          <w:rFonts w:ascii="Times New Roman" w:hAnsi="Times New Roman" w:cs="Times New Roman"/>
          <w:sz w:val="24"/>
          <w:szCs w:val="24"/>
        </w:rPr>
        <w:t xml:space="preserve"> liczba kroków </w:t>
      </w:r>
      <w:r w:rsidR="002C449E" w:rsidRPr="00A547E5">
        <w:rPr>
          <w:rFonts w:ascii="Times New Roman" w:hAnsi="Times New Roman" w:cs="Times New Roman"/>
          <w:sz w:val="24"/>
          <w:szCs w:val="24"/>
        </w:rPr>
        <w:t>lub</w:t>
      </w:r>
      <w:r w:rsidRPr="00A547E5">
        <w:rPr>
          <w:rFonts w:ascii="Times New Roman" w:hAnsi="Times New Roman" w:cs="Times New Roman"/>
          <w:sz w:val="24"/>
          <w:szCs w:val="24"/>
        </w:rPr>
        <w:t xml:space="preserve"> klasyfikacja </w:t>
      </w:r>
      <w:r w:rsidR="002C449E" w:rsidRPr="00A547E5">
        <w:rPr>
          <w:rFonts w:ascii="Times New Roman" w:hAnsi="Times New Roman" w:cs="Times New Roman"/>
          <w:sz w:val="24"/>
          <w:szCs w:val="24"/>
        </w:rPr>
        <w:t xml:space="preserve">wykonywanego </w:t>
      </w:r>
      <w:r w:rsidRPr="00A547E5">
        <w:rPr>
          <w:rFonts w:ascii="Times New Roman" w:hAnsi="Times New Roman" w:cs="Times New Roman"/>
          <w:sz w:val="24"/>
          <w:szCs w:val="24"/>
        </w:rPr>
        <w:t>ruchu</w:t>
      </w:r>
      <w:r w:rsidR="002C449E" w:rsidRPr="00A547E5">
        <w:rPr>
          <w:rFonts w:ascii="Times New Roman" w:hAnsi="Times New Roman" w:cs="Times New Roman"/>
          <w:sz w:val="24"/>
          <w:szCs w:val="24"/>
        </w:rPr>
        <w:t xml:space="preserve"> (np</w:t>
      </w:r>
      <w:r w:rsidRPr="00A547E5">
        <w:rPr>
          <w:rFonts w:ascii="Times New Roman" w:hAnsi="Times New Roman" w:cs="Times New Roman"/>
          <w:sz w:val="24"/>
          <w:szCs w:val="24"/>
        </w:rPr>
        <w:t>.</w:t>
      </w:r>
      <w:r w:rsidR="002C449E" w:rsidRPr="00A547E5">
        <w:rPr>
          <w:rFonts w:ascii="Times New Roman" w:hAnsi="Times New Roman" w:cs="Times New Roman"/>
          <w:sz w:val="24"/>
          <w:szCs w:val="24"/>
        </w:rPr>
        <w:t xml:space="preserve"> cios w boksie).</w:t>
      </w:r>
      <w:r w:rsidRPr="00A547E5">
        <w:rPr>
          <w:rFonts w:ascii="Times New Roman" w:hAnsi="Times New Roman" w:cs="Times New Roman"/>
          <w:sz w:val="24"/>
          <w:szCs w:val="24"/>
        </w:rPr>
        <w:t xml:space="preserve"> Dodatkowo, wiele urządzeń ubieralnych jest wyposażonych w sensory monitorujące s</w:t>
      </w:r>
      <w:r w:rsidR="002C449E" w:rsidRPr="00A547E5">
        <w:rPr>
          <w:rFonts w:ascii="Times New Roman" w:hAnsi="Times New Roman" w:cs="Times New Roman"/>
          <w:sz w:val="24"/>
          <w:szCs w:val="24"/>
        </w:rPr>
        <w:t>en</w:t>
      </w:r>
      <w:r w:rsidRPr="00A547E5">
        <w:rPr>
          <w:rFonts w:ascii="Times New Roman" w:hAnsi="Times New Roman" w:cs="Times New Roman"/>
          <w:sz w:val="24"/>
          <w:szCs w:val="24"/>
        </w:rPr>
        <w:t>, oferując użytkownikom cenne informacje na temat jakości i długości ich odpoczynku.</w:t>
      </w:r>
    </w:p>
    <w:p w14:paraId="1DE0B70A" w14:textId="0C1B9C6D"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00A547E5">
        <w:rPr>
          <w:rFonts w:ascii="Times New Roman" w:hAnsi="Times New Roman" w:cs="Times New Roman"/>
          <w:sz w:val="24"/>
          <w:szCs w:val="24"/>
        </w:rPr>
        <w:t>analizują</w:t>
      </w:r>
      <w:r w:rsidRPr="00A547E5">
        <w:rPr>
          <w:rFonts w:ascii="Times New Roman" w:hAnsi="Times New Roman" w:cs="Times New Roman"/>
          <w:sz w:val="24"/>
          <w:szCs w:val="24"/>
        </w:rPr>
        <w:t xml:space="preserve"> stan fizyczny użytkownika i przygotowanie na nadchodzący dzień na podstawie </w:t>
      </w:r>
      <w:r w:rsidR="002C449E" w:rsidRPr="00A547E5">
        <w:rPr>
          <w:rFonts w:ascii="Times New Roman" w:hAnsi="Times New Roman" w:cs="Times New Roman"/>
          <w:sz w:val="24"/>
          <w:szCs w:val="24"/>
        </w:rPr>
        <w:t>danych z sensorów biometrycznych</w:t>
      </w:r>
      <w:r w:rsidRPr="00A547E5">
        <w:rPr>
          <w:rFonts w:ascii="Times New Roman" w:hAnsi="Times New Roman" w:cs="Times New Roman"/>
          <w:sz w:val="24"/>
          <w:szCs w:val="24"/>
        </w:rPr>
        <w:t xml:space="preserve">. </w:t>
      </w:r>
      <w:r w:rsidR="48342D37" w:rsidRPr="00A547E5">
        <w:rPr>
          <w:rFonts w:ascii="Times New Roman" w:hAnsi="Times New Roman" w:cs="Times New Roman"/>
          <w:sz w:val="24"/>
          <w:szCs w:val="24"/>
        </w:rPr>
        <w:t>Wskaźniki</w:t>
      </w:r>
      <w:r w:rsidRPr="00A547E5">
        <w:rPr>
          <w:rFonts w:ascii="Times New Roman" w:hAnsi="Times New Roman" w:cs="Times New Roman"/>
          <w:sz w:val="24"/>
          <w:szCs w:val="24"/>
        </w:rPr>
        <w:t xml:space="preserve"> te dostarczają wartościowych, użytecznych informacji, przyczyniając się do rosnącej popularności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1.2 Powody i motywacje do </w:t>
      </w:r>
      <w:r w:rsidR="002C449E" w:rsidRPr="00A547E5">
        <w:rPr>
          <w:rFonts w:ascii="Times New Roman" w:hAnsi="Times New Roman" w:cs="Times New Roman"/>
          <w:b/>
          <w:bCs/>
          <w:sz w:val="24"/>
          <w:szCs w:val="24"/>
        </w:rPr>
        <w:t>zbierania i analizy</w:t>
      </w:r>
      <w:r w:rsidRPr="00A547E5">
        <w:rPr>
          <w:rFonts w:ascii="Times New Roman" w:hAnsi="Times New Roman" w:cs="Times New Roman"/>
          <w:b/>
          <w:bCs/>
          <w:sz w:val="24"/>
          <w:szCs w:val="24"/>
        </w:rPr>
        <w:t xml:space="preserve"> danych</w:t>
      </w:r>
      <w:r w:rsidR="002C449E" w:rsidRPr="00A547E5">
        <w:rPr>
          <w:rFonts w:ascii="Times New Roman" w:hAnsi="Times New Roman" w:cs="Times New Roman"/>
          <w:b/>
          <w:bCs/>
          <w:sz w:val="24"/>
          <w:szCs w:val="24"/>
        </w:rPr>
        <w:t xml:space="preserve"> osobistych</w:t>
      </w:r>
    </w:p>
    <w:p w14:paraId="41CFCF99" w14:textId="51758451"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A547E5">
        <w:rPr>
          <w:rStyle w:val="Odwoanieprzypisudolnego"/>
          <w:rFonts w:ascii="Times New Roman" w:hAnsi="Times New Roman" w:cs="Times New Roman"/>
          <w:sz w:val="24"/>
          <w:szCs w:val="24"/>
        </w:rPr>
        <w:footnoteReference w:id="5"/>
      </w:r>
      <w:r w:rsidRPr="00A547E5">
        <w:rPr>
          <w:rFonts w:ascii="Times New Roman" w:hAnsi="Times New Roman" w:cs="Times New Roman"/>
          <w:sz w:val="24"/>
          <w:szCs w:val="24"/>
        </w:rPr>
        <w:t>.</w:t>
      </w:r>
    </w:p>
    <w:p w14:paraId="7D6E4147" w14:textId="3AFA34F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A547E5">
        <w:rPr>
          <w:rFonts w:ascii="Times New Roman" w:hAnsi="Times New Roman" w:cs="Times New Roman"/>
          <w:sz w:val="24"/>
          <w:szCs w:val="24"/>
        </w:rPr>
        <w:t>self-trackingu</w:t>
      </w:r>
      <w:proofErr w:type="spellEnd"/>
      <w:r w:rsidRPr="00A547E5">
        <w:rPr>
          <w:rFonts w:ascii="Times New Roman" w:hAnsi="Times New Roman" w:cs="Times New Roman"/>
          <w:sz w:val="24"/>
          <w:szCs w:val="24"/>
        </w:rPr>
        <w:t xml:space="preserve">, których nazywają </w:t>
      </w:r>
      <w:proofErr w:type="spellStart"/>
      <w:r w:rsidRPr="00A547E5">
        <w:rPr>
          <w:rFonts w:ascii="Times New Roman" w:hAnsi="Times New Roman" w:cs="Times New Roman"/>
          <w:i/>
          <w:iCs/>
          <w:sz w:val="24"/>
          <w:szCs w:val="24"/>
        </w:rPr>
        <w:t>Quantified-Selfers</w:t>
      </w:r>
      <w:proofErr w:type="spellEnd"/>
      <w:r w:rsidRPr="00A547E5">
        <w:rPr>
          <w:rFonts w:ascii="Times New Roman" w:hAnsi="Times New Roman" w:cs="Times New Roman"/>
          <w:sz w:val="24"/>
          <w:szCs w:val="24"/>
        </w:rPr>
        <w:t xml:space="preserve">, w artykule pt. </w:t>
      </w:r>
      <w:r w:rsidRPr="00A547E5">
        <w:rPr>
          <w:rFonts w:ascii="Times New Roman" w:hAnsi="Times New Roman" w:cs="Times New Roman"/>
          <w:i/>
          <w:iCs/>
          <w:sz w:val="24"/>
          <w:szCs w:val="24"/>
          <w:lang w:val="en-US"/>
        </w:rPr>
        <w:t>Understanding Quantified-</w:t>
      </w:r>
      <w:proofErr w:type="spellStart"/>
      <w:r w:rsidRPr="00A547E5">
        <w:rPr>
          <w:rFonts w:ascii="Times New Roman" w:hAnsi="Times New Roman" w:cs="Times New Roman"/>
          <w:i/>
          <w:iCs/>
          <w:sz w:val="24"/>
          <w:szCs w:val="24"/>
          <w:lang w:val="en-US"/>
        </w:rPr>
        <w:t>Selfers</w:t>
      </w:r>
      <w:proofErr w:type="spellEnd"/>
      <w:r w:rsidRPr="00A547E5">
        <w:rPr>
          <w:rFonts w:ascii="Times New Roman" w:hAnsi="Times New Roman" w:cs="Times New Roman"/>
          <w:i/>
          <w:iCs/>
          <w:sz w:val="24"/>
          <w:szCs w:val="24"/>
          <w:lang w:val="en-US"/>
        </w:rPr>
        <w:t>’ Practices in Collecting and Exploring Personal Data</w:t>
      </w:r>
      <w:r w:rsidRPr="00A547E5">
        <w:rPr>
          <w:rFonts w:ascii="Times New Roman" w:hAnsi="Times New Roman" w:cs="Times New Roman"/>
          <w:sz w:val="24"/>
          <w:szCs w:val="24"/>
          <w:lang w:val="en-US"/>
        </w:rPr>
        <w:t xml:space="preserve">. </w:t>
      </w:r>
      <w:r w:rsidRPr="00A547E5">
        <w:rPr>
          <w:rFonts w:ascii="Times New Roman" w:hAnsi="Times New Roman" w:cs="Times New Roman"/>
          <w:sz w:val="24"/>
          <w:szCs w:val="24"/>
        </w:rPr>
        <w:t xml:space="preserve">Analizowali 52 nagrania ze spotkań społeczności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Badanie wykazało, że 79% uczestników stanowili mężczyźni, jednak autorzy </w:t>
      </w:r>
      <w:r w:rsidRPr="00A547E5">
        <w:rPr>
          <w:rFonts w:ascii="Times New Roman" w:hAnsi="Times New Roman" w:cs="Times New Roman"/>
          <w:sz w:val="24"/>
          <w:szCs w:val="24"/>
        </w:rPr>
        <w:lastRenderedPageBreak/>
        <w:t xml:space="preserve">podkreślili, że w ogólnej populacji </w:t>
      </w:r>
      <w:proofErr w:type="spellStart"/>
      <w:r w:rsidRPr="00A547E5">
        <w:rPr>
          <w:rFonts w:ascii="Times New Roman" w:hAnsi="Times New Roman" w:cs="Times New Roman"/>
          <w:sz w:val="24"/>
          <w:szCs w:val="24"/>
        </w:rPr>
        <w:t>self-tracking</w:t>
      </w:r>
      <w:proofErr w:type="spellEnd"/>
      <w:r w:rsidRPr="00A547E5">
        <w:rPr>
          <w:rFonts w:ascii="Times New Roman" w:hAnsi="Times New Roman" w:cs="Times New Roman"/>
          <w:sz w:val="24"/>
          <w:szCs w:val="24"/>
        </w:rPr>
        <w:t xml:space="preserve"> jest równomiernie rozłożone między płcie, co jest zgodne z wynikami raportu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sidRPr="00A547E5">
        <w:rPr>
          <w:rFonts w:ascii="Times New Roman" w:hAnsi="Times New Roman" w:cs="Times New Roman"/>
          <w:sz w:val="24"/>
          <w:szCs w:val="24"/>
        </w:rPr>
        <w:t>monitorowanymi</w:t>
      </w:r>
      <w:r w:rsidRPr="00A547E5">
        <w:rPr>
          <w:rFonts w:ascii="Times New Roman" w:hAnsi="Times New Roman" w:cs="Times New Roman"/>
          <w:sz w:val="24"/>
          <w:szCs w:val="24"/>
        </w:rPr>
        <w:t xml:space="preserve"> zmiennymi były aktywność fizyczna, spożycie jedzenia, waga, sen i nastrój</w:t>
      </w:r>
      <w:r w:rsidR="001720AB" w:rsidRPr="00A547E5">
        <w:rPr>
          <w:rStyle w:val="Odwoanieprzypisudolnego"/>
          <w:rFonts w:ascii="Times New Roman" w:hAnsi="Times New Roman" w:cs="Times New Roman"/>
          <w:sz w:val="24"/>
          <w:szCs w:val="24"/>
        </w:rPr>
        <w:footnoteReference w:id="6"/>
      </w:r>
      <w:r w:rsidRPr="00A547E5">
        <w:rPr>
          <w:rFonts w:ascii="Times New Roman" w:hAnsi="Times New Roman" w:cs="Times New Roman"/>
          <w:sz w:val="24"/>
          <w:szCs w:val="24"/>
        </w:rPr>
        <w:t xml:space="preserve">. Motywacje do samodzielnego </w:t>
      </w:r>
      <w:r w:rsidR="00B61F50" w:rsidRPr="00A547E5">
        <w:rPr>
          <w:rFonts w:ascii="Times New Roman" w:hAnsi="Times New Roman" w:cs="Times New Roman"/>
          <w:sz w:val="24"/>
          <w:szCs w:val="24"/>
        </w:rPr>
        <w:t>zbierania i analizy</w:t>
      </w:r>
      <w:r w:rsidRPr="00A547E5">
        <w:rPr>
          <w:rFonts w:ascii="Times New Roman" w:hAnsi="Times New Roman" w:cs="Times New Roman"/>
          <w:sz w:val="24"/>
          <w:szCs w:val="24"/>
        </w:rPr>
        <w:t xml:space="preserve"> danych można podzielić na cztery główne kategorie:</w:t>
      </w:r>
    </w:p>
    <w:p w14:paraId="09CB2906" w14:textId="756863BA"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Poprawa zdrowia: </w:t>
      </w:r>
      <w:r w:rsidR="0076DD49" w:rsidRPr="00A547E5">
        <w:rPr>
          <w:rFonts w:ascii="Times New Roman" w:hAnsi="Times New Roman" w:cs="Times New Roman"/>
          <w:sz w:val="24"/>
          <w:szCs w:val="24"/>
        </w:rPr>
        <w:t>z</w:t>
      </w:r>
      <w:r w:rsidRPr="00A547E5">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Ulepszanie życia: </w:t>
      </w:r>
      <w:r w:rsidR="1ECC7909" w:rsidRPr="00A547E5">
        <w:rPr>
          <w:rFonts w:ascii="Times New Roman" w:hAnsi="Times New Roman" w:cs="Times New Roman"/>
          <w:sz w:val="24"/>
          <w:szCs w:val="24"/>
        </w:rPr>
        <w:t>z</w:t>
      </w:r>
      <w:r w:rsidRPr="00A547E5">
        <w:rPr>
          <w:rFonts w:ascii="Times New Roman" w:hAnsi="Times New Roman" w:cs="Times New Roman"/>
          <w:sz w:val="24"/>
          <w:szCs w:val="24"/>
        </w:rPr>
        <w:t>większenie wydajności pracy, nauki lub związków międzyludzkich.</w:t>
      </w:r>
    </w:p>
    <w:p w14:paraId="36A65AF3" w14:textId="4D9702C7"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Eksploracja: </w:t>
      </w:r>
      <w:r w:rsidR="7C11413E" w:rsidRPr="00A547E5">
        <w:rPr>
          <w:rFonts w:ascii="Times New Roman" w:hAnsi="Times New Roman" w:cs="Times New Roman"/>
          <w:sz w:val="24"/>
          <w:szCs w:val="24"/>
        </w:rPr>
        <w:t>p</w:t>
      </w:r>
      <w:r w:rsidRPr="00A547E5">
        <w:rPr>
          <w:rFonts w:ascii="Times New Roman" w:hAnsi="Times New Roman" w:cs="Times New Roman"/>
          <w:sz w:val="24"/>
          <w:szCs w:val="24"/>
        </w:rPr>
        <w:t>róbowanie nowych rzeczy i czerpanie przyjemności z procesu.</w:t>
      </w:r>
    </w:p>
    <w:p w14:paraId="280A1202" w14:textId="2F82F905"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Zbieranie zbyt wielu zmiennych: </w:t>
      </w:r>
      <w:r w:rsidR="4E461DD6" w:rsidRPr="00A547E5">
        <w:rPr>
          <w:rFonts w:ascii="Times New Roman" w:hAnsi="Times New Roman" w:cs="Times New Roman"/>
          <w:sz w:val="24"/>
          <w:szCs w:val="24"/>
        </w:rPr>
        <w:t>m</w:t>
      </w:r>
      <w:r w:rsidRPr="00A547E5">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kontekstowego zbierania danych: </w:t>
      </w:r>
      <w:r w:rsidR="747C6531" w:rsidRPr="00A547E5">
        <w:rPr>
          <w:rFonts w:ascii="Times New Roman" w:hAnsi="Times New Roman" w:cs="Times New Roman"/>
          <w:sz w:val="24"/>
          <w:szCs w:val="24"/>
        </w:rPr>
        <w:t>s</w:t>
      </w:r>
      <w:r w:rsidRPr="00A547E5">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naukowego podejścia: </w:t>
      </w:r>
      <w:r w:rsidR="40FAA652" w:rsidRPr="00A547E5">
        <w:rPr>
          <w:rFonts w:ascii="Times New Roman" w:hAnsi="Times New Roman" w:cs="Times New Roman"/>
          <w:sz w:val="24"/>
          <w:szCs w:val="24"/>
        </w:rPr>
        <w:t>n</w:t>
      </w:r>
      <w:r w:rsidRPr="00A547E5">
        <w:rPr>
          <w:rFonts w:ascii="Times New Roman" w:hAnsi="Times New Roman" w:cs="Times New Roman"/>
          <w:sz w:val="24"/>
          <w:szCs w:val="24"/>
        </w:rPr>
        <w:t>iewystarczająca dbałość o metodologię może prowadzić do mylących wniosków.</w:t>
      </w:r>
    </w:p>
    <w:p w14:paraId="664D3A69" w14:textId="0AEBA5E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Wnioski te podkreślają zarówno potencjał, jak i wyzwania związane z </w:t>
      </w:r>
      <w:r w:rsidR="00B61F50" w:rsidRPr="00A547E5">
        <w:rPr>
          <w:rFonts w:ascii="Times New Roman" w:hAnsi="Times New Roman" w:cs="Times New Roman"/>
          <w:sz w:val="24"/>
          <w:szCs w:val="24"/>
        </w:rPr>
        <w:t>monitorowaniem</w:t>
      </w:r>
      <w:r w:rsidRPr="00A547E5">
        <w:rPr>
          <w:rFonts w:ascii="Times New Roman" w:hAnsi="Times New Roman" w:cs="Times New Roman"/>
          <w:sz w:val="24"/>
          <w:szCs w:val="24"/>
        </w:rPr>
        <w:t xml:space="preserve"> danych</w:t>
      </w:r>
      <w:r w:rsidR="00B61F50" w:rsidRPr="00A547E5">
        <w:rPr>
          <w:rFonts w:ascii="Times New Roman" w:hAnsi="Times New Roman" w:cs="Times New Roman"/>
          <w:sz w:val="24"/>
          <w:szCs w:val="24"/>
        </w:rPr>
        <w:t xml:space="preserve"> osobistych</w:t>
      </w:r>
      <w:r w:rsidRPr="00A547E5">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Pr="00A547E5" w:rsidRDefault="00B708D7"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1.</w:t>
      </w:r>
      <w:r w:rsidR="1D916E85" w:rsidRPr="00A547E5">
        <w:rPr>
          <w:rFonts w:ascii="Times New Roman" w:hAnsi="Times New Roman" w:cs="Times New Roman"/>
          <w:b/>
          <w:bCs/>
          <w:sz w:val="28"/>
          <w:szCs w:val="28"/>
        </w:rPr>
        <w:t>3</w:t>
      </w:r>
      <w:r w:rsidRPr="00A547E5">
        <w:rPr>
          <w:rFonts w:ascii="Times New Roman" w:hAnsi="Times New Roman" w:cs="Times New Roman"/>
          <w:b/>
          <w:bCs/>
          <w:sz w:val="28"/>
          <w:szCs w:val="28"/>
        </w:rPr>
        <w:t xml:space="preserve"> Technologie i urządzenia ubieralne</w:t>
      </w:r>
    </w:p>
    <w:p w14:paraId="6391E2E9" w14:textId="0AFABA40" w:rsidR="001D065F" w:rsidRPr="00A547E5" w:rsidRDefault="001D065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3E3D1E6B" w:rsidRPr="00A547E5">
        <w:rPr>
          <w:rFonts w:ascii="Times New Roman" w:hAnsi="Times New Roman" w:cs="Times New Roman"/>
          <w:b/>
          <w:bCs/>
          <w:sz w:val="24"/>
          <w:szCs w:val="24"/>
        </w:rPr>
        <w:t>3</w:t>
      </w:r>
      <w:r w:rsidRPr="00A547E5">
        <w:rPr>
          <w:rFonts w:ascii="Times New Roman" w:hAnsi="Times New Roman" w:cs="Times New Roman"/>
          <w:b/>
          <w:bCs/>
          <w:sz w:val="24"/>
          <w:szCs w:val="24"/>
        </w:rPr>
        <w:t>.1 Sensory w urządzeniach ubieralnych</w:t>
      </w:r>
    </w:p>
    <w:p w14:paraId="4795EAF9" w14:textId="020789F6"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00A547E5">
        <w:rPr>
          <w:rFonts w:ascii="Times New Roman" w:hAnsi="Times New Roman" w:cs="Times New Roman"/>
          <w:sz w:val="24"/>
          <w:szCs w:val="24"/>
        </w:rPr>
        <w:t xml:space="preserve">Sensory zewnętrzne są umieszczone na powierzchni ciała, ale nie wymagają bezpośredniego kontaktu ze skórą i mierzą </w:t>
      </w:r>
      <w:r w:rsidR="005F070F" w:rsidRPr="00A547E5">
        <w:rPr>
          <w:rFonts w:ascii="Times New Roman" w:hAnsi="Times New Roman" w:cs="Times New Roman"/>
          <w:sz w:val="24"/>
          <w:szCs w:val="24"/>
        </w:rPr>
        <w:t>zjawiska</w:t>
      </w:r>
      <w:commentRangeStart w:id="0"/>
      <w:r w:rsidR="001A629D" w:rsidRPr="00A547E5">
        <w:rPr>
          <w:rFonts w:ascii="Times New Roman" w:hAnsi="Times New Roman" w:cs="Times New Roman"/>
          <w:sz w:val="24"/>
          <w:szCs w:val="24"/>
        </w:rPr>
        <w:t xml:space="preserve"> środowiskowe, które zachodzą</w:t>
      </w:r>
      <w:commentRangeEnd w:id="0"/>
      <w:r w:rsidRPr="00A547E5">
        <w:rPr>
          <w:rFonts w:ascii="Times New Roman" w:hAnsi="Times New Roman" w:cs="Times New Roman"/>
        </w:rPr>
        <w:commentReference w:id="0"/>
      </w:r>
      <w:r w:rsidR="001A629D" w:rsidRPr="00A547E5">
        <w:rPr>
          <w:rFonts w:ascii="Times New Roman" w:hAnsi="Times New Roman" w:cs="Times New Roman"/>
          <w:sz w:val="24"/>
          <w:szCs w:val="24"/>
        </w:rPr>
        <w:t xml:space="preserve"> poza ciałem użytkownika. </w:t>
      </w:r>
      <w:r w:rsidRPr="00A547E5">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Z kolei sensory wewnętrzne wymagają bezpośredniego kontaktu z</w:t>
      </w:r>
      <w:r w:rsidR="001A629D" w:rsidRPr="00A547E5">
        <w:rPr>
          <w:rFonts w:ascii="Times New Roman" w:hAnsi="Times New Roman" w:cs="Times New Roman"/>
          <w:sz w:val="24"/>
          <w:szCs w:val="24"/>
        </w:rPr>
        <w:t>e skórą</w:t>
      </w:r>
      <w:r w:rsidRPr="00A547E5">
        <w:rPr>
          <w:rFonts w:ascii="Times New Roman" w:hAnsi="Times New Roman" w:cs="Times New Roman"/>
          <w:sz w:val="24"/>
          <w:szCs w:val="24"/>
        </w:rPr>
        <w:t xml:space="preserve"> użytkownika i zbierają dane</w:t>
      </w:r>
      <w:r w:rsidR="0080438A" w:rsidRPr="00A547E5">
        <w:rPr>
          <w:rFonts w:ascii="Times New Roman" w:hAnsi="Times New Roman" w:cs="Times New Roman"/>
          <w:sz w:val="24"/>
          <w:szCs w:val="24"/>
        </w:rPr>
        <w:t xml:space="preserve"> dotyczące zjawisk zachodzących wewnątrz ciała</w:t>
      </w:r>
      <w:r w:rsidRPr="00A547E5">
        <w:rPr>
          <w:rFonts w:ascii="Times New Roman" w:hAnsi="Times New Roman" w:cs="Times New Roman"/>
          <w:sz w:val="24"/>
          <w:szCs w:val="24"/>
        </w:rPr>
        <w:t>. Przykładami takich sensorów są czujniki mierzące</w:t>
      </w:r>
      <w:r w:rsidR="0080438A" w:rsidRPr="00A547E5">
        <w:rPr>
          <w:rFonts w:ascii="Times New Roman" w:hAnsi="Times New Roman" w:cs="Times New Roman"/>
          <w:sz w:val="24"/>
          <w:szCs w:val="24"/>
        </w:rPr>
        <w:t xml:space="preserve"> tętno</w:t>
      </w:r>
      <w:r w:rsidRPr="00A547E5">
        <w:rPr>
          <w:rFonts w:ascii="Times New Roman" w:hAnsi="Times New Roman" w:cs="Times New Roman"/>
          <w:sz w:val="24"/>
          <w:szCs w:val="24"/>
        </w:rPr>
        <w:t>, saturację krwi</w:t>
      </w:r>
      <w:r w:rsidR="0080438A"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 </w:t>
      </w:r>
      <w:r w:rsidRPr="00A547E5">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sidRPr="00A547E5">
        <w:rPr>
          <w:rFonts w:ascii="Times New Roman" w:hAnsi="Times New Roman" w:cs="Times New Roman"/>
          <w:sz w:val="24"/>
          <w:szCs w:val="24"/>
        </w:rPr>
        <w:t>tętna</w:t>
      </w:r>
      <w:r w:rsidRPr="00A547E5">
        <w:rPr>
          <w:rFonts w:ascii="Times New Roman" w:hAnsi="Times New Roman" w:cs="Times New Roman"/>
          <w:sz w:val="24"/>
          <w:szCs w:val="24"/>
        </w:rPr>
        <w:t xml:space="preserve"> może pełnić funkcję wskaźnika </w:t>
      </w:r>
      <w:r w:rsidR="0080438A" w:rsidRPr="00A547E5">
        <w:rPr>
          <w:rFonts w:ascii="Times New Roman" w:hAnsi="Times New Roman" w:cs="Times New Roman"/>
          <w:sz w:val="24"/>
          <w:szCs w:val="24"/>
        </w:rPr>
        <w:t xml:space="preserve">relatywnej </w:t>
      </w:r>
      <w:r w:rsidRPr="00A547E5">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Pr="00A547E5" w:rsidRDefault="001A629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A547E5">
        <w:rPr>
          <w:rFonts w:ascii="Times New Roman" w:hAnsi="Times New Roman" w:cs="Times New Roman"/>
          <w:sz w:val="24"/>
          <w:szCs w:val="24"/>
        </w:rPr>
        <w:t>Tromsø</w:t>
      </w:r>
      <w:proofErr w:type="spellEnd"/>
      <w:r w:rsidRPr="00A547E5">
        <w:rPr>
          <w:rFonts w:ascii="Times New Roman" w:hAnsi="Times New Roman" w:cs="Times New Roman"/>
          <w:sz w:val="24"/>
          <w:szCs w:val="24"/>
        </w:rPr>
        <w:t xml:space="preserve"> przeprowadzili badanie, w którym zidentyfikowali urządzenia ubieralne i zgromadzili dane opisujące urządzenia ubieralne wypuszczone na rynek w okresie</w:t>
      </w:r>
      <w:r w:rsidR="00523D49" w:rsidRPr="00A547E5">
        <w:rPr>
          <w:rFonts w:ascii="Times New Roman" w:hAnsi="Times New Roman" w:cs="Times New Roman"/>
          <w:sz w:val="24"/>
          <w:szCs w:val="24"/>
        </w:rPr>
        <w:t xml:space="preserve"> od 2011 do połowy 2017</w:t>
      </w:r>
      <w:r w:rsidRPr="00A547E5">
        <w:rPr>
          <w:rFonts w:ascii="Times New Roman" w:hAnsi="Times New Roman" w:cs="Times New Roman"/>
          <w:sz w:val="24"/>
          <w:szCs w:val="24"/>
        </w:rPr>
        <w:t xml:space="preserve">. W ramach badania zebrano dwanaście zmiennych, w tym między innymi nazwę urządzenia, rok wydania oraz obsługiwane sensory. </w:t>
      </w:r>
      <w:r w:rsidR="00523D49" w:rsidRPr="00A547E5">
        <w:rPr>
          <w:rFonts w:ascii="Times New Roman" w:hAnsi="Times New Roman" w:cs="Times New Roman"/>
          <w:sz w:val="24"/>
          <w:szCs w:val="24"/>
        </w:rPr>
        <w:t>Naukowcy łącznie zgromadzili dane dotyczące 423 urządzeń, jednocześnie informując o prawdopodobnej niekompletności zestawu danych, wynikającej ze względów praktycznych</w:t>
      </w:r>
      <w:r w:rsidR="00523D49" w:rsidRPr="00A547E5">
        <w:rPr>
          <w:rStyle w:val="Odwoanieprzypisudolnego"/>
          <w:rFonts w:ascii="Times New Roman" w:hAnsi="Times New Roman" w:cs="Times New Roman"/>
          <w:sz w:val="24"/>
          <w:szCs w:val="24"/>
        </w:rPr>
        <w:footnoteReference w:id="7"/>
      </w:r>
      <w:r w:rsidR="00523D49" w:rsidRPr="00A547E5">
        <w:rPr>
          <w:rFonts w:ascii="Times New Roman" w:hAnsi="Times New Roman" w:cs="Times New Roman"/>
          <w:sz w:val="24"/>
          <w:szCs w:val="24"/>
        </w:rPr>
        <w:t xml:space="preserve">. </w:t>
      </w:r>
    </w:p>
    <w:p w14:paraId="6693C773" w14:textId="788E84E0"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Na wykresie</w:t>
      </w:r>
      <w:r w:rsidR="568CF750" w:rsidRPr="00A547E5">
        <w:rPr>
          <w:rFonts w:ascii="Times New Roman" w:hAnsi="Times New Roman" w:cs="Times New Roman"/>
          <w:sz w:val="24"/>
          <w:szCs w:val="24"/>
        </w:rPr>
        <w:t xml:space="preserve"> 1</w:t>
      </w:r>
      <w:r w:rsidRPr="00A547E5">
        <w:rPr>
          <w:rFonts w:ascii="Times New Roman" w:hAnsi="Times New Roman" w:cs="Times New Roman"/>
          <w:sz w:val="24"/>
          <w:szCs w:val="24"/>
        </w:rPr>
        <w:t xml:space="preserve"> przedstawiono </w:t>
      </w:r>
      <w:r w:rsidR="488A6BCC" w:rsidRPr="00A547E5">
        <w:rPr>
          <w:rFonts w:ascii="Times New Roman" w:hAnsi="Times New Roman" w:cs="Times New Roman"/>
          <w:sz w:val="24"/>
          <w:szCs w:val="24"/>
        </w:rPr>
        <w:t>liczbę urządzeń</w:t>
      </w:r>
      <w:r w:rsidRPr="00A547E5">
        <w:rPr>
          <w:rFonts w:ascii="Times New Roman" w:hAnsi="Times New Roman" w:cs="Times New Roman"/>
          <w:sz w:val="24"/>
          <w:szCs w:val="24"/>
        </w:rPr>
        <w:t xml:space="preserve"> uwzględnionych w każdym roku.</w:t>
      </w:r>
      <w:r w:rsidR="001A629D" w:rsidRPr="00A547E5">
        <w:rPr>
          <w:rFonts w:ascii="Times New Roman" w:hAnsi="Times New Roman" w:cs="Times New Roman"/>
          <w:sz w:val="24"/>
          <w:szCs w:val="24"/>
        </w:rPr>
        <w:t xml:space="preserve"> </w:t>
      </w:r>
    </w:p>
    <w:p w14:paraId="18F59132" w14:textId="1DD1C6D8" w:rsidR="005F5A98"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00A547E5">
        <w:rPr>
          <w:rFonts w:ascii="Times New Roman" w:hAnsi="Times New Roman" w:cs="Times New Roman"/>
          <w:i/>
          <w:iCs/>
          <w:sz w:val="24"/>
          <w:szCs w:val="24"/>
        </w:rPr>
        <w:t>Wykres</w:t>
      </w:r>
      <w:r w:rsidR="005F5A98" w:rsidRPr="00A547E5">
        <w:rPr>
          <w:rFonts w:ascii="Times New Roman" w:hAnsi="Times New Roman" w:cs="Times New Roman"/>
          <w:i/>
          <w:iCs/>
          <w:sz w:val="24"/>
          <w:szCs w:val="24"/>
        </w:rPr>
        <w:t xml:space="preserve"> 1.</w:t>
      </w:r>
      <w:commentRangeEnd w:id="1"/>
      <w:r w:rsidRPr="00A547E5">
        <w:rPr>
          <w:rFonts w:ascii="Times New Roman" w:hAnsi="Times New Roman" w:cs="Times New Roman"/>
        </w:rPr>
        <w:commentReference w:id="1"/>
      </w:r>
      <w:r w:rsidR="005F5A98" w:rsidRPr="00A547E5">
        <w:rPr>
          <w:rFonts w:ascii="Times New Roman" w:hAnsi="Times New Roman" w:cs="Times New Roman"/>
          <w:i/>
          <w:iCs/>
          <w:sz w:val="24"/>
          <w:szCs w:val="24"/>
        </w:rPr>
        <w:t xml:space="preserve"> </w:t>
      </w:r>
      <w:r w:rsidR="0DAEE384" w:rsidRPr="00A547E5">
        <w:rPr>
          <w:rFonts w:ascii="Times New Roman" w:hAnsi="Times New Roman" w:cs="Times New Roman"/>
          <w:i/>
          <w:iCs/>
          <w:sz w:val="24"/>
          <w:szCs w:val="24"/>
        </w:rPr>
        <w:t>Liczba</w:t>
      </w:r>
      <w:r w:rsidR="005F5A98" w:rsidRPr="00A547E5">
        <w:rPr>
          <w:rFonts w:ascii="Times New Roman" w:hAnsi="Times New Roman" w:cs="Times New Roman"/>
          <w:i/>
          <w:iCs/>
          <w:sz w:val="24"/>
          <w:szCs w:val="24"/>
        </w:rPr>
        <w:t xml:space="preserve"> urządzeń ubieralnych </w:t>
      </w:r>
      <w:r w:rsidR="008B60D2" w:rsidRPr="00A547E5">
        <w:rPr>
          <w:rFonts w:ascii="Times New Roman" w:hAnsi="Times New Roman" w:cs="Times New Roman"/>
          <w:i/>
          <w:iCs/>
          <w:sz w:val="24"/>
          <w:szCs w:val="24"/>
        </w:rPr>
        <w:t>wprowadzanych</w:t>
      </w:r>
      <w:r w:rsidR="005F5A98" w:rsidRPr="00A547E5">
        <w:rPr>
          <w:rFonts w:ascii="Times New Roman" w:hAnsi="Times New Roman" w:cs="Times New Roman"/>
          <w:i/>
          <w:iCs/>
          <w:sz w:val="24"/>
          <w:szCs w:val="24"/>
        </w:rPr>
        <w:t xml:space="preserve"> na rynek w latach 2011-2017</w:t>
      </w:r>
      <w:r w:rsidR="008B60D2" w:rsidRPr="00A547E5">
        <w:rPr>
          <w:rFonts w:ascii="Times New Roman" w:hAnsi="Times New Roman" w:cs="Times New Roman"/>
          <w:i/>
          <w:iCs/>
          <w:sz w:val="24"/>
          <w:szCs w:val="24"/>
        </w:rPr>
        <w:t>(I połowa)</w:t>
      </w:r>
    </w:p>
    <w:p w14:paraId="7AA27D68" w14:textId="069CB757" w:rsidR="005F5A98" w:rsidRPr="00A547E5" w:rsidRDefault="005F5A98"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70E20953" w:rsidRPr="00A547E5">
        <w:rPr>
          <w:rFonts w:ascii="Times New Roman" w:hAnsi="Times New Roman" w:cs="Times New Roman"/>
          <w:i/>
          <w:iCs/>
          <w:kern w:val="0"/>
          <w:sz w:val="24"/>
          <w:szCs w:val="24"/>
          <w:lang w:val="en-US"/>
        </w:rPr>
        <w:t>.</w:t>
      </w:r>
    </w:p>
    <w:p w14:paraId="619E2267" w14:textId="3D24740E"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Można zaobserwować wyraźny wzrost liczby wprowadzanych na rynek urządzeń, z wyjątkiem okresu 2016-2017, co może być wynikiem ograniczenia zbierania danych do połowy 2017 roku. Wykres ten ilustruje rosnącą popularność urządzeń ubieralnych oraz rozwój kultury</w:t>
      </w:r>
      <w:r w:rsidR="005F5A98" w:rsidRPr="00A547E5">
        <w:rPr>
          <w:rFonts w:ascii="Times New Roman" w:hAnsi="Times New Roman" w:cs="Times New Roman"/>
          <w:sz w:val="24"/>
          <w:szCs w:val="24"/>
        </w:rPr>
        <w:t xml:space="preserve"> </w:t>
      </w:r>
      <w:proofErr w:type="spellStart"/>
      <w:r w:rsidR="005F5A98" w:rsidRPr="00A547E5">
        <w:rPr>
          <w:rFonts w:ascii="Times New Roman" w:hAnsi="Times New Roman" w:cs="Times New Roman"/>
          <w:i/>
          <w:iCs/>
          <w:sz w:val="24"/>
          <w:szCs w:val="24"/>
        </w:rPr>
        <w:t>quantified</w:t>
      </w:r>
      <w:proofErr w:type="spellEnd"/>
      <w:r w:rsidR="005F5A98" w:rsidRPr="00A547E5">
        <w:rPr>
          <w:rFonts w:ascii="Times New Roman" w:hAnsi="Times New Roman" w:cs="Times New Roman"/>
          <w:i/>
          <w:iCs/>
          <w:sz w:val="24"/>
          <w:szCs w:val="24"/>
        </w:rPr>
        <w:t xml:space="preserve"> </w:t>
      </w:r>
      <w:proofErr w:type="spellStart"/>
      <w:r w:rsidR="005F5A9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w:t>
      </w:r>
    </w:p>
    <w:p w14:paraId="4458A725" w14:textId="0239BB1B" w:rsidR="00EA7488" w:rsidRPr="00A547E5" w:rsidRDefault="07F46EAF" w:rsidP="00653786">
      <w:pPr>
        <w:jc w:val="both"/>
        <w:rPr>
          <w:rFonts w:ascii="Times New Roman" w:hAnsi="Times New Roman" w:cs="Times New Roman"/>
          <w:sz w:val="24"/>
          <w:szCs w:val="24"/>
        </w:rPr>
      </w:pPr>
      <w:r w:rsidRPr="00A547E5">
        <w:rPr>
          <w:rFonts w:ascii="Times New Roman" w:hAnsi="Times New Roman" w:cs="Times New Roman"/>
          <w:sz w:val="24"/>
          <w:szCs w:val="24"/>
        </w:rPr>
        <w:t>W</w:t>
      </w:r>
      <w:r w:rsidR="009C778E" w:rsidRPr="00A547E5">
        <w:rPr>
          <w:rFonts w:ascii="Times New Roman" w:hAnsi="Times New Roman" w:cs="Times New Roman"/>
          <w:sz w:val="24"/>
          <w:szCs w:val="24"/>
        </w:rPr>
        <w:t>ykres</w:t>
      </w:r>
      <w:r w:rsidR="3BD0DA9C" w:rsidRPr="00A547E5">
        <w:rPr>
          <w:rFonts w:ascii="Times New Roman" w:hAnsi="Times New Roman" w:cs="Times New Roman"/>
          <w:sz w:val="24"/>
          <w:szCs w:val="24"/>
        </w:rPr>
        <w:t xml:space="preserve"> 2</w:t>
      </w:r>
      <w:r w:rsidR="009C778E" w:rsidRPr="00A547E5">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Pr="00A547E5" w:rsidRDefault="005F5A98" w:rsidP="00653786">
      <w:pPr>
        <w:jc w:val="both"/>
        <w:rPr>
          <w:rFonts w:ascii="Times New Roman" w:hAnsi="Times New Roman" w:cs="Times New Roman"/>
          <w:b/>
          <w:bCs/>
          <w:sz w:val="24"/>
          <w:szCs w:val="24"/>
        </w:rPr>
      </w:pPr>
    </w:p>
    <w:p w14:paraId="35CF09C9" w14:textId="15BD9ADB" w:rsidR="005F5A98" w:rsidRPr="00A547E5" w:rsidRDefault="005F5A98" w:rsidP="00653786">
      <w:pPr>
        <w:jc w:val="both"/>
        <w:rPr>
          <w:rFonts w:ascii="Times New Roman" w:hAnsi="Times New Roman" w:cs="Times New Roman"/>
          <w:b/>
          <w:bCs/>
          <w:sz w:val="24"/>
          <w:szCs w:val="24"/>
        </w:rPr>
      </w:pPr>
    </w:p>
    <w:p w14:paraId="4319B214" w14:textId="4D7578BF" w:rsidR="005F5A98" w:rsidRPr="00A547E5" w:rsidRDefault="005F5A98" w:rsidP="00653786">
      <w:pPr>
        <w:jc w:val="both"/>
        <w:rPr>
          <w:rFonts w:ascii="Times New Roman" w:hAnsi="Times New Roman" w:cs="Times New Roman"/>
          <w:b/>
          <w:bCs/>
          <w:sz w:val="24"/>
          <w:szCs w:val="24"/>
        </w:rPr>
      </w:pPr>
    </w:p>
    <w:p w14:paraId="17BA8783" w14:textId="06F40D16" w:rsidR="009C778E"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00A547E5">
        <w:rPr>
          <w:rFonts w:ascii="Times New Roman" w:hAnsi="Times New Roman" w:cs="Times New Roman"/>
          <w:i/>
          <w:iCs/>
          <w:noProof/>
          <w:sz w:val="24"/>
          <w:szCs w:val="24"/>
        </w:rPr>
        <w:t>Wykres</w:t>
      </w:r>
      <w:r w:rsidRPr="00A547E5">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A547E5" w:rsidRDefault="009C778E"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49E99418" w:rsidRPr="00A547E5">
        <w:rPr>
          <w:rFonts w:ascii="Times New Roman" w:hAnsi="Times New Roman" w:cs="Times New Roman"/>
          <w:i/>
          <w:iCs/>
          <w:kern w:val="0"/>
          <w:sz w:val="24"/>
          <w:szCs w:val="24"/>
          <w:lang w:val="en-US"/>
        </w:rPr>
        <w:t>.</w:t>
      </w:r>
    </w:p>
    <w:p w14:paraId="307336E4" w14:textId="527077B7" w:rsidR="00DA7AA6" w:rsidRPr="00A547E5" w:rsidRDefault="009C778E" w:rsidP="00653786">
      <w:pPr>
        <w:jc w:val="both"/>
        <w:rPr>
          <w:rFonts w:ascii="Times New Roman" w:hAnsi="Times New Roman" w:cs="Times New Roman"/>
          <w:b/>
          <w:bCs/>
          <w:sz w:val="24"/>
          <w:szCs w:val="24"/>
        </w:rPr>
      </w:pPr>
      <w:r w:rsidRPr="00A547E5">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sidRPr="00A547E5">
        <w:rPr>
          <w:rFonts w:ascii="Times New Roman" w:hAnsi="Times New Roman" w:cs="Times New Roman"/>
          <w:sz w:val="24"/>
          <w:szCs w:val="24"/>
        </w:rPr>
        <w:t xml:space="preserve"> (Dane były zbierane tylko dla urządzeń bazujących na akcelerometrze). Niemniej jednak</w:t>
      </w:r>
      <w:r w:rsidRPr="00A547E5">
        <w:rPr>
          <w:rFonts w:ascii="Times New Roman" w:hAnsi="Times New Roman" w:cs="Times New Roman"/>
          <w:sz w:val="24"/>
          <w:szCs w:val="24"/>
        </w:rPr>
        <w:t xml:space="preserve"> </w:t>
      </w:r>
      <w:r w:rsidR="00DA7AA6" w:rsidRPr="00A547E5">
        <w:rPr>
          <w:rFonts w:ascii="Times New Roman" w:hAnsi="Times New Roman" w:cs="Times New Roman"/>
          <w:sz w:val="24"/>
          <w:szCs w:val="24"/>
        </w:rPr>
        <w:t>akcelerometr cechuje się niską ceną oraz</w:t>
      </w:r>
      <w:r w:rsidRPr="00A547E5">
        <w:rPr>
          <w:rFonts w:ascii="Times New Roman" w:hAnsi="Times New Roman" w:cs="Times New Roman"/>
          <w:sz w:val="24"/>
          <w:szCs w:val="24"/>
        </w:rPr>
        <w:t xml:space="preserve"> doskonał</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właściwości</w:t>
      </w:r>
      <w:r w:rsidR="00DA7AA6" w:rsidRPr="00A547E5">
        <w:rPr>
          <w:rFonts w:ascii="Times New Roman" w:hAnsi="Times New Roman" w:cs="Times New Roman"/>
          <w:sz w:val="24"/>
          <w:szCs w:val="24"/>
        </w:rPr>
        <w:t>ami</w:t>
      </w:r>
      <w:r w:rsidRPr="00A547E5">
        <w:rPr>
          <w:rFonts w:ascii="Times New Roman" w:hAnsi="Times New Roman" w:cs="Times New Roman"/>
          <w:sz w:val="24"/>
          <w:szCs w:val="24"/>
        </w:rPr>
        <w:t xml:space="preserve"> predykcyjn</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Warto zwrócić</w:t>
      </w:r>
      <w:r w:rsidR="00DA7AA6" w:rsidRPr="00A547E5">
        <w:rPr>
          <w:rFonts w:ascii="Times New Roman" w:hAnsi="Times New Roman" w:cs="Times New Roman"/>
          <w:sz w:val="24"/>
          <w:szCs w:val="24"/>
        </w:rPr>
        <w:t xml:space="preserve"> szczególną</w:t>
      </w:r>
      <w:r w:rsidRPr="00A547E5">
        <w:rPr>
          <w:rFonts w:ascii="Times New Roman" w:hAnsi="Times New Roman" w:cs="Times New Roman"/>
          <w:sz w:val="24"/>
          <w:szCs w:val="24"/>
        </w:rPr>
        <w:t xml:space="preserve"> uwagę na wzrastającą liczbę urządzeń wykorzystujących </w:t>
      </w:r>
      <w:proofErr w:type="spellStart"/>
      <w:r w:rsidRPr="00A547E5">
        <w:rPr>
          <w:rFonts w:ascii="Times New Roman" w:hAnsi="Times New Roman" w:cs="Times New Roman"/>
          <w:sz w:val="24"/>
          <w:szCs w:val="24"/>
        </w:rPr>
        <w:t>fotopletyzmograf</w:t>
      </w:r>
      <w:proofErr w:type="spellEnd"/>
      <w:r w:rsidRPr="00A547E5">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sidRPr="00A547E5">
        <w:rPr>
          <w:rFonts w:ascii="Times New Roman" w:hAnsi="Times New Roman" w:cs="Times New Roman"/>
          <w:sz w:val="24"/>
          <w:szCs w:val="24"/>
        </w:rPr>
        <w:t xml:space="preserve">, </w:t>
      </w:r>
      <w:r w:rsidRPr="00A547E5">
        <w:rPr>
          <w:rFonts w:ascii="Times New Roman" w:hAnsi="Times New Roman" w:cs="Times New Roman"/>
          <w:sz w:val="24"/>
          <w:szCs w:val="24"/>
        </w:rPr>
        <w:t>co może być związane z rosnącą popularnością monitorowania zdrowia i kondycji.</w:t>
      </w:r>
    </w:p>
    <w:p w14:paraId="3AB1E098" w14:textId="5FFD9D66" w:rsidR="00583741" w:rsidRPr="00A547E5" w:rsidRDefault="008613A7"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787D2346" w:rsidRPr="00A547E5">
        <w:rPr>
          <w:rFonts w:ascii="Times New Roman" w:hAnsi="Times New Roman" w:cs="Times New Roman"/>
          <w:b/>
          <w:bCs/>
          <w:sz w:val="24"/>
          <w:szCs w:val="24"/>
        </w:rPr>
        <w:t>3</w:t>
      </w:r>
      <w:r w:rsidRPr="00A547E5">
        <w:rPr>
          <w:rFonts w:ascii="Times New Roman" w:hAnsi="Times New Roman" w:cs="Times New Roman"/>
          <w:b/>
          <w:bCs/>
          <w:sz w:val="24"/>
          <w:szCs w:val="24"/>
        </w:rPr>
        <w:t>.</w:t>
      </w:r>
      <w:r w:rsidR="001D065F" w:rsidRPr="00A547E5">
        <w:rPr>
          <w:rFonts w:ascii="Times New Roman" w:hAnsi="Times New Roman" w:cs="Times New Roman"/>
          <w:b/>
          <w:bCs/>
          <w:sz w:val="24"/>
          <w:szCs w:val="24"/>
        </w:rPr>
        <w:t>2</w:t>
      </w:r>
      <w:r w:rsidRPr="00A547E5">
        <w:rPr>
          <w:rFonts w:ascii="Times New Roman" w:hAnsi="Times New Roman" w:cs="Times New Roman"/>
          <w:b/>
          <w:bCs/>
          <w:sz w:val="24"/>
          <w:szCs w:val="24"/>
        </w:rPr>
        <w:t xml:space="preserve"> Aplikacje urządzeń ubieralnych</w:t>
      </w:r>
    </w:p>
    <w:p w14:paraId="549F6759" w14:textId="400291AB" w:rsidR="00587A12" w:rsidRPr="00A547E5" w:rsidRDefault="000628F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00A547E5">
        <w:rPr>
          <w:rFonts w:ascii="Times New Roman" w:hAnsi="Times New Roman" w:cs="Times New Roman"/>
          <w:sz w:val="24"/>
          <w:szCs w:val="24"/>
        </w:rPr>
        <w:t>Przykładem takiego instrumentu jest</w:t>
      </w:r>
      <w:r w:rsidRPr="00A547E5">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A547E5" w:rsidRDefault="008B5C51" w:rsidP="00653786">
      <w:pPr>
        <w:jc w:val="both"/>
        <w:rPr>
          <w:rFonts w:ascii="Times New Roman" w:hAnsi="Times New Roman" w:cs="Times New Roman"/>
          <w:sz w:val="24"/>
          <w:szCs w:val="24"/>
        </w:rPr>
      </w:pPr>
      <w:r w:rsidRPr="00A547E5">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Oś X: Reprezentuje ruch w poziomie (</w:t>
      </w:r>
      <w:r w:rsidR="00BC6826" w:rsidRPr="00A547E5">
        <w:rPr>
          <w:rFonts w:ascii="Times New Roman" w:hAnsi="Times New Roman" w:cs="Times New Roman"/>
          <w:sz w:val="24"/>
          <w:szCs w:val="24"/>
        </w:rPr>
        <w:t>w lewo/w prawo</w:t>
      </w:r>
      <w:r w:rsidRPr="00A547E5">
        <w:rPr>
          <w:rFonts w:ascii="Times New Roman" w:hAnsi="Times New Roman" w:cs="Times New Roman"/>
          <w:sz w:val="24"/>
          <w:szCs w:val="24"/>
        </w:rPr>
        <w:t>).</w:t>
      </w:r>
    </w:p>
    <w:p w14:paraId="16E6BE62" w14:textId="1B7EA9C9" w:rsidR="00BC6826" w:rsidRPr="00A547E5" w:rsidRDefault="00BC6826"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Oś Y: Reprezentuje ruch w pionie (w górę/w dół).</w:t>
      </w:r>
    </w:p>
    <w:p w14:paraId="56B88BD2" w14:textId="614257DB"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 xml:space="preserve">Oś </w:t>
      </w:r>
      <w:r w:rsidR="00BC6826" w:rsidRPr="00A547E5">
        <w:rPr>
          <w:rFonts w:ascii="Times New Roman" w:hAnsi="Times New Roman" w:cs="Times New Roman"/>
          <w:sz w:val="24"/>
          <w:szCs w:val="24"/>
        </w:rPr>
        <w:t>Z</w:t>
      </w:r>
      <w:r w:rsidRPr="00A547E5">
        <w:rPr>
          <w:rFonts w:ascii="Times New Roman" w:hAnsi="Times New Roman" w:cs="Times New Roman"/>
          <w:sz w:val="24"/>
          <w:szCs w:val="24"/>
        </w:rPr>
        <w:t>: Reprezentuje ruch w poziomie (</w:t>
      </w:r>
      <w:r w:rsidR="00BC6826" w:rsidRPr="00A547E5">
        <w:rPr>
          <w:rFonts w:ascii="Times New Roman" w:hAnsi="Times New Roman" w:cs="Times New Roman"/>
          <w:sz w:val="24"/>
          <w:szCs w:val="24"/>
        </w:rPr>
        <w:t>do przodu/do tyłu</w:t>
      </w:r>
      <w:r w:rsidRPr="00A547E5">
        <w:rPr>
          <w:rFonts w:ascii="Times New Roman" w:hAnsi="Times New Roman" w:cs="Times New Roman"/>
          <w:sz w:val="24"/>
          <w:szCs w:val="24"/>
        </w:rPr>
        <w:t>).</w:t>
      </w:r>
    </w:p>
    <w:p w14:paraId="5348FA24" w14:textId="167695BF" w:rsidR="002620EF" w:rsidRPr="00A547E5" w:rsidRDefault="00BC3594"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Niektóre urządzenia ubieralne używane w sporcie konwertują dane z akcelerometru </w:t>
      </w:r>
      <w:r w:rsidR="000E5F6A" w:rsidRPr="00A547E5">
        <w:rPr>
          <w:rFonts w:ascii="Times New Roman" w:hAnsi="Times New Roman" w:cs="Times New Roman"/>
          <w:sz w:val="24"/>
          <w:szCs w:val="24"/>
        </w:rPr>
        <w:t>na</w:t>
      </w:r>
      <w:r w:rsidRPr="00A547E5">
        <w:rPr>
          <w:rFonts w:ascii="Times New Roman" w:hAnsi="Times New Roman" w:cs="Times New Roman"/>
          <w:sz w:val="24"/>
          <w:szCs w:val="24"/>
        </w:rPr>
        <w:t xml:space="preserve"> metrykę nazywaną „obciążeniem zawodnika” (en</w:t>
      </w:r>
      <w:r w:rsidRPr="00A547E5">
        <w:rPr>
          <w:rFonts w:ascii="Times New Roman" w:hAnsi="Times New Roman" w:cs="Times New Roman"/>
          <w:i/>
          <w:iCs/>
          <w:sz w:val="24"/>
          <w:szCs w:val="24"/>
        </w:rPr>
        <w:t>. „</w:t>
      </w:r>
      <w:proofErr w:type="spellStart"/>
      <w:r w:rsidRPr="00A547E5">
        <w:rPr>
          <w:rFonts w:ascii="Times New Roman" w:hAnsi="Times New Roman" w:cs="Times New Roman"/>
          <w:i/>
          <w:iCs/>
          <w:sz w:val="24"/>
          <w:szCs w:val="24"/>
        </w:rPr>
        <w:t>player</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load</w:t>
      </w:r>
      <w:proofErr w:type="spellEnd"/>
      <w:r w:rsidRPr="00A547E5">
        <w:rPr>
          <w:rFonts w:ascii="Times New Roman" w:hAnsi="Times New Roman" w:cs="Times New Roman"/>
          <w:i/>
          <w:iCs/>
          <w:sz w:val="24"/>
          <w:szCs w:val="24"/>
        </w:rPr>
        <w:t>”</w:t>
      </w:r>
      <w:r w:rsidRPr="00A547E5">
        <w:rPr>
          <w:rFonts w:ascii="Times New Roman" w:hAnsi="Times New Roman" w:cs="Times New Roman"/>
          <w:sz w:val="24"/>
          <w:szCs w:val="24"/>
        </w:rPr>
        <w:t xml:space="preserve">). </w:t>
      </w:r>
      <w:r w:rsidR="000E5F6A" w:rsidRPr="00A547E5">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A547E5">
        <w:rPr>
          <w:rFonts w:ascii="Times New Roman" w:hAnsi="Times New Roman" w:cs="Times New Roman"/>
          <w:sz w:val="24"/>
          <w:szCs w:val="24"/>
        </w:rPr>
        <w:t>Catapult</w:t>
      </w:r>
      <w:proofErr w:type="spellEnd"/>
      <w:r w:rsidR="000E5F6A" w:rsidRPr="00A547E5">
        <w:rPr>
          <w:rFonts w:ascii="Times New Roman" w:hAnsi="Times New Roman" w:cs="Times New Roman"/>
          <w:sz w:val="24"/>
          <w:szCs w:val="24"/>
        </w:rPr>
        <w:t xml:space="preserve">, wykorzystywane w sportach drużynowych, takich jak piłka nożna, rugby czy hokej. Skumulowane obciążenie zawodnika w okresie od </w:t>
      </w:r>
      <w:r w:rsidR="507A7D3C" w:rsidRPr="00A547E5">
        <w:rPr>
          <w:rFonts w:ascii="Times New Roman" w:hAnsi="Times New Roman" w:cs="Times New Roman"/>
          <w:sz w:val="24"/>
          <w:szCs w:val="24"/>
        </w:rPr>
        <w:t>0</w:t>
      </w:r>
      <w:r w:rsidR="000E5F6A" w:rsidRPr="00A547E5">
        <w:rPr>
          <w:rFonts w:ascii="Times New Roman" w:hAnsi="Times New Roman" w:cs="Times New Roman"/>
          <w:sz w:val="24"/>
          <w:szCs w:val="24"/>
        </w:rPr>
        <w:t xml:space="preserve"> do n uwzględnia wszystkie trzy osie odczytów akcelerometru i stanowi sumę natychmiastowych obciążeń zawodnika</w:t>
      </w:r>
      <w:r w:rsidR="000E5F6A" w:rsidRPr="00A547E5">
        <w:rPr>
          <w:rStyle w:val="Odwoanieprzypisudolnego"/>
          <w:rFonts w:ascii="Times New Roman" w:hAnsi="Times New Roman" w:cs="Times New Roman"/>
          <w:sz w:val="24"/>
          <w:szCs w:val="24"/>
        </w:rPr>
        <w:footnoteReference w:id="8"/>
      </w:r>
    </w:p>
    <w:p w14:paraId="3B0C6F66" w14:textId="42B65E34" w:rsidR="002620EF" w:rsidRPr="00A547E5"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A547E5" w:rsidRDefault="6B80296C"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2620EF" w:rsidRPr="00A547E5">
        <w:rPr>
          <w:rFonts w:ascii="Times New Roman" w:eastAsiaTheme="minorEastAsia" w:hAnsi="Times New Roman" w:cs="Times New Roman"/>
          <w:sz w:val="24"/>
          <w:szCs w:val="24"/>
        </w:rPr>
        <w:t>dzie:</w:t>
      </w:r>
    </w:p>
    <w:p w14:paraId="7E102A1B" w14:textId="60B0DF2E" w:rsidR="002620EF" w:rsidRPr="00A547E5" w:rsidRDefault="002620EF" w:rsidP="00653786">
      <w:pPr>
        <w:numPr>
          <w:ilvl w:val="0"/>
          <w:numId w:val="9"/>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t to kolejne momenty czasu w trakcie pomiaru (od t=</w:t>
      </w:r>
      <w:r w:rsidR="000E5F6A" w:rsidRPr="00A547E5">
        <w:rPr>
          <w:rFonts w:ascii="Times New Roman" w:eastAsiaTheme="minorEastAsia" w:hAnsi="Times New Roman" w:cs="Times New Roman"/>
          <w:sz w:val="24"/>
          <w:szCs w:val="24"/>
        </w:rPr>
        <w:t xml:space="preserve">0 </w:t>
      </w:r>
      <w:r w:rsidRPr="00A547E5">
        <w:rPr>
          <w:rFonts w:ascii="Times New Roman" w:eastAsiaTheme="minorEastAsia" w:hAnsi="Times New Roman" w:cs="Times New Roman"/>
          <w:sz w:val="24"/>
          <w:szCs w:val="24"/>
        </w:rPr>
        <w:t>do t=</w:t>
      </w:r>
      <w:r w:rsidR="000E5F6A" w:rsidRPr="00A547E5">
        <w:rPr>
          <w:rFonts w:ascii="Times New Roman" w:eastAsiaTheme="minorEastAsia" w:hAnsi="Times New Roman" w:cs="Times New Roman"/>
          <w:sz w:val="24"/>
          <w:szCs w:val="24"/>
        </w:rPr>
        <w:t>n</w:t>
      </w:r>
      <w:r w:rsidRPr="00A547E5">
        <w:rPr>
          <w:rFonts w:ascii="Times New Roman" w:eastAsiaTheme="minorEastAsia" w:hAnsi="Times New Roman" w:cs="Times New Roman"/>
          <w:sz w:val="24"/>
          <w:szCs w:val="24"/>
        </w:rPr>
        <w:t>).</w:t>
      </w:r>
    </w:p>
    <w:p w14:paraId="02CEE6F5" w14:textId="5E4E4FF0" w:rsidR="00535F1F" w:rsidRPr="00A547E5" w:rsidRDefault="00535F1F" w:rsidP="00653786">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A547E5">
        <w:rPr>
          <w:rFonts w:ascii="Times New Roman" w:eastAsiaTheme="minorEastAsia" w:hAnsi="Times New Roman" w:cs="Times New Roman"/>
          <w:sz w:val="24"/>
          <w:szCs w:val="24"/>
        </w:rPr>
        <w:t>en</w:t>
      </w:r>
      <w:r w:rsidRPr="00A547E5">
        <w:rPr>
          <w:rFonts w:ascii="Times New Roman" w:eastAsiaTheme="minorEastAsia" w:hAnsi="Times New Roman" w:cs="Times New Roman"/>
          <w:sz w:val="24"/>
          <w:szCs w:val="24"/>
        </w:rPr>
        <w:t xml:space="preserve">. </w:t>
      </w:r>
      <w:proofErr w:type="spellStart"/>
      <w:r w:rsidRPr="00A547E5">
        <w:rPr>
          <w:rFonts w:ascii="Times New Roman" w:eastAsiaTheme="minorEastAsia" w:hAnsi="Times New Roman" w:cs="Times New Roman"/>
          <w:i/>
          <w:iCs/>
          <w:sz w:val="24"/>
          <w:szCs w:val="24"/>
        </w:rPr>
        <w:t>acute</w:t>
      </w:r>
      <w:proofErr w:type="spellEnd"/>
      <w:r w:rsidRPr="00A547E5">
        <w:rPr>
          <w:rFonts w:ascii="Times New Roman" w:eastAsiaTheme="minorEastAsia" w:hAnsi="Times New Roman" w:cs="Times New Roman"/>
          <w:i/>
          <w:iCs/>
          <w:sz w:val="24"/>
          <w:szCs w:val="24"/>
        </w:rPr>
        <w:t xml:space="preserve"> to </w:t>
      </w:r>
      <w:proofErr w:type="spellStart"/>
      <w:r w:rsidRPr="00A547E5">
        <w:rPr>
          <w:rFonts w:ascii="Times New Roman" w:eastAsiaTheme="minorEastAsia" w:hAnsi="Times New Roman" w:cs="Times New Roman"/>
          <w:i/>
          <w:iCs/>
          <w:sz w:val="24"/>
          <w:szCs w:val="24"/>
        </w:rPr>
        <w:t>chronic</w:t>
      </w:r>
      <w:proofErr w:type="spellEnd"/>
      <w:r w:rsidRPr="00A547E5">
        <w:rPr>
          <w:rFonts w:ascii="Times New Roman" w:eastAsiaTheme="minorEastAsia" w:hAnsi="Times New Roman" w:cs="Times New Roman"/>
          <w:i/>
          <w:iCs/>
          <w:sz w:val="24"/>
          <w:szCs w:val="24"/>
        </w:rPr>
        <w:t xml:space="preserve"> </w:t>
      </w:r>
      <w:proofErr w:type="spellStart"/>
      <w:r w:rsidRPr="00A547E5">
        <w:rPr>
          <w:rFonts w:ascii="Times New Roman" w:eastAsiaTheme="minorEastAsia" w:hAnsi="Times New Roman" w:cs="Times New Roman"/>
          <w:i/>
          <w:iCs/>
          <w:sz w:val="24"/>
          <w:szCs w:val="24"/>
        </w:rPr>
        <w:t>workload</w:t>
      </w:r>
      <w:proofErr w:type="spellEnd"/>
      <w:r w:rsidRPr="00A547E5">
        <w:rPr>
          <w:rFonts w:ascii="Times New Roman" w:eastAsiaTheme="minorEastAsia" w:hAnsi="Times New Roman" w:cs="Times New Roman"/>
          <w:i/>
          <w:iCs/>
          <w:sz w:val="24"/>
          <w:szCs w:val="24"/>
        </w:rPr>
        <w:t xml:space="preserve"> ratio, ACWR</w:t>
      </w:r>
      <w:r w:rsidRPr="00A547E5">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sidRPr="00A547E5">
        <w:rPr>
          <w:rStyle w:val="Odwoanieprzypisudolnego"/>
          <w:rFonts w:ascii="Times New Roman" w:eastAsiaTheme="minorEastAsia" w:hAnsi="Times New Roman" w:cs="Times New Roman"/>
          <w:sz w:val="24"/>
          <w:szCs w:val="24"/>
        </w:rPr>
        <w:footnoteReference w:id="9"/>
      </w:r>
      <w:r w:rsidRPr="00A547E5">
        <w:rPr>
          <w:rFonts w:ascii="Times New Roman" w:eastAsiaTheme="minorEastAsia" w:hAnsi="Times New Roman" w:cs="Times New Roman"/>
          <w:sz w:val="24"/>
          <w:szCs w:val="24"/>
        </w:rPr>
        <w:t>.</w:t>
      </w:r>
    </w:p>
    <w:p w14:paraId="4D86FFF9" w14:textId="7B0A58ED" w:rsidR="005F1605" w:rsidRPr="00A547E5"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rPr>
              <w:rFonts w:ascii="Cambria Math" w:hAnsi="Cambria Math" w:cs="Times New Roman"/>
            </w:rPr>
            <w:br/>
          </m:r>
        </m:oMath>
      </m:oMathPara>
      <w:commentRangeStart w:id="2"/>
      <w:commentRangeEnd w:id="2"/>
      <w:r w:rsidRPr="00A547E5">
        <w:rPr>
          <w:rFonts w:ascii="Times New Roman" w:hAnsi="Times New Roman" w:cs="Times New Roman"/>
        </w:rPr>
        <w:commentReference w:id="2"/>
      </w:r>
    </w:p>
    <w:p w14:paraId="38857F62" w14:textId="4EBADBC7" w:rsidR="005F1605" w:rsidRPr="00A547E5" w:rsidRDefault="01095C94"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5F1605" w:rsidRPr="00A547E5">
        <w:rPr>
          <w:rFonts w:ascii="Times New Roman" w:eastAsiaTheme="minorEastAsia" w:hAnsi="Times New Roman" w:cs="Times New Roman"/>
          <w:sz w:val="24"/>
          <w:szCs w:val="24"/>
        </w:rPr>
        <w:t>dzie:</w:t>
      </w:r>
    </w:p>
    <w:p w14:paraId="5B48B430" w14:textId="19CEAB82"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A547E5" w:rsidRDefault="00374101"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t>
      </w:r>
      <w:r w:rsidRPr="00A547E5">
        <w:rPr>
          <w:rFonts w:ascii="Times New Roman" w:eastAsiaTheme="minorEastAsia" w:hAnsi="Times New Roman" w:cs="Times New Roman"/>
          <w:sz w:val="24"/>
          <w:szCs w:val="24"/>
        </w:rPr>
        <w:lastRenderedPageBreak/>
        <w:t>w długim okresie, przy jednoczesnym utrzymaniu odpowiedniej intensywności treningu w krótkim okresie</w:t>
      </w:r>
      <w:r w:rsidR="00352803" w:rsidRPr="00A547E5">
        <w:rPr>
          <w:rStyle w:val="Odwoanieprzypisudolnego"/>
          <w:rFonts w:ascii="Times New Roman" w:eastAsiaTheme="minorEastAsia" w:hAnsi="Times New Roman" w:cs="Times New Roman"/>
          <w:sz w:val="24"/>
          <w:szCs w:val="24"/>
        </w:rPr>
        <w:footnoteReference w:id="10"/>
      </w:r>
      <w:r w:rsidR="00352803" w:rsidRPr="00A547E5">
        <w:rPr>
          <w:rFonts w:ascii="Times New Roman" w:eastAsiaTheme="minorEastAsia" w:hAnsi="Times New Roman" w:cs="Times New Roman"/>
          <w:sz w:val="24"/>
          <w:szCs w:val="24"/>
        </w:rPr>
        <w:t>.</w:t>
      </w:r>
    </w:p>
    <w:p w14:paraId="02589EFC" w14:textId="3D9EF5F3" w:rsidR="00FA6449" w:rsidRPr="00A547E5" w:rsidRDefault="00374101" w:rsidP="00653786">
      <w:pPr>
        <w:jc w:val="both"/>
        <w:rPr>
          <w:rFonts w:ascii="Times New Roman" w:hAnsi="Times New Roman" w:cs="Times New Roman"/>
          <w:sz w:val="24"/>
          <w:szCs w:val="24"/>
        </w:rPr>
      </w:pPr>
      <w:r w:rsidRPr="00A547E5">
        <w:rPr>
          <w:rFonts w:ascii="Times New Roman" w:hAnsi="Times New Roman" w:cs="Times New Roman"/>
          <w:sz w:val="24"/>
          <w:szCs w:val="24"/>
        </w:rPr>
        <w:t>Pomimo popularności i szerokiego zastosowania ACWR, i</w:t>
      </w:r>
      <w:r w:rsidR="00535F1F" w:rsidRPr="00A547E5">
        <w:rPr>
          <w:rFonts w:ascii="Times New Roman" w:hAnsi="Times New Roman" w:cs="Times New Roman"/>
          <w:sz w:val="24"/>
          <w:szCs w:val="24"/>
        </w:rPr>
        <w:t xml:space="preserve">stnieją powody do sceptycznego podejścia do </w:t>
      </w:r>
      <w:r w:rsidRPr="00A547E5">
        <w:rPr>
          <w:rFonts w:ascii="Times New Roman" w:hAnsi="Times New Roman" w:cs="Times New Roman"/>
          <w:sz w:val="24"/>
          <w:szCs w:val="24"/>
        </w:rPr>
        <w:t>te</w:t>
      </w:r>
      <w:r w:rsidR="09CAB635" w:rsidRPr="00A547E5">
        <w:rPr>
          <w:rFonts w:ascii="Times New Roman" w:hAnsi="Times New Roman" w:cs="Times New Roman"/>
          <w:sz w:val="24"/>
          <w:szCs w:val="24"/>
        </w:rPr>
        <w:t>go</w:t>
      </w:r>
      <w:r w:rsidRPr="00A547E5">
        <w:rPr>
          <w:rFonts w:ascii="Times New Roman" w:hAnsi="Times New Roman" w:cs="Times New Roman"/>
          <w:sz w:val="24"/>
          <w:szCs w:val="24"/>
        </w:rPr>
        <w:t xml:space="preserve"> </w:t>
      </w:r>
      <w:r w:rsidR="32E67652" w:rsidRPr="00A547E5">
        <w:rPr>
          <w:rFonts w:ascii="Times New Roman" w:hAnsi="Times New Roman" w:cs="Times New Roman"/>
          <w:sz w:val="24"/>
          <w:szCs w:val="24"/>
        </w:rPr>
        <w:t>wskaźnika</w:t>
      </w:r>
      <w:r w:rsidRPr="00A547E5">
        <w:rPr>
          <w:rFonts w:ascii="Times New Roman" w:hAnsi="Times New Roman" w:cs="Times New Roman"/>
          <w:sz w:val="24"/>
          <w:szCs w:val="24"/>
        </w:rPr>
        <w:t xml:space="preserve"> </w:t>
      </w:r>
      <w:r w:rsidR="00535F1F" w:rsidRPr="00A547E5">
        <w:rPr>
          <w:rFonts w:ascii="Times New Roman" w:hAnsi="Times New Roman" w:cs="Times New Roman"/>
          <w:sz w:val="24"/>
          <w:szCs w:val="24"/>
        </w:rPr>
        <w:t xml:space="preserve">jako </w:t>
      </w:r>
      <w:proofErr w:type="spellStart"/>
      <w:r w:rsidR="00535F1F" w:rsidRPr="00A547E5">
        <w:rPr>
          <w:rFonts w:ascii="Times New Roman" w:hAnsi="Times New Roman" w:cs="Times New Roman"/>
          <w:sz w:val="24"/>
          <w:szCs w:val="24"/>
        </w:rPr>
        <w:t>predyktor</w:t>
      </w:r>
      <w:r w:rsidR="00FE11B6" w:rsidRPr="00A547E5">
        <w:rPr>
          <w:rFonts w:ascii="Times New Roman" w:hAnsi="Times New Roman" w:cs="Times New Roman"/>
          <w:sz w:val="24"/>
          <w:szCs w:val="24"/>
        </w:rPr>
        <w:t>a</w:t>
      </w:r>
      <w:proofErr w:type="spellEnd"/>
      <w:r w:rsidR="00535F1F" w:rsidRPr="00A547E5">
        <w:rPr>
          <w:rFonts w:ascii="Times New Roman" w:hAnsi="Times New Roman" w:cs="Times New Roman"/>
          <w:sz w:val="24"/>
          <w:szCs w:val="24"/>
        </w:rPr>
        <w:t xml:space="preserve"> lub przyczyn</w:t>
      </w:r>
      <w:r w:rsidR="008BE24E" w:rsidRPr="00A547E5">
        <w:rPr>
          <w:rFonts w:ascii="Times New Roman" w:hAnsi="Times New Roman" w:cs="Times New Roman"/>
          <w:sz w:val="24"/>
          <w:szCs w:val="24"/>
        </w:rPr>
        <w:t>y</w:t>
      </w:r>
      <w:r w:rsidR="00535F1F" w:rsidRPr="00A547E5">
        <w:rPr>
          <w:rFonts w:ascii="Times New Roman" w:hAnsi="Times New Roman" w:cs="Times New Roman"/>
          <w:sz w:val="24"/>
          <w:szCs w:val="24"/>
        </w:rPr>
        <w:t xml:space="preserve"> kontuzji wśród sportowców. </w:t>
      </w:r>
      <w:r w:rsidR="00D70764" w:rsidRPr="00A547E5">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A547E5">
        <w:rPr>
          <w:rStyle w:val="Odwoanieprzypisudolnego"/>
          <w:rFonts w:ascii="Times New Roman" w:hAnsi="Times New Roman" w:cs="Times New Roman"/>
          <w:sz w:val="24"/>
          <w:szCs w:val="24"/>
        </w:rPr>
        <w:footnoteReference w:id="11"/>
      </w:r>
      <w:r w:rsidR="00D70764" w:rsidRPr="00A547E5">
        <w:rPr>
          <w:rFonts w:ascii="Times New Roman" w:hAnsi="Times New Roman" w:cs="Times New Roman"/>
          <w:sz w:val="24"/>
          <w:szCs w:val="24"/>
        </w:rPr>
        <w:t>.</w:t>
      </w:r>
    </w:p>
    <w:p w14:paraId="0E91BEAD" w14:textId="5203B57C" w:rsidR="00FA6449" w:rsidRPr="00A547E5" w:rsidRDefault="00FE11B6" w:rsidP="00653786">
      <w:pPr>
        <w:jc w:val="both"/>
        <w:rPr>
          <w:rFonts w:ascii="Times New Roman" w:hAnsi="Times New Roman" w:cs="Times New Roman"/>
          <w:sz w:val="24"/>
          <w:szCs w:val="24"/>
        </w:rPr>
      </w:pPr>
      <w:r w:rsidRPr="00A547E5">
        <w:rPr>
          <w:rFonts w:ascii="Times New Roman" w:hAnsi="Times New Roman" w:cs="Times New Roman"/>
          <w:sz w:val="24"/>
          <w:szCs w:val="24"/>
        </w:rPr>
        <w:t>Urządzenia</w:t>
      </w:r>
      <w:r w:rsidR="00FA6449" w:rsidRPr="00A547E5">
        <w:rPr>
          <w:rFonts w:ascii="Times New Roman" w:hAnsi="Times New Roman" w:cs="Times New Roman"/>
          <w:sz w:val="24"/>
          <w:szCs w:val="24"/>
        </w:rPr>
        <w:t xml:space="preserve"> </w:t>
      </w:r>
      <w:r w:rsidR="00CA50F4" w:rsidRPr="00A547E5">
        <w:rPr>
          <w:rFonts w:ascii="Times New Roman" w:hAnsi="Times New Roman" w:cs="Times New Roman"/>
          <w:sz w:val="24"/>
          <w:szCs w:val="24"/>
        </w:rPr>
        <w:t xml:space="preserve">i technologie </w:t>
      </w:r>
      <w:r w:rsidR="00FA6449" w:rsidRPr="00A547E5">
        <w:rPr>
          <w:rFonts w:ascii="Times New Roman" w:hAnsi="Times New Roman" w:cs="Times New Roman"/>
          <w:sz w:val="24"/>
          <w:szCs w:val="24"/>
        </w:rPr>
        <w:t>ubieralne</w:t>
      </w:r>
      <w:r w:rsidR="00CA50F4" w:rsidRPr="00A547E5">
        <w:rPr>
          <w:rFonts w:ascii="Times New Roman" w:hAnsi="Times New Roman" w:cs="Times New Roman"/>
          <w:sz w:val="24"/>
          <w:szCs w:val="24"/>
        </w:rPr>
        <w:t xml:space="preserve"> okazują się być</w:t>
      </w:r>
      <w:r w:rsidR="00FA6449" w:rsidRPr="00A547E5">
        <w:rPr>
          <w:rFonts w:ascii="Times New Roman" w:hAnsi="Times New Roman" w:cs="Times New Roman"/>
          <w:sz w:val="24"/>
          <w:szCs w:val="24"/>
        </w:rPr>
        <w:t xml:space="preserve"> przydatne nie tylko w celu optymalizacji treningu, regeneracji lub </w:t>
      </w:r>
      <w:proofErr w:type="spellStart"/>
      <w:r w:rsidR="00ED6AC7" w:rsidRPr="00A547E5">
        <w:rPr>
          <w:rFonts w:ascii="Times New Roman" w:hAnsi="Times New Roman" w:cs="Times New Roman"/>
          <w:sz w:val="24"/>
          <w:szCs w:val="24"/>
        </w:rPr>
        <w:t>zachowań</w:t>
      </w:r>
      <w:proofErr w:type="spellEnd"/>
      <w:r w:rsidR="00ED6AC7" w:rsidRPr="00A547E5">
        <w:rPr>
          <w:rFonts w:ascii="Times New Roman" w:hAnsi="Times New Roman" w:cs="Times New Roman"/>
          <w:sz w:val="24"/>
          <w:szCs w:val="24"/>
        </w:rPr>
        <w:t xml:space="preserve"> sportowców. Wykazują również potencjał w usprawnieniu </w:t>
      </w:r>
      <w:r w:rsidR="00CA50F4" w:rsidRPr="00A547E5">
        <w:rPr>
          <w:rFonts w:ascii="Times New Roman" w:hAnsi="Times New Roman" w:cs="Times New Roman"/>
          <w:sz w:val="24"/>
          <w:szCs w:val="24"/>
        </w:rPr>
        <w:t xml:space="preserve">i automatyzacji </w:t>
      </w:r>
      <w:r w:rsidR="00ED6AC7" w:rsidRPr="00A547E5">
        <w:rPr>
          <w:rFonts w:ascii="Times New Roman" w:hAnsi="Times New Roman" w:cs="Times New Roman"/>
          <w:sz w:val="24"/>
          <w:szCs w:val="24"/>
        </w:rPr>
        <w:t>metod sędziowania.</w:t>
      </w:r>
      <w:r w:rsidR="00CA50F4" w:rsidRPr="00A547E5">
        <w:rPr>
          <w:rFonts w:ascii="Times New Roman" w:hAnsi="Times New Roman" w:cs="Times New Roman"/>
          <w:sz w:val="24"/>
          <w:szCs w:val="24"/>
        </w:rPr>
        <w:t xml:space="preserve"> Przykładowo, naukowcy z Uniwersytetu Griffitha zapro</w:t>
      </w:r>
      <w:r w:rsidR="000148F6" w:rsidRPr="00A547E5">
        <w:rPr>
          <w:rFonts w:ascii="Times New Roman" w:hAnsi="Times New Roman" w:cs="Times New Roman"/>
          <w:sz w:val="24"/>
          <w:szCs w:val="24"/>
        </w:rPr>
        <w:t>po</w:t>
      </w:r>
      <w:r w:rsidR="00CA50F4" w:rsidRPr="00A547E5">
        <w:rPr>
          <w:rFonts w:ascii="Times New Roman" w:hAnsi="Times New Roman" w:cs="Times New Roman"/>
          <w:sz w:val="24"/>
          <w:szCs w:val="24"/>
        </w:rPr>
        <w:t xml:space="preserve">nowali </w:t>
      </w:r>
      <w:r w:rsidR="000148F6" w:rsidRPr="00A547E5">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A547E5">
        <w:rPr>
          <w:rFonts w:ascii="Times New Roman" w:hAnsi="Times New Roman" w:cs="Times New Roman"/>
          <w:sz w:val="24"/>
          <w:szCs w:val="24"/>
        </w:rPr>
        <w:t>Au</w:t>
      </w:r>
      <w:r w:rsidR="000148F6" w:rsidRPr="00A547E5">
        <w:rPr>
          <w:rFonts w:ascii="Times New Roman" w:hAnsi="Times New Roman" w:cs="Times New Roman"/>
          <w:sz w:val="24"/>
          <w:szCs w:val="24"/>
        </w:rPr>
        <w:t xml:space="preserve">torzy sugerują, że </w:t>
      </w:r>
      <w:r w:rsidR="00640A78" w:rsidRPr="00A547E5">
        <w:rPr>
          <w:rFonts w:ascii="Times New Roman" w:hAnsi="Times New Roman" w:cs="Times New Roman"/>
          <w:sz w:val="24"/>
          <w:szCs w:val="24"/>
        </w:rPr>
        <w:t>takie wykorzystanie</w:t>
      </w:r>
      <w:r w:rsidR="000148F6" w:rsidRPr="00A547E5">
        <w:rPr>
          <w:rFonts w:ascii="Times New Roman" w:hAnsi="Times New Roman" w:cs="Times New Roman"/>
          <w:sz w:val="24"/>
          <w:szCs w:val="24"/>
        </w:rPr>
        <w:t xml:space="preserve"> technologi</w:t>
      </w:r>
      <w:r w:rsidR="00640A78" w:rsidRPr="00A547E5">
        <w:rPr>
          <w:rFonts w:ascii="Times New Roman" w:hAnsi="Times New Roman" w:cs="Times New Roman"/>
          <w:sz w:val="24"/>
          <w:szCs w:val="24"/>
        </w:rPr>
        <w:t>i</w:t>
      </w:r>
      <w:r w:rsidR="000148F6" w:rsidRPr="00A547E5">
        <w:rPr>
          <w:rFonts w:ascii="Times New Roman" w:hAnsi="Times New Roman" w:cs="Times New Roman"/>
          <w:sz w:val="24"/>
          <w:szCs w:val="24"/>
        </w:rPr>
        <w:t xml:space="preserve"> mogł</w:t>
      </w:r>
      <w:r w:rsidR="00640A78" w:rsidRPr="00A547E5">
        <w:rPr>
          <w:rFonts w:ascii="Times New Roman" w:hAnsi="Times New Roman" w:cs="Times New Roman"/>
          <w:sz w:val="24"/>
          <w:szCs w:val="24"/>
        </w:rPr>
        <w:t>o</w:t>
      </w:r>
      <w:r w:rsidR="000148F6" w:rsidRPr="00A547E5">
        <w:rPr>
          <w:rFonts w:ascii="Times New Roman" w:hAnsi="Times New Roman" w:cs="Times New Roman"/>
          <w:sz w:val="24"/>
          <w:szCs w:val="24"/>
        </w:rPr>
        <w:t xml:space="preserve">by wspierać sędziów podczas zawodów, umożliwiając </w:t>
      </w:r>
      <w:r w:rsidR="00640A78" w:rsidRPr="00A547E5">
        <w:rPr>
          <w:rFonts w:ascii="Times New Roman" w:hAnsi="Times New Roman" w:cs="Times New Roman"/>
          <w:sz w:val="24"/>
          <w:szCs w:val="24"/>
        </w:rPr>
        <w:t xml:space="preserve">im </w:t>
      </w:r>
      <w:r w:rsidR="000148F6" w:rsidRPr="00A547E5">
        <w:rPr>
          <w:rFonts w:ascii="Times New Roman" w:hAnsi="Times New Roman" w:cs="Times New Roman"/>
          <w:sz w:val="24"/>
          <w:szCs w:val="24"/>
        </w:rPr>
        <w:t xml:space="preserve">bardziej precyzyjną ocenę wyników walki </w:t>
      </w:r>
      <w:r w:rsidR="00640A78" w:rsidRPr="00A547E5">
        <w:rPr>
          <w:rFonts w:ascii="Times New Roman" w:hAnsi="Times New Roman" w:cs="Times New Roman"/>
          <w:sz w:val="24"/>
          <w:szCs w:val="24"/>
        </w:rPr>
        <w:t>oraz</w:t>
      </w:r>
      <w:r w:rsidR="000148F6" w:rsidRPr="00A547E5">
        <w:rPr>
          <w:rFonts w:ascii="Times New Roman" w:hAnsi="Times New Roman" w:cs="Times New Roman"/>
          <w:sz w:val="24"/>
          <w:szCs w:val="24"/>
        </w:rPr>
        <w:t xml:space="preserve"> zwiększając obiektywność decyzji</w:t>
      </w:r>
      <w:r w:rsidR="00640A78" w:rsidRPr="00A547E5">
        <w:rPr>
          <w:rFonts w:ascii="Times New Roman" w:hAnsi="Times New Roman" w:cs="Times New Roman"/>
          <w:sz w:val="24"/>
          <w:szCs w:val="24"/>
        </w:rPr>
        <w:t>, t</w:t>
      </w:r>
      <w:r w:rsidR="000148F6" w:rsidRPr="00A547E5">
        <w:rPr>
          <w:rFonts w:ascii="Times New Roman" w:hAnsi="Times New Roman" w:cs="Times New Roman"/>
          <w:sz w:val="24"/>
          <w:szCs w:val="24"/>
        </w:rPr>
        <w:t>ym samym wpisuj</w:t>
      </w:r>
      <w:r w:rsidR="00640A78" w:rsidRPr="00A547E5">
        <w:rPr>
          <w:rFonts w:ascii="Times New Roman" w:hAnsi="Times New Roman" w:cs="Times New Roman"/>
          <w:sz w:val="24"/>
          <w:szCs w:val="24"/>
        </w:rPr>
        <w:t>ąc</w:t>
      </w:r>
      <w:r w:rsidR="000148F6" w:rsidRPr="00A547E5">
        <w:rPr>
          <w:rFonts w:ascii="Times New Roman" w:hAnsi="Times New Roman" w:cs="Times New Roman"/>
          <w:sz w:val="24"/>
          <w:szCs w:val="24"/>
        </w:rPr>
        <w:t xml:space="preserve"> się w szerszy trend </w:t>
      </w:r>
      <w:r w:rsidR="00640A78" w:rsidRPr="00A547E5">
        <w:rPr>
          <w:rFonts w:ascii="Times New Roman" w:hAnsi="Times New Roman" w:cs="Times New Roman"/>
          <w:sz w:val="24"/>
          <w:szCs w:val="24"/>
        </w:rPr>
        <w:t xml:space="preserve">integracji </w:t>
      </w:r>
      <w:r w:rsidR="000148F6" w:rsidRPr="00A547E5">
        <w:rPr>
          <w:rFonts w:ascii="Times New Roman" w:hAnsi="Times New Roman" w:cs="Times New Roman"/>
          <w:sz w:val="24"/>
          <w:szCs w:val="24"/>
        </w:rPr>
        <w:t>system</w:t>
      </w:r>
      <w:r w:rsidR="00640A78" w:rsidRPr="00A547E5">
        <w:rPr>
          <w:rFonts w:ascii="Times New Roman" w:hAnsi="Times New Roman" w:cs="Times New Roman"/>
          <w:sz w:val="24"/>
          <w:szCs w:val="24"/>
        </w:rPr>
        <w:t>ów</w:t>
      </w:r>
      <w:r w:rsidR="000148F6" w:rsidRPr="00A547E5">
        <w:rPr>
          <w:rFonts w:ascii="Times New Roman" w:hAnsi="Times New Roman" w:cs="Times New Roman"/>
          <w:sz w:val="24"/>
          <w:szCs w:val="24"/>
        </w:rPr>
        <w:t xml:space="preserve"> automatycznej analizy danych, mający</w:t>
      </w:r>
      <w:r w:rsidR="00640A78" w:rsidRPr="00A547E5">
        <w:rPr>
          <w:rFonts w:ascii="Times New Roman" w:hAnsi="Times New Roman" w:cs="Times New Roman"/>
          <w:sz w:val="24"/>
          <w:szCs w:val="24"/>
        </w:rPr>
        <w:t>mi</w:t>
      </w:r>
      <w:r w:rsidR="000148F6" w:rsidRPr="00A547E5">
        <w:rPr>
          <w:rFonts w:ascii="Times New Roman" w:hAnsi="Times New Roman" w:cs="Times New Roman"/>
          <w:sz w:val="24"/>
          <w:szCs w:val="24"/>
        </w:rPr>
        <w:t xml:space="preserve"> na celu zwiększenie transparentności i </w:t>
      </w:r>
      <w:r w:rsidR="00640A78" w:rsidRPr="00A547E5">
        <w:rPr>
          <w:rFonts w:ascii="Times New Roman" w:hAnsi="Times New Roman" w:cs="Times New Roman"/>
          <w:sz w:val="24"/>
          <w:szCs w:val="24"/>
        </w:rPr>
        <w:t>obiektywizmu</w:t>
      </w:r>
      <w:r w:rsidR="000148F6" w:rsidRPr="00A547E5">
        <w:rPr>
          <w:rFonts w:ascii="Times New Roman" w:hAnsi="Times New Roman" w:cs="Times New Roman"/>
          <w:sz w:val="24"/>
          <w:szCs w:val="24"/>
        </w:rPr>
        <w:t xml:space="preserve"> w sporcie</w:t>
      </w:r>
      <w:r w:rsidR="00441B56" w:rsidRPr="00A547E5">
        <w:rPr>
          <w:rStyle w:val="Odwoanieprzypisudolnego"/>
          <w:rFonts w:ascii="Times New Roman" w:hAnsi="Times New Roman" w:cs="Times New Roman"/>
          <w:sz w:val="24"/>
          <w:szCs w:val="24"/>
        </w:rPr>
        <w:footnoteReference w:id="12"/>
      </w:r>
      <w:r w:rsidR="000148F6" w:rsidRPr="00A547E5">
        <w:rPr>
          <w:rFonts w:ascii="Times New Roman" w:hAnsi="Times New Roman" w:cs="Times New Roman"/>
          <w:sz w:val="24"/>
          <w:szCs w:val="24"/>
        </w:rPr>
        <w:t>.</w:t>
      </w:r>
    </w:p>
    <w:p w14:paraId="1605A886" w14:textId="05A53C4F" w:rsidR="00653786" w:rsidRPr="00A547E5" w:rsidRDefault="00653786"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Kolejną potencjalną aplikacją technologii ubieralnych </w:t>
      </w:r>
      <w:r w:rsidR="00024E56" w:rsidRPr="00A547E5">
        <w:rPr>
          <w:rFonts w:ascii="Times New Roman" w:hAnsi="Times New Roman" w:cs="Times New Roman"/>
          <w:sz w:val="24"/>
          <w:szCs w:val="24"/>
        </w:rPr>
        <w:t xml:space="preserve">w sporcie </w:t>
      </w:r>
      <w:r w:rsidRPr="00A547E5">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A547E5">
        <w:rPr>
          <w:rFonts w:ascii="Times New Roman" w:hAnsi="Times New Roman" w:cs="Times New Roman"/>
          <w:sz w:val="24"/>
          <w:szCs w:val="24"/>
        </w:rPr>
        <w:t xml:space="preserve"> ze sztangą</w:t>
      </w:r>
      <w:r w:rsidRPr="00A547E5">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A547E5">
        <w:rPr>
          <w:rStyle w:val="Odwoanieprzypisudolnego"/>
          <w:rFonts w:ascii="Times New Roman" w:hAnsi="Times New Roman" w:cs="Times New Roman"/>
          <w:sz w:val="24"/>
          <w:szCs w:val="24"/>
        </w:rPr>
        <w:footnoteReference w:id="13"/>
      </w:r>
      <w:r w:rsidRPr="00A547E5">
        <w:rPr>
          <w:rFonts w:ascii="Times New Roman" w:hAnsi="Times New Roman" w:cs="Times New Roman"/>
          <w:sz w:val="24"/>
          <w:szCs w:val="24"/>
        </w:rPr>
        <w:t>.</w:t>
      </w:r>
    </w:p>
    <w:p w14:paraId="56CC68B2" w14:textId="53E26228" w:rsidR="004F69DA" w:rsidRPr="00A547E5" w:rsidRDefault="004F69DA" w:rsidP="004F69DA">
      <w:pPr>
        <w:jc w:val="both"/>
        <w:rPr>
          <w:rFonts w:ascii="Times New Roman" w:hAnsi="Times New Roman" w:cs="Times New Roman"/>
          <w:sz w:val="24"/>
          <w:szCs w:val="24"/>
        </w:rPr>
      </w:pPr>
      <w:r w:rsidRPr="00A547E5">
        <w:rPr>
          <w:rFonts w:ascii="Times New Roman" w:hAnsi="Times New Roman" w:cs="Times New Roman"/>
          <w:sz w:val="24"/>
          <w:szCs w:val="24"/>
        </w:rPr>
        <w:t xml:space="preserve">Kolejnym zastosowaniem urządzeń ubieralnych jest medycyna i służba zdrowia. Urządzenia te pozwalają na ciągłe monitorowanie oznak fizjologicznych pacjentów i stają się coraz dokładniejsze w pomiarach. Globalne trendy oraz liczba publikacji naukowych wskazują na </w:t>
      </w:r>
      <w:r w:rsidRPr="00A547E5">
        <w:rPr>
          <w:rFonts w:ascii="Times New Roman" w:hAnsi="Times New Roman" w:cs="Times New Roman"/>
          <w:sz w:val="24"/>
          <w:szCs w:val="24"/>
        </w:rPr>
        <w:lastRenderedPageBreak/>
        <w:t>gwałtowny rozwój wykorzystania urządzeń ubieralnych w medycynie, sugerując, że w przyszłości staną się one istotnym elementem systemu opieki zdrowotnej</w:t>
      </w:r>
      <w:r w:rsidR="006963BE" w:rsidRPr="00A547E5">
        <w:rPr>
          <w:rStyle w:val="Odwoanieprzypisudolnego"/>
          <w:rFonts w:ascii="Times New Roman" w:hAnsi="Times New Roman" w:cs="Times New Roman"/>
          <w:sz w:val="24"/>
          <w:szCs w:val="24"/>
        </w:rPr>
        <w:footnoteReference w:id="14"/>
      </w:r>
      <w:r w:rsidRPr="00A547E5">
        <w:rPr>
          <w:rFonts w:ascii="Times New Roman" w:hAnsi="Times New Roman" w:cs="Times New Roman"/>
          <w:sz w:val="24"/>
          <w:szCs w:val="24"/>
        </w:rPr>
        <w:t xml:space="preserve">. </w:t>
      </w:r>
    </w:p>
    <w:p w14:paraId="005D1D3E" w14:textId="10C3B471" w:rsidR="004F69DA" w:rsidRPr="00A547E5" w:rsidRDefault="00396F5B"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00A547E5">
        <w:rPr>
          <w:rFonts w:ascii="Times New Roman" w:hAnsi="Times New Roman" w:cs="Times New Roman"/>
          <w:i/>
          <w:iCs/>
          <w:sz w:val="24"/>
          <w:szCs w:val="24"/>
        </w:rPr>
        <w:t>W</w:t>
      </w:r>
      <w:commentRangeStart w:id="3"/>
      <w:r w:rsidR="5FF5BF67" w:rsidRPr="00A547E5">
        <w:rPr>
          <w:rFonts w:ascii="Times New Roman" w:hAnsi="Times New Roman" w:cs="Times New Roman"/>
          <w:i/>
          <w:iCs/>
          <w:sz w:val="24"/>
          <w:szCs w:val="24"/>
        </w:rPr>
        <w:t>ykre</w:t>
      </w:r>
      <w:commentRangeEnd w:id="3"/>
      <w:r w:rsidRPr="00A547E5">
        <w:rPr>
          <w:rFonts w:ascii="Times New Roman" w:hAnsi="Times New Roman" w:cs="Times New Roman"/>
        </w:rPr>
        <w:commentReference w:id="3"/>
      </w:r>
      <w:r w:rsidR="5FF5BF67" w:rsidRPr="00A547E5">
        <w:rPr>
          <w:rFonts w:ascii="Times New Roman" w:hAnsi="Times New Roman" w:cs="Times New Roman"/>
          <w:i/>
          <w:iCs/>
          <w:sz w:val="24"/>
          <w:szCs w:val="24"/>
        </w:rPr>
        <w:t>s</w:t>
      </w:r>
      <w:r w:rsidRPr="00A547E5">
        <w:rPr>
          <w:rFonts w:ascii="Times New Roman" w:hAnsi="Times New Roman" w:cs="Times New Roman"/>
          <w:i/>
          <w:iCs/>
          <w:sz w:val="24"/>
          <w:szCs w:val="24"/>
        </w:rPr>
        <w:t xml:space="preserve"> 5. Liczba publikacji na temat urządzeń ubieralnych w kontekście opieki zdrowotnej i medycyny na </w:t>
      </w:r>
      <w:proofErr w:type="spellStart"/>
      <w:r w:rsidRPr="00A547E5">
        <w:rPr>
          <w:rFonts w:ascii="Times New Roman" w:hAnsi="Times New Roman" w:cs="Times New Roman"/>
          <w:i/>
          <w:iCs/>
          <w:sz w:val="24"/>
          <w:szCs w:val="24"/>
        </w:rPr>
        <w:t>PubMed</w:t>
      </w:r>
      <w:proofErr w:type="spellEnd"/>
      <w:r w:rsidRPr="00A547E5">
        <w:rPr>
          <w:rFonts w:ascii="Times New Roman" w:hAnsi="Times New Roman" w:cs="Times New Roman"/>
          <w:i/>
          <w:iCs/>
          <w:sz w:val="24"/>
          <w:szCs w:val="24"/>
        </w:rPr>
        <w:t xml:space="preserve"> (2005–2024)</w:t>
      </w:r>
    </w:p>
    <w:p w14:paraId="087FDA79" w14:textId="77777777" w:rsidR="00D50952" w:rsidRPr="00A547E5" w:rsidRDefault="00396F5B" w:rsidP="004F69DA">
      <w:pPr>
        <w:jc w:val="both"/>
        <w:rPr>
          <w:rFonts w:ascii="Times New Roman" w:hAnsi="Times New Roman" w:cs="Times New Roman"/>
          <w:i/>
          <w:iCs/>
          <w:sz w:val="24"/>
          <w:szCs w:val="24"/>
        </w:rPr>
      </w:pPr>
      <w:r w:rsidRPr="00A547E5">
        <w:rPr>
          <w:rFonts w:ascii="Times New Roman" w:hAnsi="Times New Roman" w:cs="Times New Roman"/>
          <w:i/>
          <w:iCs/>
          <w:sz w:val="24"/>
          <w:szCs w:val="24"/>
        </w:rPr>
        <w:t xml:space="preserve">Źródło: Opracowanie własne na podstawie danych z </w:t>
      </w:r>
      <w:proofErr w:type="spellStart"/>
      <w:r w:rsidRPr="00A547E5">
        <w:rPr>
          <w:rFonts w:ascii="Times New Roman" w:hAnsi="Times New Roman" w:cs="Times New Roman"/>
          <w:i/>
          <w:iCs/>
          <w:sz w:val="24"/>
          <w:szCs w:val="24"/>
        </w:rPr>
        <w:t>PubMed</w:t>
      </w:r>
      <w:proofErr w:type="spellEnd"/>
      <w:r w:rsidR="00D50952" w:rsidRPr="00A547E5">
        <w:rPr>
          <w:rStyle w:val="Odwoanieprzypisudolnego"/>
          <w:rFonts w:ascii="Times New Roman" w:hAnsi="Times New Roman" w:cs="Times New Roman"/>
          <w:i/>
          <w:iCs/>
          <w:sz w:val="24"/>
          <w:szCs w:val="24"/>
        </w:rPr>
        <w:footnoteReference w:id="15"/>
      </w:r>
    </w:p>
    <w:p w14:paraId="245A6DBB" w14:textId="61012D8B" w:rsidR="004F69DA" w:rsidRPr="00A547E5" w:rsidRDefault="004F69DA" w:rsidP="1CED051C">
      <w:pPr>
        <w:jc w:val="both"/>
        <w:rPr>
          <w:rFonts w:ascii="Times New Roman" w:hAnsi="Times New Roman" w:cs="Times New Roman"/>
          <w:i/>
          <w:iCs/>
          <w:sz w:val="24"/>
          <w:szCs w:val="24"/>
        </w:rPr>
      </w:pPr>
      <w:r w:rsidRPr="00A547E5">
        <w:rPr>
          <w:rFonts w:ascii="Times New Roman" w:hAnsi="Times New Roman" w:cs="Times New Roman"/>
          <w:sz w:val="24"/>
          <w:szCs w:val="24"/>
        </w:rPr>
        <w:t xml:space="preserve">Przykładem urządzeń używanych w służbie zdrowia są Google Glass, które </w:t>
      </w:r>
      <w:r w:rsidR="00D50952" w:rsidRPr="00A547E5">
        <w:rPr>
          <w:rFonts w:ascii="Times New Roman" w:hAnsi="Times New Roman" w:cs="Times New Roman"/>
          <w:sz w:val="24"/>
          <w:szCs w:val="24"/>
        </w:rPr>
        <w:t>wspierają proces</w:t>
      </w:r>
      <w:r w:rsidRPr="00A547E5">
        <w:rPr>
          <w:rFonts w:ascii="Times New Roman" w:hAnsi="Times New Roman" w:cs="Times New Roman"/>
          <w:sz w:val="24"/>
          <w:szCs w:val="24"/>
        </w:rPr>
        <w:t xml:space="preserve"> operacj</w:t>
      </w:r>
      <w:r w:rsidR="00D50952" w:rsidRPr="00A547E5">
        <w:rPr>
          <w:rFonts w:ascii="Times New Roman" w:hAnsi="Times New Roman" w:cs="Times New Roman"/>
          <w:sz w:val="24"/>
          <w:szCs w:val="24"/>
        </w:rPr>
        <w:t>i</w:t>
      </w:r>
      <w:r w:rsidRPr="00A547E5">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A547E5">
        <w:rPr>
          <w:rFonts w:ascii="Times New Roman" w:hAnsi="Times New Roman" w:cs="Times New Roman"/>
          <w:sz w:val="24"/>
          <w:szCs w:val="24"/>
        </w:rPr>
        <w:t>IoT</w:t>
      </w:r>
      <w:proofErr w:type="spellEnd"/>
      <w:r w:rsidRPr="00A547E5">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sidRPr="00A547E5">
        <w:rPr>
          <w:rStyle w:val="Odwoanieprzypisudolnego"/>
          <w:rFonts w:ascii="Times New Roman" w:hAnsi="Times New Roman" w:cs="Times New Roman"/>
          <w:sz w:val="24"/>
          <w:szCs w:val="24"/>
        </w:rPr>
        <w:footnoteReference w:id="16"/>
      </w:r>
      <w:r w:rsidRPr="00A547E5">
        <w:rPr>
          <w:rFonts w:ascii="Times New Roman" w:hAnsi="Times New Roman" w:cs="Times New Roman"/>
          <w:sz w:val="24"/>
          <w:szCs w:val="24"/>
        </w:rPr>
        <w:t>.</w:t>
      </w:r>
    </w:p>
    <w:p w14:paraId="2104026F" w14:textId="708472A7" w:rsidR="00312D7D" w:rsidRPr="00A547E5" w:rsidRDefault="004F69DA" w:rsidP="00653786">
      <w:pPr>
        <w:jc w:val="both"/>
        <w:rPr>
          <w:rFonts w:ascii="Times New Roman" w:hAnsi="Times New Roman" w:cs="Times New Roman"/>
          <w:sz w:val="24"/>
          <w:szCs w:val="24"/>
        </w:rPr>
      </w:pPr>
      <w:r w:rsidRPr="00A547E5">
        <w:rPr>
          <w:rFonts w:ascii="Times New Roman" w:hAnsi="Times New Roman" w:cs="Times New Roman"/>
          <w:sz w:val="24"/>
          <w:szCs w:val="24"/>
        </w:rPr>
        <w:t>PGHD (</w:t>
      </w:r>
      <w:r w:rsidR="00D50952" w:rsidRPr="00A547E5">
        <w:rPr>
          <w:rFonts w:ascii="Times New Roman" w:hAnsi="Times New Roman" w:cs="Times New Roman"/>
          <w:sz w:val="24"/>
          <w:szCs w:val="24"/>
        </w:rPr>
        <w:t>en</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i/>
          <w:iCs/>
          <w:sz w:val="24"/>
          <w:szCs w:val="24"/>
        </w:rPr>
        <w:t>Patient-Generated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Health</w:t>
      </w:r>
      <w:proofErr w:type="spellEnd"/>
      <w:r w:rsidRPr="00A547E5">
        <w:rPr>
          <w:rFonts w:ascii="Times New Roman" w:hAnsi="Times New Roman" w:cs="Times New Roman"/>
          <w:i/>
          <w:iCs/>
          <w:sz w:val="24"/>
          <w:szCs w:val="24"/>
        </w:rPr>
        <w:t xml:space="preserve"> Data</w:t>
      </w:r>
      <w:r w:rsidRPr="00A547E5">
        <w:rPr>
          <w:rFonts w:ascii="Times New Roman" w:hAnsi="Times New Roman" w:cs="Times New Roman"/>
          <w:sz w:val="24"/>
          <w:szCs w:val="24"/>
        </w:rPr>
        <w:t xml:space="preserve">) to termin odnoszący się do danych generowanych przez pacjentów. Wzrost popularności </w:t>
      </w:r>
      <w:proofErr w:type="spellStart"/>
      <w:r w:rsidR="00D50952"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A547E5">
        <w:rPr>
          <w:rFonts w:ascii="Times New Roman" w:hAnsi="Times New Roman" w:cs="Times New Roman"/>
          <w:sz w:val="24"/>
          <w:szCs w:val="24"/>
        </w:rPr>
        <w:t>przekazywać</w:t>
      </w:r>
      <w:r w:rsidRPr="00A547E5">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sidRPr="00A547E5">
        <w:rPr>
          <w:rFonts w:ascii="Times New Roman" w:hAnsi="Times New Roman" w:cs="Times New Roman"/>
          <w:sz w:val="24"/>
          <w:szCs w:val="24"/>
        </w:rPr>
        <w:t>ów</w:t>
      </w:r>
      <w:r w:rsidRPr="00A547E5">
        <w:rPr>
          <w:rFonts w:ascii="Times New Roman" w:hAnsi="Times New Roman" w:cs="Times New Roman"/>
          <w:sz w:val="24"/>
          <w:szCs w:val="24"/>
        </w:rPr>
        <w:t xml:space="preserve"> ochrony zdrowia. PGHD ma </w:t>
      </w:r>
      <w:r w:rsidRPr="00A547E5">
        <w:rPr>
          <w:rFonts w:ascii="Times New Roman" w:hAnsi="Times New Roman" w:cs="Times New Roman"/>
          <w:sz w:val="24"/>
          <w:szCs w:val="24"/>
        </w:rPr>
        <w:lastRenderedPageBreak/>
        <w:t>potencjał, aby zrewolucjonizować tradycyjne modele opieki zdrowotnej, dając pacjentom większą kontrolę nad ich zdrowiem i procesem leczenia</w:t>
      </w:r>
      <w:r w:rsidR="006963BE" w:rsidRPr="00A547E5">
        <w:rPr>
          <w:rStyle w:val="Odwoanieprzypisudolnego"/>
          <w:rFonts w:ascii="Times New Roman" w:hAnsi="Times New Roman" w:cs="Times New Roman"/>
          <w:sz w:val="24"/>
          <w:szCs w:val="24"/>
        </w:rPr>
        <w:footnoteReference w:id="17"/>
      </w:r>
      <w:r w:rsidRPr="00A547E5">
        <w:rPr>
          <w:rFonts w:ascii="Times New Roman" w:hAnsi="Times New Roman" w:cs="Times New Roman"/>
          <w:sz w:val="24"/>
          <w:szCs w:val="24"/>
        </w:rPr>
        <w:t>.</w:t>
      </w:r>
    </w:p>
    <w:p w14:paraId="2BA5EB82" w14:textId="77777777" w:rsidR="00CB286D" w:rsidRPr="00A547E5" w:rsidRDefault="00CB286D" w:rsidP="00CB286D">
      <w:pPr>
        <w:jc w:val="both"/>
        <w:rPr>
          <w:rFonts w:ascii="Times New Roman" w:hAnsi="Times New Roman" w:cs="Times New Roman"/>
          <w:b/>
          <w:bCs/>
          <w:sz w:val="28"/>
          <w:szCs w:val="28"/>
        </w:rPr>
      </w:pPr>
      <w:r w:rsidRPr="00A547E5">
        <w:rPr>
          <w:rFonts w:ascii="Times New Roman" w:hAnsi="Times New Roman" w:cs="Times New Roman"/>
          <w:b/>
          <w:bCs/>
          <w:sz w:val="28"/>
          <w:szCs w:val="28"/>
        </w:rPr>
        <w:t>2 Metodologia</w:t>
      </w:r>
    </w:p>
    <w:p w14:paraId="1748954F" w14:textId="77777777"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2.1 Eksploracyjna analiza danych (EDA)</w:t>
      </w:r>
    </w:p>
    <w:p w14:paraId="239E1099" w14:textId="32ED90BE"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w:t>
      </w:r>
      <w:r w:rsidR="008D0578" w:rsidRPr="00A547E5">
        <w:rPr>
          <w:rFonts w:ascii="Times New Roman" w:hAnsi="Times New Roman" w:cs="Times New Roman"/>
          <w:i/>
          <w:iCs/>
          <w:sz w:val="24"/>
          <w:szCs w:val="24"/>
        </w:rPr>
        <w:t xml:space="preserve">en. </w:t>
      </w:r>
      <w:proofErr w:type="spellStart"/>
      <w:r w:rsidR="008D0578" w:rsidRPr="00A547E5">
        <w:rPr>
          <w:rFonts w:ascii="Times New Roman" w:hAnsi="Times New Roman" w:cs="Times New Roman"/>
          <w:i/>
          <w:iCs/>
          <w:sz w:val="24"/>
          <w:szCs w:val="24"/>
        </w:rPr>
        <w:t>Exploratory</w:t>
      </w:r>
      <w:proofErr w:type="spellEnd"/>
      <w:r w:rsidR="008D0578" w:rsidRPr="00A547E5">
        <w:rPr>
          <w:rFonts w:ascii="Times New Roman" w:hAnsi="Times New Roman" w:cs="Times New Roman"/>
          <w:i/>
          <w:iCs/>
          <w:sz w:val="24"/>
          <w:szCs w:val="24"/>
        </w:rPr>
        <w:t xml:space="preserve"> data </w:t>
      </w:r>
      <w:proofErr w:type="spellStart"/>
      <w:r w:rsidR="008D0578" w:rsidRPr="00A547E5">
        <w:rPr>
          <w:rFonts w:ascii="Times New Roman" w:hAnsi="Times New Roman" w:cs="Times New Roman"/>
          <w:i/>
          <w:iCs/>
          <w:sz w:val="24"/>
          <w:szCs w:val="24"/>
        </w:rPr>
        <w:t>analysis</w:t>
      </w:r>
      <w:proofErr w:type="spellEnd"/>
      <w:r w:rsidR="008D0578" w:rsidRPr="00A547E5">
        <w:rPr>
          <w:rFonts w:ascii="Times New Roman" w:hAnsi="Times New Roman" w:cs="Times New Roman"/>
          <w:i/>
          <w:iCs/>
          <w:sz w:val="24"/>
          <w:szCs w:val="24"/>
        </w:rPr>
        <w:t>, EDA</w:t>
      </w:r>
      <w:r w:rsidR="008D0578" w:rsidRPr="00A547E5">
        <w:rPr>
          <w:rFonts w:ascii="Times New Roman" w:hAnsi="Times New Roman" w:cs="Times New Roman"/>
          <w:sz w:val="24"/>
          <w:szCs w:val="24"/>
        </w:rPr>
        <w:t>)</w:t>
      </w:r>
      <w:r w:rsidRPr="00A547E5">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sidRPr="00A547E5">
        <w:rPr>
          <w:rStyle w:val="Odwoanieprzypisudolnego"/>
          <w:rFonts w:ascii="Times New Roman" w:hAnsi="Times New Roman" w:cs="Times New Roman"/>
          <w:sz w:val="24"/>
          <w:szCs w:val="24"/>
        </w:rPr>
        <w:footnoteReference w:id="18"/>
      </w:r>
      <w:r w:rsidRPr="00A547E5">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Czyszczenie danych jest kolejnym podstawowym zadaniem EDA. Większość zestawów danych generowanych współcześnie zawiera brakujące wartoś</w:t>
      </w:r>
      <w:r w:rsidR="00E7111E" w:rsidRPr="00A547E5">
        <w:rPr>
          <w:rFonts w:ascii="Times New Roman" w:hAnsi="Times New Roman" w:cs="Times New Roman"/>
          <w:sz w:val="24"/>
          <w:szCs w:val="24"/>
        </w:rPr>
        <w:t>c</w:t>
      </w:r>
      <w:r w:rsidRPr="00A547E5">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Pr="00A547E5" w:rsidRDefault="00FE1DB2"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w:t>
      </w:r>
      <w:r w:rsidRPr="00A547E5">
        <w:rPr>
          <w:rFonts w:ascii="Times New Roman" w:hAnsi="Times New Roman" w:cs="Times New Roman"/>
          <w:sz w:val="24"/>
          <w:szCs w:val="24"/>
        </w:rPr>
        <w:lastRenderedPageBreak/>
        <w:t xml:space="preserve">zbioru danych na grupy i na tej podstawie liczenie osobnej miary dla każdej grupy. </w:t>
      </w:r>
      <w:r w:rsidR="00321821" w:rsidRPr="00A547E5">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sidRPr="00A547E5">
        <w:rPr>
          <w:rStyle w:val="Odwoanieprzypisudolnego"/>
          <w:rFonts w:ascii="Times New Roman" w:hAnsi="Times New Roman" w:cs="Times New Roman"/>
          <w:sz w:val="24"/>
          <w:szCs w:val="24"/>
        </w:rPr>
        <w:footnoteReference w:id="19"/>
      </w:r>
      <w:r w:rsidR="00321821" w:rsidRPr="00A547E5">
        <w:rPr>
          <w:rFonts w:ascii="Times New Roman" w:hAnsi="Times New Roman" w:cs="Times New Roman"/>
          <w:sz w:val="24"/>
          <w:szCs w:val="24"/>
        </w:rPr>
        <w:t>.</w:t>
      </w:r>
    </w:p>
    <w:p w14:paraId="7A625739" w14:textId="4F250B1C" w:rsidR="00CB286D" w:rsidRPr="00A547E5" w:rsidRDefault="00AA19AB" w:rsidP="00E7111E">
      <w:pPr>
        <w:jc w:val="both"/>
        <w:rPr>
          <w:rFonts w:ascii="Times New Roman" w:hAnsi="Times New Roman" w:cs="Times New Roman"/>
          <w:sz w:val="24"/>
          <w:szCs w:val="24"/>
        </w:rPr>
      </w:pPr>
      <w:r w:rsidRPr="00A547E5">
        <w:rPr>
          <w:rFonts w:ascii="Times New Roman" w:hAnsi="Times New Roman" w:cs="Times New Roman"/>
          <w:sz w:val="24"/>
          <w:szCs w:val="24"/>
        </w:rPr>
        <w:t>Wartości skrajne to obserwacje znacząco odbiegające od typowego wzorca danych lub niepowiązane z innymi obiektami w zbiorze. Ich obecność może w niektórych przypadkach nadmiernie wpływać na analizę, prowadzić do błędnych wniosków i ostatecznie</w:t>
      </w:r>
      <w:r w:rsidR="008D0578" w:rsidRPr="00A547E5">
        <w:rPr>
          <w:rFonts w:ascii="Times New Roman" w:hAnsi="Times New Roman" w:cs="Times New Roman"/>
          <w:sz w:val="24"/>
          <w:szCs w:val="24"/>
        </w:rPr>
        <w:t xml:space="preserve"> nietrafionych</w:t>
      </w:r>
      <w:r w:rsidRPr="00A547E5">
        <w:rPr>
          <w:rFonts w:ascii="Times New Roman" w:hAnsi="Times New Roman" w:cs="Times New Roman"/>
          <w:sz w:val="24"/>
          <w:szCs w:val="24"/>
        </w:rPr>
        <w:t xml:space="preserve"> decyzji</w:t>
      </w:r>
      <w:r w:rsidR="005C18AC" w:rsidRPr="00A547E5">
        <w:rPr>
          <w:rStyle w:val="Odwoanieprzypisudolnego"/>
          <w:rFonts w:ascii="Times New Roman" w:hAnsi="Times New Roman" w:cs="Times New Roman"/>
          <w:sz w:val="24"/>
          <w:szCs w:val="24"/>
        </w:rPr>
        <w:footnoteReference w:id="20"/>
      </w:r>
      <w:r w:rsidRPr="00A547E5">
        <w:rPr>
          <w:rFonts w:ascii="Times New Roman" w:hAnsi="Times New Roman" w:cs="Times New Roman"/>
          <w:sz w:val="24"/>
          <w:szCs w:val="24"/>
        </w:rPr>
        <w:t xml:space="preserve">. </w:t>
      </w:r>
      <w:r w:rsidR="00CB286D" w:rsidRPr="00A547E5">
        <w:rPr>
          <w:rFonts w:ascii="Times New Roman" w:hAnsi="Times New Roman" w:cs="Times New Roman"/>
          <w:sz w:val="24"/>
          <w:szCs w:val="24"/>
        </w:rPr>
        <w:t xml:space="preserve">Pomimo tego, że identyfikacja wartości skrajnych jest bardziej zaawansowanym zadaniem </w:t>
      </w:r>
      <w:r w:rsidRPr="00A547E5">
        <w:rPr>
          <w:rFonts w:ascii="Times New Roman" w:hAnsi="Times New Roman" w:cs="Times New Roman"/>
          <w:sz w:val="24"/>
          <w:szCs w:val="24"/>
        </w:rPr>
        <w:t xml:space="preserve">od </w:t>
      </w:r>
      <w:r w:rsidR="005C18AC" w:rsidRPr="00A547E5">
        <w:rPr>
          <w:rFonts w:ascii="Times New Roman" w:hAnsi="Times New Roman" w:cs="Times New Roman"/>
          <w:sz w:val="24"/>
          <w:szCs w:val="24"/>
        </w:rPr>
        <w:t xml:space="preserve">znajdowania brakujących wartości, </w:t>
      </w:r>
      <w:r w:rsidR="00CB286D" w:rsidRPr="00A547E5">
        <w:rPr>
          <w:rFonts w:ascii="Times New Roman" w:hAnsi="Times New Roman" w:cs="Times New Roman"/>
          <w:sz w:val="24"/>
          <w:szCs w:val="24"/>
        </w:rPr>
        <w:t>istnieje wiele metod na ich identyfikację.</w:t>
      </w:r>
    </w:p>
    <w:p w14:paraId="68B8E556" w14:textId="77777777" w:rsidR="003D44F2" w:rsidRPr="00A547E5" w:rsidRDefault="003D44F2" w:rsidP="003D44F2">
      <w:pPr>
        <w:jc w:val="both"/>
        <w:rPr>
          <w:rFonts w:ascii="Times New Roman" w:hAnsi="Times New Roman" w:cs="Times New Roman"/>
          <w:sz w:val="24"/>
          <w:szCs w:val="24"/>
        </w:rPr>
      </w:pPr>
      <w:r w:rsidRPr="00A547E5">
        <w:rPr>
          <w:rFonts w:ascii="Times New Roman" w:hAnsi="Times New Roman" w:cs="Times New Roman"/>
          <w:sz w:val="24"/>
          <w:szCs w:val="24"/>
        </w:rPr>
        <w:t xml:space="preserve">Jedną z najprostszych sformalizowanych metod identyfikacji wartości skrajnych jest metoda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xml:space="preserve">. Wartości skrajne oznaczane na wykresach pudełkowych są rozpoznawane przy pomocy tej metody. Obserwacja zostanie uznana za skrajną, jeżeli wartość badanej cechy znajduje się w odległości 1,5 razy rozstęp </w:t>
      </w:r>
      <w:proofErr w:type="spellStart"/>
      <w:r w:rsidRPr="00A547E5">
        <w:rPr>
          <w:rFonts w:ascii="Times New Roman" w:hAnsi="Times New Roman" w:cs="Times New Roman"/>
          <w:sz w:val="24"/>
          <w:szCs w:val="24"/>
        </w:rPr>
        <w:t>międzykwartylowy</w:t>
      </w:r>
      <w:proofErr w:type="spellEnd"/>
      <w:r w:rsidRPr="00A547E5">
        <w:rPr>
          <w:rFonts w:ascii="Times New Roman" w:hAnsi="Times New Roman" w:cs="Times New Roman"/>
          <w:sz w:val="24"/>
          <w:szCs w:val="24"/>
        </w:rPr>
        <w:t xml:space="preserve"> (IQR) poniżej pierwszego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(Q1) lub powyżej trzeciego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(Q3). Matematycznie granice wykrywania wartości skrajnych można wyrazić jako</w:t>
      </w:r>
      <w:r w:rsidRPr="00A547E5">
        <w:rPr>
          <w:rStyle w:val="Odwoanieprzypisudolnego"/>
          <w:rFonts w:ascii="Times New Roman" w:hAnsi="Times New Roman" w:cs="Times New Roman"/>
          <w:sz w:val="24"/>
          <w:szCs w:val="24"/>
        </w:rPr>
        <w:footnoteReference w:id="21"/>
      </w:r>
      <w:r w:rsidRPr="00A547E5">
        <w:rPr>
          <w:rFonts w:ascii="Times New Roman" w:hAnsi="Times New Roman" w:cs="Times New Roman"/>
          <w:sz w:val="24"/>
          <w:szCs w:val="24"/>
        </w:rPr>
        <w:t>:</w:t>
      </w:r>
    </w:p>
    <w:p w14:paraId="18430B88"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Pr="00A547E5"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A547E5" w:rsidRDefault="00E7111E" w:rsidP="00E7111E">
      <w:pPr>
        <w:jc w:val="both"/>
        <w:rPr>
          <w:rFonts w:ascii="Times New Roman" w:eastAsiaTheme="minorEastAsia" w:hAnsi="Times New Roman" w:cs="Times New Roman"/>
          <w:sz w:val="24"/>
          <w:szCs w:val="24"/>
        </w:rPr>
      </w:pPr>
      <w:r w:rsidRPr="00A547E5">
        <w:rPr>
          <w:rFonts w:ascii="Times New Roman" w:hAnsi="Times New Roman" w:cs="Times New Roman"/>
          <w:sz w:val="24"/>
          <w:szCs w:val="24"/>
        </w:rPr>
        <w:t xml:space="preserve">Wizualizacja danych może </w:t>
      </w:r>
      <w:r w:rsidR="003D44F2" w:rsidRPr="00A547E5">
        <w:rPr>
          <w:rFonts w:ascii="Times New Roman" w:hAnsi="Times New Roman" w:cs="Times New Roman"/>
          <w:sz w:val="24"/>
          <w:szCs w:val="24"/>
        </w:rPr>
        <w:t xml:space="preserve">również </w:t>
      </w:r>
      <w:r w:rsidRPr="00A547E5">
        <w:rPr>
          <w:rFonts w:ascii="Times New Roman" w:hAnsi="Times New Roman" w:cs="Times New Roman"/>
          <w:sz w:val="24"/>
          <w:szCs w:val="24"/>
        </w:rPr>
        <w:t>d</w:t>
      </w:r>
      <w:r w:rsidR="003D44F2" w:rsidRPr="00A547E5">
        <w:rPr>
          <w:rFonts w:ascii="Times New Roman" w:hAnsi="Times New Roman" w:cs="Times New Roman"/>
          <w:sz w:val="24"/>
          <w:szCs w:val="24"/>
        </w:rPr>
        <w:t>ostarczać</w:t>
      </w:r>
      <w:r w:rsidRPr="00A547E5">
        <w:rPr>
          <w:rFonts w:ascii="Times New Roman" w:hAnsi="Times New Roman" w:cs="Times New Roman"/>
          <w:sz w:val="24"/>
          <w:szCs w:val="24"/>
        </w:rPr>
        <w:t xml:space="preserve"> </w:t>
      </w:r>
      <w:r w:rsidR="003D44F2" w:rsidRPr="00A547E5">
        <w:rPr>
          <w:rFonts w:ascii="Times New Roman" w:hAnsi="Times New Roman" w:cs="Times New Roman"/>
          <w:sz w:val="24"/>
          <w:szCs w:val="24"/>
        </w:rPr>
        <w:t>informacji</w:t>
      </w:r>
      <w:r w:rsidRPr="00A547E5">
        <w:rPr>
          <w:rFonts w:ascii="Times New Roman" w:hAnsi="Times New Roman" w:cs="Times New Roman"/>
          <w:sz w:val="24"/>
          <w:szCs w:val="24"/>
        </w:rPr>
        <w:t xml:space="preserve"> w kontekście identyfikacji wartości skrajnych. Zaobserwowanie stosunkowo mało licznych przedziałów w</w:t>
      </w:r>
      <w:r w:rsidR="009A2418" w:rsidRPr="00A547E5">
        <w:rPr>
          <w:rFonts w:ascii="Times New Roman" w:hAnsi="Times New Roman" w:cs="Times New Roman"/>
          <w:sz w:val="24"/>
          <w:szCs w:val="24"/>
        </w:rPr>
        <w:t xml:space="preserve"> dalekich</w:t>
      </w:r>
      <w:r w:rsidRPr="00A547E5">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sidRPr="00A547E5">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sidRPr="00A547E5">
        <w:rPr>
          <w:rFonts w:ascii="Times New Roman" w:hAnsi="Times New Roman" w:cs="Times New Roman"/>
          <w:sz w:val="24"/>
          <w:szCs w:val="24"/>
        </w:rPr>
        <w:t xml:space="preserve"> dwóch</w:t>
      </w:r>
      <w:r w:rsidR="009A2418" w:rsidRPr="00A547E5">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00A547E5">
        <w:rPr>
          <w:rFonts w:ascii="Times New Roman" w:hAnsi="Times New Roman" w:cs="Times New Roman"/>
          <w:i/>
          <w:iCs/>
          <w:sz w:val="24"/>
          <w:szCs w:val="24"/>
        </w:rPr>
        <w:t>Wykres 6. Rozkład syntetycznych zmiennych x i y.</w:t>
      </w:r>
    </w:p>
    <w:p w14:paraId="7EFA5BA3" w14:textId="73947DAD" w:rsidR="009A2418" w:rsidRPr="00A547E5" w:rsidRDefault="009A2418"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6FFD8523" w14:textId="092C15FC" w:rsidR="009A2418" w:rsidRPr="00A547E5" w:rsidRDefault="009A241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sidRPr="00A547E5">
        <w:rPr>
          <w:rFonts w:ascii="Times New Roman" w:hAnsi="Times New Roman" w:cs="Times New Roman"/>
          <w:sz w:val="24"/>
          <w:szCs w:val="24"/>
        </w:rPr>
        <w:t>zidentyfikować</w:t>
      </w:r>
      <w:r w:rsidRPr="00A547E5">
        <w:rPr>
          <w:rFonts w:ascii="Times New Roman" w:hAnsi="Times New Roman" w:cs="Times New Roman"/>
          <w:sz w:val="24"/>
          <w:szCs w:val="24"/>
        </w:rPr>
        <w:t xml:space="preserve"> nietypową obserwację, która istotnie odbiega od trendu, pomimo tego, że </w:t>
      </w:r>
      <w:r w:rsidR="00156E11" w:rsidRPr="00A547E5">
        <w:rPr>
          <w:rFonts w:ascii="Times New Roman" w:hAnsi="Times New Roman" w:cs="Times New Roman"/>
          <w:sz w:val="24"/>
          <w:szCs w:val="24"/>
        </w:rPr>
        <w:t>x=8 i y=13,5 nie są wartościami nietypowymi w kontekście zmiennych badanych pojedynczo.</w:t>
      </w:r>
    </w:p>
    <w:p w14:paraId="5C4B7660" w14:textId="16414973" w:rsidR="00156E11"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7. Związek zmiennych x i y.</w:t>
      </w:r>
    </w:p>
    <w:p w14:paraId="2075C078" w14:textId="60658925" w:rsidR="003D44F2"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4164953D" w14:textId="59F87920"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sz w:val="24"/>
          <w:szCs w:val="24"/>
        </w:rPr>
        <w:t>Przykład</w:t>
      </w:r>
      <w:r w:rsidR="003D44F2" w:rsidRPr="00A547E5">
        <w:rPr>
          <w:rFonts w:ascii="Times New Roman" w:hAnsi="Times New Roman" w:cs="Times New Roman"/>
          <w:sz w:val="24"/>
          <w:szCs w:val="24"/>
        </w:rPr>
        <w:t xml:space="preserve"> ilustruje</w:t>
      </w:r>
      <w:r w:rsidRPr="00A547E5">
        <w:rPr>
          <w:rFonts w:ascii="Times New Roman" w:hAnsi="Times New Roman" w:cs="Times New Roman"/>
          <w:sz w:val="24"/>
          <w:szCs w:val="24"/>
        </w:rPr>
        <w:t xml:space="preserve"> potencjał wizualizacji danych w kontekście identyfikacji wartości skrajnych</w:t>
      </w:r>
      <w:r w:rsidR="003D44F2" w:rsidRPr="00A547E5">
        <w:rPr>
          <w:rFonts w:ascii="Times New Roman" w:hAnsi="Times New Roman" w:cs="Times New Roman"/>
          <w:sz w:val="24"/>
          <w:szCs w:val="24"/>
        </w:rPr>
        <w:t>, jednocześnie pokazując</w:t>
      </w:r>
      <w:r w:rsidRPr="00A547E5">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sidRPr="00A547E5">
        <w:rPr>
          <w:rFonts w:ascii="Times New Roman" w:hAnsi="Times New Roman" w:cs="Times New Roman"/>
          <w:sz w:val="24"/>
          <w:szCs w:val="24"/>
        </w:rPr>
        <w:t>w wielu przypadkach skuteczniejsze oraz bardziej formalne wyniki identyfikacji wartości skrajnych.</w:t>
      </w:r>
      <w:r w:rsidRPr="00A547E5">
        <w:rPr>
          <w:rFonts w:ascii="Times New Roman" w:hAnsi="Times New Roman" w:cs="Times New Roman"/>
          <w:sz w:val="24"/>
          <w:szCs w:val="24"/>
        </w:rPr>
        <w:t xml:space="preserve"> </w:t>
      </w:r>
    </w:p>
    <w:p w14:paraId="4079FB99" w14:textId="41C7131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w:t>
      </w:r>
      <w:r w:rsidRPr="00A547E5">
        <w:rPr>
          <w:rFonts w:ascii="Times New Roman" w:hAnsi="Times New Roman" w:cs="Times New Roman"/>
          <w:sz w:val="24"/>
          <w:szCs w:val="24"/>
        </w:rPr>
        <w:lastRenderedPageBreak/>
        <w:t>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A547E5" w:rsidRDefault="008949D9" w:rsidP="00E7111E">
      <w:pPr>
        <w:jc w:val="both"/>
        <w:rPr>
          <w:rFonts w:ascii="Times New Roman" w:hAnsi="Times New Roman" w:cs="Times New Roman"/>
          <w:sz w:val="24"/>
          <w:szCs w:val="24"/>
        </w:rPr>
      </w:pPr>
      <w:r w:rsidRPr="00A547E5">
        <w:rPr>
          <w:rFonts w:ascii="Times New Roman" w:hAnsi="Times New Roman" w:cs="Times New Roman"/>
          <w:sz w:val="24"/>
          <w:szCs w:val="24"/>
        </w:rPr>
        <w:t>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informowana  rezultatami wcześniejszej analizy eksploracyjnej. 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Ważnym aspektem eksploracyjnych metod analizy danych jest </w:t>
      </w:r>
      <w:r w:rsidR="00E7111E" w:rsidRPr="00A547E5">
        <w:rPr>
          <w:rFonts w:ascii="Times New Roman" w:hAnsi="Times New Roman" w:cs="Times New Roman"/>
          <w:sz w:val="24"/>
          <w:szCs w:val="24"/>
        </w:rPr>
        <w:t>świadomość</w:t>
      </w:r>
      <w:r w:rsidRPr="00A547E5">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sidRPr="00A547E5">
        <w:rPr>
          <w:rStyle w:val="Odwoanieprzypisudolnego"/>
          <w:rFonts w:ascii="Times New Roman" w:hAnsi="Times New Roman" w:cs="Times New Roman"/>
          <w:sz w:val="24"/>
          <w:szCs w:val="24"/>
        </w:rPr>
        <w:footnoteReference w:id="22"/>
      </w:r>
      <w:r w:rsidRPr="00A547E5">
        <w:rPr>
          <w:rFonts w:ascii="Times New Roman" w:hAnsi="Times New Roman" w:cs="Times New Roman"/>
          <w:sz w:val="24"/>
          <w:szCs w:val="24"/>
        </w:rPr>
        <w:t>.</w:t>
      </w:r>
    </w:p>
    <w:p w14:paraId="3B4AECEE" w14:textId="5B62C8FB"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2.2 </w:t>
      </w:r>
      <w:r w:rsidR="00BF07D6" w:rsidRPr="00A547E5">
        <w:rPr>
          <w:rFonts w:ascii="Times New Roman" w:hAnsi="Times New Roman" w:cs="Times New Roman"/>
          <w:b/>
          <w:bCs/>
          <w:sz w:val="24"/>
          <w:szCs w:val="24"/>
        </w:rPr>
        <w:t xml:space="preserve">Statystyka i wnioskowanie </w:t>
      </w:r>
      <w:proofErr w:type="spellStart"/>
      <w:r w:rsidR="00BF07D6" w:rsidRPr="00A547E5">
        <w:rPr>
          <w:rFonts w:ascii="Times New Roman" w:hAnsi="Times New Roman" w:cs="Times New Roman"/>
          <w:b/>
          <w:bCs/>
          <w:sz w:val="24"/>
          <w:szCs w:val="24"/>
        </w:rPr>
        <w:t>Bayesowskie</w:t>
      </w:r>
      <w:proofErr w:type="spellEnd"/>
    </w:p>
    <w:p w14:paraId="44704279"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Czym jest i dlaczego analiza przyczynowa jest istotna?</w:t>
      </w:r>
    </w:p>
    <w:p w14:paraId="21B2F7E5"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Podejście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w analizie przyczynowej, programowanie probabilistyczne</w:t>
      </w:r>
    </w:p>
    <w:p w14:paraId="69DCE128" w14:textId="77777777" w:rsidR="00CB286D" w:rsidRPr="00A547E5" w:rsidRDefault="00CB286D" w:rsidP="00E7111E">
      <w:pPr>
        <w:numPr>
          <w:ilvl w:val="1"/>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Zalety, ukazywanie pełnej niepewności w </w:t>
      </w:r>
      <w:proofErr w:type="spellStart"/>
      <w:r w:rsidRPr="00A547E5">
        <w:rPr>
          <w:rFonts w:ascii="Times New Roman" w:hAnsi="Times New Roman" w:cs="Times New Roman"/>
          <w:sz w:val="24"/>
          <w:szCs w:val="24"/>
        </w:rPr>
        <w:t>estymatach</w:t>
      </w:r>
      <w:proofErr w:type="spellEnd"/>
      <w:r w:rsidRPr="00A547E5">
        <w:rPr>
          <w:rFonts w:ascii="Times New Roman" w:hAnsi="Times New Roman" w:cs="Times New Roman"/>
          <w:sz w:val="24"/>
          <w:szCs w:val="24"/>
        </w:rPr>
        <w:t xml:space="preserve"> i parametrach</w:t>
      </w:r>
    </w:p>
    <w:p w14:paraId="59B6BAFC" w14:textId="77777777" w:rsidR="00CB286D" w:rsidRPr="00A547E5" w:rsidRDefault="00CB286D" w:rsidP="00E7111E">
      <w:pPr>
        <w:numPr>
          <w:ilvl w:val="1"/>
          <w:numId w:val="11"/>
        </w:numPr>
        <w:jc w:val="both"/>
        <w:rPr>
          <w:rFonts w:ascii="Times New Roman" w:hAnsi="Times New Roman" w:cs="Times New Roman"/>
          <w:b/>
          <w:bCs/>
          <w:sz w:val="24"/>
          <w:szCs w:val="24"/>
        </w:rPr>
      </w:pPr>
      <w:proofErr w:type="spellStart"/>
      <w:r w:rsidRPr="00A547E5">
        <w:rPr>
          <w:rFonts w:ascii="Times New Roman" w:hAnsi="Times New Roman" w:cs="Times New Roman"/>
          <w:sz w:val="24"/>
          <w:szCs w:val="24"/>
        </w:rPr>
        <w:lastRenderedPageBreak/>
        <w:t>Mozliwosc</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transpartnego</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enkodowania</w:t>
      </w:r>
      <w:proofErr w:type="spellEnd"/>
      <w:r w:rsidRPr="00A547E5">
        <w:rPr>
          <w:rFonts w:ascii="Times New Roman" w:hAnsi="Times New Roman" w:cs="Times New Roman"/>
          <w:sz w:val="24"/>
          <w:szCs w:val="24"/>
        </w:rPr>
        <w:t xml:space="preserve"> założeń do modelu (Przykład </w:t>
      </w:r>
      <w:proofErr w:type="spellStart"/>
      <w:r w:rsidRPr="00A547E5">
        <w:rPr>
          <w:rFonts w:ascii="Times New Roman" w:hAnsi="Times New Roman" w:cs="Times New Roman"/>
          <w:sz w:val="24"/>
          <w:szCs w:val="24"/>
        </w:rPr>
        <w:t>heteroskedastycznosci</w:t>
      </w:r>
      <w:proofErr w:type="spellEnd"/>
      <w:r w:rsidRPr="00A547E5">
        <w:rPr>
          <w:rFonts w:ascii="Times New Roman" w:hAnsi="Times New Roman" w:cs="Times New Roman"/>
          <w:sz w:val="24"/>
          <w:szCs w:val="24"/>
        </w:rPr>
        <w:t xml:space="preserve"> i sigmy jako funkcji liniowej zmiennej x)</w:t>
      </w:r>
    </w:p>
    <w:p w14:paraId="52302E43"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Istotność transparentności przyjmowanych założeń oraz konkretności pytań badawczych</w:t>
      </w:r>
    </w:p>
    <w:p w14:paraId="1D6B9C94" w14:textId="77777777" w:rsidR="00CB286D" w:rsidRPr="00A547E5" w:rsidRDefault="00CB286D" w:rsidP="00E7111E">
      <w:pPr>
        <w:numPr>
          <w:ilvl w:val="0"/>
          <w:numId w:val="11"/>
        </w:numPr>
        <w:jc w:val="both"/>
        <w:rPr>
          <w:rFonts w:ascii="Times New Roman" w:hAnsi="Times New Roman" w:cs="Times New Roman"/>
          <w:b/>
          <w:bCs/>
          <w:sz w:val="24"/>
          <w:szCs w:val="24"/>
          <w:lang w:val="en-US"/>
        </w:rPr>
      </w:pPr>
      <w:r w:rsidRPr="00A547E5">
        <w:rPr>
          <w:rFonts w:ascii="Times New Roman" w:hAnsi="Times New Roman" w:cs="Times New Roman"/>
          <w:sz w:val="24"/>
          <w:szCs w:val="24"/>
          <w:lang w:val="en-US"/>
        </w:rPr>
        <w:t xml:space="preserve">DAGi, Backdoor Criterion, </w:t>
      </w:r>
      <w:proofErr w:type="spellStart"/>
      <w:r w:rsidRPr="00A547E5">
        <w:rPr>
          <w:rFonts w:ascii="Times New Roman" w:hAnsi="Times New Roman" w:cs="Times New Roman"/>
          <w:sz w:val="24"/>
          <w:szCs w:val="24"/>
          <w:lang w:val="en-US"/>
        </w:rPr>
        <w:t>identyfikacja</w:t>
      </w:r>
      <w:proofErr w:type="spellEnd"/>
      <w:r w:rsidRPr="00A547E5">
        <w:rPr>
          <w:rFonts w:ascii="Times New Roman" w:hAnsi="Times New Roman" w:cs="Times New Roman"/>
          <w:sz w:val="24"/>
          <w:szCs w:val="24"/>
          <w:lang w:val="en-US"/>
        </w:rPr>
        <w:t xml:space="preserve"> confounding variables </w:t>
      </w:r>
      <w:proofErr w:type="spellStart"/>
      <w:r w:rsidRPr="00A547E5">
        <w:rPr>
          <w:rFonts w:ascii="Times New Roman" w:hAnsi="Times New Roman" w:cs="Times New Roman"/>
          <w:sz w:val="24"/>
          <w:szCs w:val="24"/>
          <w:lang w:val="en-US"/>
        </w:rPr>
        <w:t>i</w:t>
      </w:r>
      <w:proofErr w:type="spellEnd"/>
      <w:r w:rsidRPr="00A547E5">
        <w:rPr>
          <w:rFonts w:ascii="Times New Roman" w:hAnsi="Times New Roman" w:cs="Times New Roman"/>
          <w:sz w:val="24"/>
          <w:szCs w:val="24"/>
          <w:lang w:val="en-US"/>
        </w:rPr>
        <w:t xml:space="preserve"> </w:t>
      </w:r>
      <w:proofErr w:type="spellStart"/>
      <w:r w:rsidRPr="00A547E5">
        <w:rPr>
          <w:rFonts w:ascii="Times New Roman" w:hAnsi="Times New Roman" w:cs="Times New Roman"/>
          <w:sz w:val="24"/>
          <w:szCs w:val="24"/>
          <w:lang w:val="en-US"/>
        </w:rPr>
        <w:t>wybór</w:t>
      </w:r>
      <w:proofErr w:type="spellEnd"/>
      <w:r w:rsidRPr="00A547E5">
        <w:rPr>
          <w:rFonts w:ascii="Times New Roman" w:hAnsi="Times New Roman" w:cs="Times New Roman"/>
          <w:sz w:val="24"/>
          <w:szCs w:val="24"/>
          <w:lang w:val="en-US"/>
        </w:rPr>
        <w:t xml:space="preserve"> adjustment set</w:t>
      </w:r>
    </w:p>
    <w:p w14:paraId="4462A43F"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Generatywne symulacje danych syntetycznych w celu odzyskania ustalonych parametrów symulacji w modelu statystycznym.</w:t>
      </w:r>
    </w:p>
    <w:p w14:paraId="484BB94D" w14:textId="370FF574"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Współczesna analiza danych opiera się na dwóch dominujących paradygmatach statystycznych: statystyce częstościowej (en. </w:t>
      </w:r>
      <w:proofErr w:type="spellStart"/>
      <w:r w:rsidRPr="00A547E5">
        <w:rPr>
          <w:rFonts w:ascii="Times New Roman" w:hAnsi="Times New Roman" w:cs="Times New Roman"/>
          <w:i/>
          <w:iCs/>
          <w:sz w:val="24"/>
          <w:szCs w:val="24"/>
        </w:rPr>
        <w:t>Frequentist</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oraz statystyce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(en. </w:t>
      </w:r>
      <w:proofErr w:type="spellStart"/>
      <w:r w:rsidRPr="00A547E5">
        <w:rPr>
          <w:rFonts w:ascii="Times New Roman" w:hAnsi="Times New Roman" w:cs="Times New Roman"/>
          <w:i/>
          <w:iCs/>
          <w:sz w:val="24"/>
          <w:szCs w:val="24"/>
        </w:rPr>
        <w:t>Bayesian</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w:t>
      </w:r>
      <w:r w:rsidR="00F1285E">
        <w:rPr>
          <w:rFonts w:ascii="Times New Roman" w:hAnsi="Times New Roman" w:cs="Times New Roman"/>
          <w:sz w:val="24"/>
          <w:szCs w:val="24"/>
        </w:rPr>
        <w:t xml:space="preserve">Metody statystyczne są środkami pozwalającymi na uwzględnianie błędów pomiaru oraz niepewności, dlatego główna różnica pomiędzy szkołami statystycznymi </w:t>
      </w:r>
      <w:r w:rsidR="00F1285E" w:rsidRPr="00F1285E">
        <w:rPr>
          <w:rFonts w:ascii="Times New Roman" w:hAnsi="Times New Roman" w:cs="Times New Roman"/>
          <w:sz w:val="24"/>
          <w:szCs w:val="24"/>
        </w:rPr>
        <w:t xml:space="preserve">sprowadza się w istocie do odmiennej interpretacji natury i </w:t>
      </w:r>
      <w:r w:rsidR="00F1285E">
        <w:rPr>
          <w:rFonts w:ascii="Times New Roman" w:hAnsi="Times New Roman" w:cs="Times New Roman"/>
          <w:sz w:val="24"/>
          <w:szCs w:val="24"/>
        </w:rPr>
        <w:t>korzeni pochodzenia</w:t>
      </w:r>
      <w:r w:rsidR="00F1285E" w:rsidRPr="00F1285E">
        <w:rPr>
          <w:rFonts w:ascii="Times New Roman" w:hAnsi="Times New Roman" w:cs="Times New Roman"/>
          <w:sz w:val="24"/>
          <w:szCs w:val="24"/>
        </w:rPr>
        <w:t xml:space="preserve"> prawdopodobieństwa.</w:t>
      </w:r>
      <w:r w:rsidR="00F1285E">
        <w:rPr>
          <w:rFonts w:ascii="Times New Roman" w:hAnsi="Times New Roman" w:cs="Times New Roman"/>
          <w:sz w:val="24"/>
          <w:szCs w:val="24"/>
        </w:rPr>
        <w:t xml:space="preserve"> </w:t>
      </w:r>
      <w:r w:rsidRPr="00A547E5">
        <w:rPr>
          <w:rFonts w:ascii="Times New Roman" w:hAnsi="Times New Roman" w:cs="Times New Roman"/>
          <w:sz w:val="24"/>
          <w:szCs w:val="24"/>
        </w:rPr>
        <w:t xml:space="preserve">Statystyka częstościowa, będąca przez dziesięciolecia standardowym podejściem akademickim, wywodzi się z klasycznych definicji prawdopodobieństwa formułowanych m.in. przez Jacoba </w:t>
      </w:r>
      <w:proofErr w:type="spellStart"/>
      <w:r w:rsidRPr="00A547E5">
        <w:rPr>
          <w:rFonts w:ascii="Times New Roman" w:hAnsi="Times New Roman" w:cs="Times New Roman"/>
          <w:sz w:val="24"/>
          <w:szCs w:val="24"/>
        </w:rPr>
        <w:t>Bernoulliego</w:t>
      </w:r>
      <w:proofErr w:type="spellEnd"/>
      <w:r w:rsidRPr="00A547E5">
        <w:rPr>
          <w:rFonts w:ascii="Times New Roman" w:hAnsi="Times New Roman" w:cs="Times New Roman"/>
          <w:sz w:val="24"/>
          <w:szCs w:val="24"/>
        </w:rPr>
        <w:t>. W tym podejściu prawdopodobieństwo rozumiane jest jako długookresowa częstość występowania danego zdarzenia w hipotetycznie nieskończonej liczbie powtórzeń tego samego eksperymentu.</w:t>
      </w:r>
    </w:p>
    <w:p w14:paraId="1C10AA0C" w14:textId="78333FF8"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Kluczową cechą statystyki </w:t>
      </w:r>
      <w:r w:rsidR="00127809">
        <w:rPr>
          <w:rFonts w:ascii="Times New Roman" w:hAnsi="Times New Roman" w:cs="Times New Roman"/>
          <w:sz w:val="24"/>
          <w:szCs w:val="24"/>
        </w:rPr>
        <w:t>częstościowej</w:t>
      </w:r>
      <w:r w:rsidRPr="00A547E5">
        <w:rPr>
          <w:rFonts w:ascii="Times New Roman" w:hAnsi="Times New Roman" w:cs="Times New Roman"/>
          <w:sz w:val="24"/>
          <w:szCs w:val="24"/>
        </w:rPr>
        <w:t xml:space="preserve"> jest to, że wnioskowanie opiera się wyłącznie na tzw. </w:t>
      </w:r>
      <w:proofErr w:type="spellStart"/>
      <w:r w:rsidRPr="00A547E5">
        <w:rPr>
          <w:rFonts w:ascii="Times New Roman" w:hAnsi="Times New Roman" w:cs="Times New Roman"/>
          <w:i/>
          <w:iCs/>
          <w:sz w:val="24"/>
          <w:szCs w:val="24"/>
        </w:rPr>
        <w:t>sampling</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probability</w:t>
      </w:r>
      <w:proofErr w:type="spellEnd"/>
      <w:r w:rsidRPr="00A547E5">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A547E5">
        <w:rPr>
          <w:rFonts w:ascii="Times New Roman" w:hAnsi="Times New Roman" w:cs="Times New Roman"/>
          <w:i/>
          <w:iCs/>
          <w:sz w:val="24"/>
          <w:szCs w:val="24"/>
        </w:rPr>
        <w:t>jak bardzo nasze dane są zgodne z hipotezą zerową?</w:t>
      </w:r>
    </w:p>
    <w:p w14:paraId="4658577D" w14:textId="3EB2FDD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Podejście</w:t>
      </w:r>
      <w:r w:rsidR="0059547B" w:rsidRPr="00A547E5">
        <w:rPr>
          <w:rFonts w:ascii="Times New Roman" w:hAnsi="Times New Roman" w:cs="Times New Roman"/>
          <w:sz w:val="24"/>
          <w:szCs w:val="24"/>
        </w:rPr>
        <w:t xml:space="preserve"> </w:t>
      </w:r>
      <w:proofErr w:type="spellStart"/>
      <w:r w:rsidR="0059547B" w:rsidRPr="00A547E5">
        <w:rPr>
          <w:rFonts w:ascii="Times New Roman" w:hAnsi="Times New Roman" w:cs="Times New Roman"/>
          <w:sz w:val="24"/>
          <w:szCs w:val="24"/>
        </w:rPr>
        <w:t>bayesowsk</w:t>
      </w:r>
      <w:r w:rsidRPr="00A547E5">
        <w:rPr>
          <w:rFonts w:ascii="Times New Roman" w:hAnsi="Times New Roman" w:cs="Times New Roman"/>
          <w:sz w:val="24"/>
          <w:szCs w:val="24"/>
        </w:rPr>
        <w:t>ie</w:t>
      </w:r>
      <w:proofErr w:type="spellEnd"/>
      <w:r w:rsidR="0059547B" w:rsidRPr="00A547E5">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sidRPr="00A547E5">
        <w:rPr>
          <w:rFonts w:ascii="Times New Roman" w:hAnsi="Times New Roman" w:cs="Times New Roman"/>
          <w:sz w:val="24"/>
          <w:szCs w:val="24"/>
        </w:rPr>
        <w:t>oparciu o</w:t>
      </w:r>
      <w:r w:rsidR="0059547B" w:rsidRPr="00A547E5">
        <w:rPr>
          <w:rFonts w:ascii="Times New Roman" w:hAnsi="Times New Roman" w:cs="Times New Roman"/>
          <w:sz w:val="24"/>
          <w:szCs w:val="24"/>
        </w:rPr>
        <w:t xml:space="preserve"> now</w:t>
      </w:r>
      <w:r w:rsidRPr="00A547E5">
        <w:rPr>
          <w:rFonts w:ascii="Times New Roman" w:hAnsi="Times New Roman" w:cs="Times New Roman"/>
          <w:sz w:val="24"/>
          <w:szCs w:val="24"/>
        </w:rPr>
        <w:t>e obserwacje</w:t>
      </w:r>
      <w:r w:rsidR="00980D75" w:rsidRPr="00A547E5">
        <w:rPr>
          <w:rFonts w:ascii="Times New Roman" w:hAnsi="Times New Roman" w:cs="Times New Roman"/>
          <w:sz w:val="24"/>
          <w:szCs w:val="24"/>
        </w:rPr>
        <w:t>.</w:t>
      </w:r>
      <w:r w:rsidR="0059547B" w:rsidRPr="00A547E5">
        <w:rPr>
          <w:rFonts w:ascii="Times New Roman" w:hAnsi="Times New Roman" w:cs="Times New Roman"/>
          <w:sz w:val="24"/>
          <w:szCs w:val="24"/>
        </w:rPr>
        <w:t xml:space="preserve"> W ujęciu </w:t>
      </w:r>
      <w:proofErr w:type="spellStart"/>
      <w:r w:rsidR="0059547B" w:rsidRPr="00A547E5">
        <w:rPr>
          <w:rFonts w:ascii="Times New Roman" w:hAnsi="Times New Roman" w:cs="Times New Roman"/>
          <w:sz w:val="24"/>
          <w:szCs w:val="24"/>
        </w:rPr>
        <w:t>bayesowskim</w:t>
      </w:r>
      <w:proofErr w:type="spellEnd"/>
      <w:r w:rsidR="0059547B" w:rsidRPr="00A547E5">
        <w:rPr>
          <w:rFonts w:ascii="Times New Roman" w:hAnsi="Times New Roman" w:cs="Times New Roman"/>
          <w:sz w:val="24"/>
          <w:szCs w:val="24"/>
        </w:rPr>
        <w:t xml:space="preserve"> interesuje nas więc nie tylko prawdopodobieństwo danych przy założeniu hipotezy, ale również prawdopodobieństwo hipotezy przy uwzględnieniu danych (</w:t>
      </w:r>
      <w:r w:rsidRPr="00A547E5">
        <w:rPr>
          <w:rFonts w:ascii="Times New Roman" w:hAnsi="Times New Roman" w:cs="Times New Roman"/>
          <w:sz w:val="24"/>
          <w:szCs w:val="24"/>
        </w:rPr>
        <w:t xml:space="preserve">en. </w:t>
      </w:r>
      <w:proofErr w:type="spellStart"/>
      <w:r w:rsidR="0059547B" w:rsidRPr="00A547E5">
        <w:rPr>
          <w:rFonts w:ascii="Times New Roman" w:hAnsi="Times New Roman" w:cs="Times New Roman"/>
          <w:i/>
          <w:iCs/>
          <w:sz w:val="24"/>
          <w:szCs w:val="24"/>
        </w:rPr>
        <w:t>inferential</w:t>
      </w:r>
      <w:proofErr w:type="spellEnd"/>
      <w:r w:rsidR="0059547B" w:rsidRPr="00A547E5">
        <w:rPr>
          <w:rFonts w:ascii="Times New Roman" w:hAnsi="Times New Roman" w:cs="Times New Roman"/>
          <w:i/>
          <w:iCs/>
          <w:sz w:val="24"/>
          <w:szCs w:val="24"/>
        </w:rPr>
        <w:t xml:space="preserve"> </w:t>
      </w:r>
      <w:proofErr w:type="spellStart"/>
      <w:r w:rsidR="0059547B" w:rsidRPr="00A547E5">
        <w:rPr>
          <w:rFonts w:ascii="Times New Roman" w:hAnsi="Times New Roman" w:cs="Times New Roman"/>
          <w:i/>
          <w:iCs/>
          <w:sz w:val="24"/>
          <w:szCs w:val="24"/>
        </w:rPr>
        <w:t>probability</w:t>
      </w:r>
      <w:proofErr w:type="spellEnd"/>
      <w:r w:rsidR="0059547B" w:rsidRPr="00A547E5">
        <w:rPr>
          <w:rFonts w:ascii="Times New Roman" w:hAnsi="Times New Roman" w:cs="Times New Roman"/>
          <w:sz w:val="24"/>
          <w:szCs w:val="24"/>
        </w:rPr>
        <w:t xml:space="preserve">). Innymi słowy, </w:t>
      </w:r>
      <w:r w:rsidRPr="00A547E5">
        <w:rPr>
          <w:rFonts w:ascii="Times New Roman" w:hAnsi="Times New Roman" w:cs="Times New Roman"/>
          <w:sz w:val="24"/>
          <w:szCs w:val="24"/>
        </w:rPr>
        <w:t>pytanie</w:t>
      </w:r>
      <w:r w:rsidR="0059547B" w:rsidRPr="00A547E5">
        <w:rPr>
          <w:rFonts w:ascii="Times New Roman" w:hAnsi="Times New Roman" w:cs="Times New Roman"/>
          <w:sz w:val="24"/>
          <w:szCs w:val="24"/>
        </w:rPr>
        <w:t xml:space="preserve"> brzmi: </w:t>
      </w:r>
      <w:r w:rsidR="0059547B" w:rsidRPr="00A547E5">
        <w:rPr>
          <w:rFonts w:ascii="Times New Roman" w:hAnsi="Times New Roman" w:cs="Times New Roman"/>
          <w:i/>
          <w:iCs/>
          <w:sz w:val="24"/>
          <w:szCs w:val="24"/>
        </w:rPr>
        <w:t>jak bardzo możemy wierzyć w daną hipotezę, mając do dyspozycji określony zbiór obserwacji?</w:t>
      </w:r>
    </w:p>
    <w:p w14:paraId="46213B0A" w14:textId="762AE126"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S</w:t>
      </w:r>
      <w:r w:rsidR="0059547B" w:rsidRPr="00A547E5">
        <w:rPr>
          <w:rFonts w:ascii="Times New Roman" w:hAnsi="Times New Roman" w:cs="Times New Roman"/>
          <w:sz w:val="24"/>
          <w:szCs w:val="24"/>
        </w:rPr>
        <w:t xml:space="preserve">tatystyka </w:t>
      </w:r>
      <w:proofErr w:type="spellStart"/>
      <w:r w:rsidR="0059547B" w:rsidRPr="00A547E5">
        <w:rPr>
          <w:rFonts w:ascii="Times New Roman" w:hAnsi="Times New Roman" w:cs="Times New Roman"/>
          <w:sz w:val="24"/>
          <w:szCs w:val="24"/>
        </w:rPr>
        <w:t>bayesowska</w:t>
      </w:r>
      <w:proofErr w:type="spellEnd"/>
      <w:r w:rsidR="0059547B" w:rsidRPr="00A547E5">
        <w:rPr>
          <w:rFonts w:ascii="Times New Roman" w:hAnsi="Times New Roman" w:cs="Times New Roman"/>
          <w:sz w:val="24"/>
          <w:szCs w:val="24"/>
        </w:rPr>
        <w:t xml:space="preserve"> zakłada, że mniej prawdopodobne (lub bardziej kontrowersyjne) hipotezy wymagają silniejszych dowodów, aby mogły zostać uznane za wiarygodne. Efekt ten osiąga się poprzez zastosowanie twierdzenia Bayesa, które pozwala na łączenie wcześniejszych przekonań (</w:t>
      </w:r>
      <w:r w:rsidRPr="00A547E5">
        <w:rPr>
          <w:rFonts w:ascii="Times New Roman" w:hAnsi="Times New Roman" w:cs="Times New Roman"/>
          <w:sz w:val="24"/>
          <w:szCs w:val="24"/>
        </w:rPr>
        <w:t>rozkład a priori</w:t>
      </w:r>
      <w:r w:rsidR="0059547B" w:rsidRPr="00A547E5">
        <w:rPr>
          <w:rFonts w:ascii="Times New Roman" w:hAnsi="Times New Roman" w:cs="Times New Roman"/>
          <w:sz w:val="24"/>
          <w:szCs w:val="24"/>
        </w:rPr>
        <w:t xml:space="preserve">) z nowymi obserwacjami, prowadząc do otrzymania rozkładów </w:t>
      </w:r>
      <w:r w:rsidRPr="00A547E5">
        <w:rPr>
          <w:rFonts w:ascii="Times New Roman" w:hAnsi="Times New Roman" w:cs="Times New Roman"/>
          <w:sz w:val="24"/>
          <w:szCs w:val="24"/>
        </w:rPr>
        <w:t xml:space="preserve">a </w:t>
      </w:r>
      <w:r w:rsidR="0059547B" w:rsidRPr="00A547E5">
        <w:rPr>
          <w:rFonts w:ascii="Times New Roman" w:hAnsi="Times New Roman" w:cs="Times New Roman"/>
          <w:sz w:val="24"/>
          <w:szCs w:val="24"/>
        </w:rPr>
        <w:t xml:space="preserve">posteriori – pełnych rozkładów </w:t>
      </w:r>
      <w:r w:rsidRPr="00A547E5">
        <w:rPr>
          <w:rFonts w:ascii="Times New Roman" w:hAnsi="Times New Roman" w:cs="Times New Roman"/>
          <w:sz w:val="24"/>
          <w:szCs w:val="24"/>
        </w:rPr>
        <w:t xml:space="preserve">wartości </w:t>
      </w:r>
      <w:r w:rsidR="0059547B" w:rsidRPr="00A547E5">
        <w:rPr>
          <w:rFonts w:ascii="Times New Roman" w:hAnsi="Times New Roman" w:cs="Times New Roman"/>
          <w:sz w:val="24"/>
          <w:szCs w:val="24"/>
        </w:rPr>
        <w:t>dotyczących poszczególnych parametrów modelu.</w:t>
      </w:r>
      <w:r w:rsidRPr="00A547E5">
        <w:rPr>
          <w:rFonts w:ascii="Times New Roman" w:hAnsi="Times New Roman" w:cs="Times New Roman"/>
          <w:sz w:val="24"/>
          <w:szCs w:val="24"/>
        </w:rPr>
        <w:t xml:space="preserve"> Dostęp do pełnych rozkładów jest jedną z główny zalet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ponieważ umożliwia doskonałe możliwości rozumowania w warunkach niepewności.</w:t>
      </w:r>
    </w:p>
    <w:p w14:paraId="7B639E0E" w14:textId="60C72486" w:rsidR="0059547B" w:rsidRPr="00A547E5" w:rsidRDefault="0059547B"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Wielu zwolenników statystyki </w:t>
      </w:r>
      <w:r w:rsidR="001C3CE4" w:rsidRPr="00A547E5">
        <w:rPr>
          <w:rFonts w:ascii="Times New Roman" w:hAnsi="Times New Roman" w:cs="Times New Roman"/>
          <w:sz w:val="24"/>
          <w:szCs w:val="24"/>
        </w:rPr>
        <w:t>częstościowej</w:t>
      </w:r>
      <w:r w:rsidRPr="00A547E5">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sidRPr="00A547E5">
        <w:rPr>
          <w:rFonts w:ascii="Times New Roman" w:hAnsi="Times New Roman" w:cs="Times New Roman"/>
          <w:sz w:val="24"/>
          <w:szCs w:val="24"/>
        </w:rPr>
        <w:t>, odtwarzalnych</w:t>
      </w:r>
      <w:r w:rsidRPr="00A547E5">
        <w:rPr>
          <w:rFonts w:ascii="Times New Roman" w:hAnsi="Times New Roman" w:cs="Times New Roman"/>
          <w:sz w:val="24"/>
          <w:szCs w:val="24"/>
        </w:rPr>
        <w:t xml:space="preserve"> badań) niekoniecznie czyni dane podejście bardziej obiektywnym. Statystyka </w:t>
      </w:r>
      <w:proofErr w:type="spellStart"/>
      <w:r w:rsidRPr="00A547E5">
        <w:rPr>
          <w:rFonts w:ascii="Times New Roman" w:hAnsi="Times New Roman" w:cs="Times New Roman"/>
          <w:sz w:val="24"/>
          <w:szCs w:val="24"/>
        </w:rPr>
        <w:t>bayesowska</w:t>
      </w:r>
      <w:proofErr w:type="spellEnd"/>
      <w:r w:rsidRPr="00A547E5">
        <w:rPr>
          <w:rFonts w:ascii="Times New Roman" w:hAnsi="Times New Roman" w:cs="Times New Roman"/>
          <w:sz w:val="24"/>
          <w:szCs w:val="24"/>
        </w:rPr>
        <w:t xml:space="preserve"> umożliwia bowiem </w:t>
      </w:r>
      <w:r w:rsidR="001C3CE4" w:rsidRPr="00A547E5">
        <w:rPr>
          <w:rFonts w:ascii="Times New Roman" w:hAnsi="Times New Roman" w:cs="Times New Roman"/>
          <w:sz w:val="24"/>
          <w:szCs w:val="24"/>
        </w:rPr>
        <w:t xml:space="preserve">naturalne, </w:t>
      </w:r>
      <w:r w:rsidRPr="00A547E5">
        <w:rPr>
          <w:rFonts w:ascii="Times New Roman" w:hAnsi="Times New Roman" w:cs="Times New Roman"/>
          <w:sz w:val="24"/>
          <w:szCs w:val="24"/>
        </w:rPr>
        <w:t>formalne</w:t>
      </w:r>
      <w:r w:rsidR="001C3CE4" w:rsidRPr="00A547E5">
        <w:rPr>
          <w:rFonts w:ascii="Times New Roman" w:hAnsi="Times New Roman" w:cs="Times New Roman"/>
          <w:sz w:val="24"/>
          <w:szCs w:val="24"/>
        </w:rPr>
        <w:t xml:space="preserve"> </w:t>
      </w:r>
      <w:r w:rsidRPr="00A547E5">
        <w:rPr>
          <w:rFonts w:ascii="Times New Roman" w:hAnsi="Times New Roman" w:cs="Times New Roman"/>
          <w:sz w:val="24"/>
          <w:szCs w:val="24"/>
        </w:rPr>
        <w:t>uwzględnienie wiedzy dziedzinowej lub wyników wcześniejszych badań jako rozkładów a priori</w:t>
      </w:r>
      <w:r w:rsidR="001C3CE4" w:rsidRPr="00A547E5">
        <w:rPr>
          <w:rFonts w:ascii="Times New Roman" w:hAnsi="Times New Roman" w:cs="Times New Roman"/>
          <w:sz w:val="24"/>
          <w:szCs w:val="24"/>
        </w:rPr>
        <w:t>.</w:t>
      </w:r>
    </w:p>
    <w:p w14:paraId="3BBE676C" w14:textId="0E823F8B" w:rsidR="001C3CE4" w:rsidRPr="00A547E5" w:rsidRDefault="001C3CE4" w:rsidP="00E7111E">
      <w:pPr>
        <w:jc w:val="both"/>
        <w:rPr>
          <w:rFonts w:ascii="Times New Roman" w:hAnsi="Times New Roman" w:cs="Times New Roman"/>
          <w:sz w:val="24"/>
          <w:szCs w:val="24"/>
        </w:rPr>
      </w:pPr>
      <w:r w:rsidRPr="00A547E5">
        <w:rPr>
          <w:rFonts w:ascii="Times New Roman" w:hAnsi="Times New Roman" w:cs="Times New Roman"/>
          <w:sz w:val="24"/>
          <w:szCs w:val="24"/>
        </w:rPr>
        <w:t>----TODO-----</w:t>
      </w:r>
    </w:p>
    <w:p w14:paraId="7D9E0AB9" w14:textId="0F299193"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t>Twierdzenie Bayesa</w:t>
      </w:r>
    </w:p>
    <w:p w14:paraId="22E6D00B" w14:textId="2C32CAC4"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Przykład konkurencji hipotez (choroba, objawy) używając P(D|H) i P(H|D)</w:t>
      </w:r>
    </w:p>
    <w:p w14:paraId="1F2F34FD" w14:textId="77C52FF4"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2.3 Analiza predykcyjna i uczenie maszynowe</w:t>
      </w:r>
    </w:p>
    <w:p w14:paraId="71109C0F"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Zalety metod uczenia maszynowego (szybkość generowania predykcji, trenowania modeli, wysoka dokładność, umożliwienie przez szybkie i dostępne komputery)</w:t>
      </w:r>
    </w:p>
    <w:p w14:paraId="253FD699"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Klasyfikacja </w:t>
      </w:r>
      <w:proofErr w:type="spellStart"/>
      <w:r w:rsidRPr="00A547E5">
        <w:rPr>
          <w:rFonts w:ascii="Times New Roman" w:hAnsi="Times New Roman" w:cs="Times New Roman"/>
          <w:sz w:val="24"/>
          <w:szCs w:val="24"/>
        </w:rPr>
        <w:t>multiklasowa</w:t>
      </w:r>
      <w:proofErr w:type="spellEnd"/>
      <w:r w:rsidRPr="00A547E5">
        <w:rPr>
          <w:rFonts w:ascii="Times New Roman" w:hAnsi="Times New Roman" w:cs="Times New Roman"/>
          <w:sz w:val="24"/>
          <w:szCs w:val="24"/>
        </w:rPr>
        <w:t>, metody</w:t>
      </w:r>
    </w:p>
    <w:p w14:paraId="1D187BD5" w14:textId="77777777" w:rsidR="00CB286D" w:rsidRPr="00A547E5" w:rsidRDefault="00CB286D" w:rsidP="00E7111E">
      <w:pPr>
        <w:jc w:val="both"/>
        <w:rPr>
          <w:rFonts w:ascii="Times New Roman" w:hAnsi="Times New Roman" w:cs="Times New Roman"/>
          <w:b/>
          <w:bCs/>
          <w:sz w:val="28"/>
          <w:szCs w:val="28"/>
        </w:rPr>
      </w:pPr>
      <w:r w:rsidRPr="00A547E5">
        <w:rPr>
          <w:rFonts w:ascii="Times New Roman" w:hAnsi="Times New Roman" w:cs="Times New Roman"/>
          <w:b/>
          <w:bCs/>
          <w:sz w:val="28"/>
          <w:szCs w:val="28"/>
        </w:rPr>
        <w:t>3 Analiza Danych</w:t>
      </w:r>
    </w:p>
    <w:p w14:paraId="4F536276" w14:textId="7777777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Analiza własna została przeprowadzona w trzech odrębnych, ale powiązanych i równie istotnych etapach, które odpowiadają strukturze rozdziału drugiego. W pierwszej sekcji wykorzystane zostaną eksploracyjne metody analizy danych w celu dogłębnego zapoznania się z zestawem danych i jego lepszego zrozumienia. Druga sekcja będzie poświęcona analizie </w:t>
      </w:r>
      <w:proofErr w:type="spellStart"/>
      <w:r w:rsidRPr="00A547E5">
        <w:rPr>
          <w:rFonts w:ascii="Times New Roman" w:hAnsi="Times New Roman" w:cs="Times New Roman"/>
          <w:sz w:val="24"/>
          <w:szCs w:val="24"/>
        </w:rPr>
        <w:t>przyczynowo-skutkowej</w:t>
      </w:r>
      <w:proofErr w:type="spellEnd"/>
      <w:r w:rsidRPr="00A547E5">
        <w:rPr>
          <w:rFonts w:ascii="Times New Roman" w:hAnsi="Times New Roman" w:cs="Times New Roman"/>
          <w:sz w:val="24"/>
          <w:szCs w:val="24"/>
        </w:rPr>
        <w:t xml:space="preserve"> i spróbuje odpowiedzieć na pytanie dotyczące relacji przyczynowych pomiędzy różnymi zmiennymi.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 dotyczące gotowości wykorzystywania urządzeń ubieralnych do dokładnego przewidywania poziomu stresu użytkowników w czasie rzeczywistym. Zostaną opracowane modele uczenia maszynowego, które będą przewidywać odczuwany poziom stresu na podstawie innych zmiennych.</w:t>
      </w:r>
    </w:p>
    <w:p w14:paraId="13D439B5" w14:textId="45C674F9"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Wykorzystywany zbiór danych obejmuje dane z urządzeń ubieralnych noszonych przez piętnaście pielęgniarek, które monitorowały m.in. tętno, reakcję </w:t>
      </w:r>
      <w:proofErr w:type="spellStart"/>
      <w:r w:rsidR="008D0578" w:rsidRPr="00A547E5">
        <w:rPr>
          <w:rFonts w:ascii="Times New Roman" w:hAnsi="Times New Roman" w:cs="Times New Roman"/>
          <w:sz w:val="24"/>
          <w:szCs w:val="24"/>
        </w:rPr>
        <w:t>elektrodermalną</w:t>
      </w:r>
      <w:proofErr w:type="spellEnd"/>
      <w:r w:rsidR="008D0578" w:rsidRPr="00A547E5">
        <w:rPr>
          <w:rFonts w:ascii="Times New Roman" w:hAnsi="Times New Roman" w:cs="Times New Roman"/>
          <w:sz w:val="24"/>
          <w:szCs w:val="24"/>
        </w:rPr>
        <w:t xml:space="preserve"> </w:t>
      </w:r>
      <w:r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en. </w:t>
      </w:r>
      <w:proofErr w:type="spellStart"/>
      <w:r w:rsidRPr="00A547E5">
        <w:rPr>
          <w:rFonts w:ascii="Times New Roman" w:hAnsi="Times New Roman" w:cs="Times New Roman"/>
          <w:i/>
          <w:iCs/>
          <w:sz w:val="24"/>
          <w:szCs w:val="24"/>
        </w:rPr>
        <w:t>Electrodermal</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activity</w:t>
      </w:r>
      <w:proofErr w:type="spellEnd"/>
      <w:r w:rsidRPr="00A547E5">
        <w:rPr>
          <w:rFonts w:ascii="Times New Roman" w:hAnsi="Times New Roman" w:cs="Times New Roman"/>
          <w:i/>
          <w:iCs/>
          <w:sz w:val="24"/>
          <w:szCs w:val="24"/>
        </w:rPr>
        <w:t>, EDA</w:t>
      </w:r>
      <w:r w:rsidRPr="00A547E5">
        <w:rPr>
          <w:rFonts w:ascii="Times New Roman" w:hAnsi="Times New Roman" w:cs="Times New Roman"/>
          <w:sz w:val="24"/>
          <w:szCs w:val="24"/>
        </w:rPr>
        <w:t>) oraz temperaturę skóry.</w:t>
      </w:r>
    </w:p>
    <w:p w14:paraId="615EAF1C" w14:textId="610523BD" w:rsidR="00E7111E" w:rsidRPr="00A547E5" w:rsidRDefault="00E7111E"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3.1 Eksploracyjna analiza danych (EDA)</w:t>
      </w:r>
    </w:p>
    <w:p w14:paraId="203FF6A3" w14:textId="2CEBEF25"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Podczas eksploracji danych duży nacisk położono na procesowanie danych przygotowujących je do dalszej analizy. Dokonano </w:t>
      </w:r>
      <w:r w:rsidR="00FE1DB2" w:rsidRPr="00A547E5">
        <w:rPr>
          <w:rFonts w:ascii="Times New Roman" w:hAnsi="Times New Roman" w:cs="Times New Roman"/>
          <w:sz w:val="24"/>
          <w:szCs w:val="24"/>
        </w:rPr>
        <w:t>ponownego próbkowania</w:t>
      </w:r>
      <w:r w:rsidRPr="00A547E5">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sidRPr="00A547E5">
        <w:rPr>
          <w:rFonts w:ascii="Times New Roman" w:hAnsi="Times New Roman" w:cs="Times New Roman"/>
          <w:sz w:val="24"/>
          <w:szCs w:val="24"/>
        </w:rPr>
        <w:t>, przy jednoczesnym zachowaniu informacji umożliwiających eksploracyjną analizę danych</w:t>
      </w:r>
      <w:r w:rsidRPr="00A547E5">
        <w:rPr>
          <w:rFonts w:ascii="Times New Roman" w:hAnsi="Times New Roman" w:cs="Times New Roman"/>
          <w:sz w:val="24"/>
          <w:szCs w:val="24"/>
        </w:rPr>
        <w:t>.</w:t>
      </w:r>
    </w:p>
    <w:p w14:paraId="50E57D6B" w14:textId="7091811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 kolejnym kroku zbiór danych został sprawdzony pod kątem brakujących wartości. Stwierdzono, że w zbiorze danych nie występują brakujące wartości.</w:t>
      </w:r>
    </w:p>
    <w:p w14:paraId="09AD75C7" w14:textId="083C8923" w:rsidR="008D0578" w:rsidRPr="00A547E5" w:rsidRDefault="008D057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Stworzono tablicę statystyk opisowych. </w:t>
      </w:r>
    </w:p>
    <w:p w14:paraId="6A104328" w14:textId="67D34B72"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noProof/>
        </w:rPr>
        <w:lastRenderedPageBreak/>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Tablica 1. Statystyki opisowe dla zmiennych ilościowych.</w:t>
      </w:r>
    </w:p>
    <w:p w14:paraId="157D84D5" w14:textId="5B5BB248" w:rsidR="00521363"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F09402D" w14:textId="75E48C5C"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3360" behindDoc="0" locked="0" layoutInCell="1" allowOverlap="1" wp14:anchorId="761B2A37" wp14:editId="7A483269">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8. Rozkłady zmiennych ilościowych w podziale na uczestników badania.</w:t>
      </w:r>
    </w:p>
    <w:p w14:paraId="60218CC8"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962A955" w14:textId="7F2FC43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Wykres obrazuje znaczną zmienność wartości pomiarowych pomiędzy poszczególnymi uczestnikami badania. W szczególności obiekt E4 charakteryzuje się </w:t>
      </w:r>
      <w:r w:rsidR="008D0578" w:rsidRPr="00A547E5">
        <w:rPr>
          <w:rFonts w:ascii="Times New Roman" w:hAnsi="Times New Roman" w:cs="Times New Roman"/>
          <w:sz w:val="24"/>
          <w:szCs w:val="24"/>
        </w:rPr>
        <w:t>dużymi</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 xml:space="preserve">dla </w:t>
      </w:r>
      <w:r w:rsidRPr="00A547E5">
        <w:rPr>
          <w:rFonts w:ascii="Times New Roman" w:hAnsi="Times New Roman" w:cs="Times New Roman"/>
          <w:sz w:val="24"/>
          <w:szCs w:val="24"/>
        </w:rPr>
        <w:t>zmienn</w:t>
      </w:r>
      <w:r w:rsidR="008D0578" w:rsidRPr="00A547E5">
        <w:rPr>
          <w:rFonts w:ascii="Times New Roman" w:hAnsi="Times New Roman" w:cs="Times New Roman"/>
          <w:sz w:val="24"/>
          <w:szCs w:val="24"/>
        </w:rPr>
        <w:t>ej</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opisującej reakcję</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xml:space="preserve"> (EDA). Ponadto zaobserwowano znaczną różnorodność wartości EDA na poziomie indywidualnych uczestników.</w:t>
      </w:r>
    </w:p>
    <w:p w14:paraId="2906DEC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Temperatura skóry również różnicowała badanych. Można zaobserwować dwie główne grupy obiektów, w kontekście miar położenia temperatury. Pierwsza z nich zawiera niższe wartości, w okolicach 29 stopni Celsjusza, a druga wyższe, około 33 stopni. Szczególną uwagę zwracają wartości też </w:t>
      </w:r>
      <w:r w:rsidR="005C18AC" w:rsidRPr="00A547E5">
        <w:rPr>
          <w:rFonts w:ascii="Times New Roman" w:hAnsi="Times New Roman" w:cs="Times New Roman"/>
          <w:sz w:val="24"/>
          <w:szCs w:val="24"/>
        </w:rPr>
        <w:t xml:space="preserve">niskie </w:t>
      </w:r>
      <w:r w:rsidRPr="00A547E5">
        <w:rPr>
          <w:rFonts w:ascii="Times New Roman" w:hAnsi="Times New Roman" w:cs="Times New Roman"/>
          <w:sz w:val="24"/>
          <w:szCs w:val="24"/>
        </w:rPr>
        <w:t>wartości zmiennej oscylujące wokół 25°C. Należy jednak pamiętać, że odczyt sensorów różni się od tradycyjnych metod pomiaru temperatury ciała. Co więcej, urządzenia ubieralne mierzyły temperaturę skóry na nadgarstku, który jest bardziej podatny na wychłodzenie niż wnętrze organizmu.</w:t>
      </w:r>
    </w:p>
    <w:p w14:paraId="54435E8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Uwagę zwraca również duża liczba wartości skrajnych, zidentyfikowanych na podstawie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we wszystkich badanych cechach. Na tym etapie analizy nie można jednak jednoznacznie stwierdzić, że są to błędne odczyty - wszystkie wartości mieszczą się w przewidywalnych zakresach zmienności.</w:t>
      </w:r>
    </w:p>
    <w:p w14:paraId="378EF7ED"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stworzono macierz korelacji, która dostarcza informacji o współzależności zmiennych.</w:t>
      </w:r>
    </w:p>
    <w:p w14:paraId="68AF081E" w14:textId="6798CD01" w:rsidR="008E19DE" w:rsidRPr="00A547E5" w:rsidRDefault="008E19DE" w:rsidP="008E19D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A547E5">
        <w:rPr>
          <w:rFonts w:ascii="Times New Roman" w:hAnsi="Times New Roman" w:cs="Times New Roman"/>
          <w:i/>
          <w:iCs/>
          <w:sz w:val="24"/>
          <w:szCs w:val="24"/>
        </w:rPr>
        <w:t>Wykres 9. Macierz korelacji dla zmiennych ilościowych</w:t>
      </w:r>
    </w:p>
    <w:p w14:paraId="78B1D3F2"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58DF630" w14:textId="387F56F7" w:rsidR="00E7111E" w:rsidRPr="00A547E5" w:rsidRDefault="00E7111E" w:rsidP="008E19DE">
      <w:pPr>
        <w:jc w:val="both"/>
        <w:rPr>
          <w:rFonts w:ascii="Times New Roman" w:hAnsi="Times New Roman" w:cs="Times New Roman"/>
          <w:sz w:val="24"/>
          <w:szCs w:val="24"/>
        </w:rPr>
      </w:pPr>
      <w:r w:rsidRPr="00A547E5">
        <w:rPr>
          <w:rFonts w:ascii="Times New Roman" w:eastAsia="Times New Roman" w:hAnsi="Times New Roman" w:cs="Times New Roman"/>
          <w:kern w:val="0"/>
          <w:sz w:val="24"/>
          <w:szCs w:val="24"/>
          <w:lang w:eastAsia="pl-PL"/>
          <w14:ligatures w14:val="none"/>
        </w:rPr>
        <w:t xml:space="preserve">Analiza korelacji wskazuje, że najsilniejszy związek występuje pomiędzy temperaturą skóry a aktywnością </w:t>
      </w:r>
      <w:proofErr w:type="spellStart"/>
      <w:r w:rsidRPr="00A547E5">
        <w:rPr>
          <w:rFonts w:ascii="Times New Roman" w:eastAsia="Times New Roman" w:hAnsi="Times New Roman" w:cs="Times New Roman"/>
          <w:kern w:val="0"/>
          <w:sz w:val="24"/>
          <w:szCs w:val="24"/>
          <w:lang w:eastAsia="pl-PL"/>
          <w14:ligatures w14:val="none"/>
        </w:rPr>
        <w:t>elektrodermalną</w:t>
      </w:r>
      <w:proofErr w:type="spellEnd"/>
      <w:r w:rsidRPr="00A547E5">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 Z kolei korelacja pomiędzy tętnem a temperaturą skóry jest słabsza (r = 0,16), ale nadal dodatnia, co sugeruje, że wyższa temperatura skóry może być nieznacznie związana z wyższym tętnem. Najmniejsza współzależność dodatnia występuje pomiędzy EDA a tętnem (r = 0,14).</w:t>
      </w:r>
    </w:p>
    <w:p w14:paraId="322A4D7B" w14:textId="18893ECB"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rPr>
        <w:lastRenderedPageBreak/>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10. Macierz korelacji dla zmiennych ilościowych z podziałem na poziom stresu.</w:t>
      </w:r>
    </w:p>
    <w:p w14:paraId="57E2264C"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7E97B4C3" w14:textId="37FF4AB7" w:rsidR="00E7111E" w:rsidRPr="00A547E5" w:rsidRDefault="00E7111E" w:rsidP="00515B21">
      <w:pPr>
        <w:jc w:val="both"/>
        <w:rPr>
          <w:rFonts w:ascii="Times New Roman" w:hAnsi="Times New Roman" w:cs="Times New Roman"/>
          <w:i/>
          <w:iCs/>
          <w:sz w:val="24"/>
          <w:szCs w:val="24"/>
        </w:rPr>
      </w:pPr>
      <w:r w:rsidRPr="00A547E5">
        <w:rPr>
          <w:rFonts w:ascii="Times New Roman" w:eastAsia="Times New Roman" w:hAnsi="Times New Roman" w:cs="Times New Roman"/>
          <w:kern w:val="0"/>
          <w:sz w:val="24"/>
          <w:szCs w:val="24"/>
          <w:lang w:eastAsia="pl-PL"/>
          <w14:ligatures w14:val="none"/>
        </w:rPr>
        <w:t>Przykładowo, wśród badanych deklarujących niski/średni poziom stresu korelacja pomiędzy temperaturą skóry a EDA jest silniejsza (r = 0.5).</w:t>
      </w:r>
    </w:p>
    <w:p w14:paraId="1CFE9973" w14:textId="1B96ADD9"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sidRPr="00A547E5">
        <w:rPr>
          <w:rFonts w:ascii="Times New Roman" w:eastAsia="Times New Roman" w:hAnsi="Times New Roman" w:cs="Times New Roman"/>
          <w:kern w:val="0"/>
          <w:sz w:val="24"/>
          <w:szCs w:val="24"/>
          <w:lang w:eastAsia="pl-PL"/>
          <w14:ligatures w14:val="none"/>
        </w:rPr>
        <w:t>.</w:t>
      </w:r>
    </w:p>
    <w:p w14:paraId="2B5E2F8E" w14:textId="65CDCFFA"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11. Wykresy rozrzutu i rozkłady zmiennych ilościowych z podziałem na poziom stresu.</w:t>
      </w:r>
    </w:p>
    <w:p w14:paraId="72250EA3"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15DF4520" w14:textId="66AEFB03"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Pierwszym wnioskiem z wykresu, jest zauważalna nierównowaga w liczbie obserwacji w poszczególnych kategoriach stresu. </w:t>
      </w:r>
      <w:proofErr w:type="spellStart"/>
      <w:r w:rsidRPr="00A547E5">
        <w:rPr>
          <w:rFonts w:ascii="Times New Roman" w:hAnsi="Times New Roman" w:cs="Times New Roman"/>
          <w:sz w:val="24"/>
          <w:szCs w:val="24"/>
        </w:rPr>
        <w:t>Partycypanci</w:t>
      </w:r>
      <w:proofErr w:type="spellEnd"/>
      <w:r w:rsidRPr="00A547E5">
        <w:rPr>
          <w:rFonts w:ascii="Times New Roman" w:hAnsi="Times New Roman" w:cs="Times New Roman"/>
          <w:sz w:val="24"/>
          <w:szCs w:val="24"/>
        </w:rPr>
        <w:t xml:space="preserve"> najwięcej czasu spędzali odczuwając wysoki poziomu stresu.</w:t>
      </w:r>
    </w:p>
    <w:p w14:paraId="316B9FE9" w14:textId="6D95089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Widoczna jest duża asymetria prawostronna w rozkładzie zmiennej opisującej aktywność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Rozkład tętna jest najbardziej zbliżony do rozkładu normalnego. W przypadku temperatury skóry, ponownie można zaobserwować dwie grupy obiektów.</w:t>
      </w:r>
    </w:p>
    <w:p w14:paraId="3D778CEC" w14:textId="107AB83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7D7984E2" w14:textId="77777777" w:rsidR="00795B35" w:rsidRPr="00795B35" w:rsidRDefault="00795B35" w:rsidP="00795B35">
      <w:pPr>
        <w:jc w:val="both"/>
        <w:rPr>
          <w:rFonts w:ascii="Times New Roman" w:hAnsi="Times New Roman" w:cs="Times New Roman"/>
          <w:b/>
          <w:bCs/>
          <w:sz w:val="24"/>
          <w:szCs w:val="24"/>
        </w:rPr>
      </w:pPr>
      <w:r w:rsidRPr="00795B35">
        <w:rPr>
          <w:rFonts w:ascii="Times New Roman" w:hAnsi="Times New Roman" w:cs="Times New Roman"/>
          <w:b/>
          <w:bCs/>
          <w:sz w:val="24"/>
          <w:szCs w:val="24"/>
        </w:rPr>
        <w:t>3.2 Wpływ deklarowanego poziomu stresu na zmienne fizjologiczne</w:t>
      </w:r>
    </w:p>
    <w:p w14:paraId="39EBC93D" w14:textId="77777777" w:rsidR="00795B35" w:rsidRPr="00A547E5" w:rsidRDefault="00795B35" w:rsidP="00795B35">
      <w:pPr>
        <w:jc w:val="both"/>
        <w:rPr>
          <w:rFonts w:ascii="Times New Roman" w:hAnsi="Times New Roman" w:cs="Times New Roman"/>
          <w:sz w:val="24"/>
          <w:szCs w:val="24"/>
        </w:rPr>
      </w:pPr>
      <w:r w:rsidRPr="00795B35">
        <w:rPr>
          <w:rFonts w:ascii="Times New Roman" w:hAnsi="Times New Roman" w:cs="Times New Roman"/>
          <w:sz w:val="24"/>
          <w:szCs w:val="24"/>
        </w:rPr>
        <w:t xml:space="preserve">W pierwszej kolejności uwagę skupiono na zmianach i różnicach w zmierzonych zmiennych </w:t>
      </w:r>
      <w:proofErr w:type="spellStart"/>
      <w:r w:rsidRPr="00795B35">
        <w:rPr>
          <w:rFonts w:ascii="Times New Roman" w:hAnsi="Times New Roman" w:cs="Times New Roman"/>
          <w:sz w:val="24"/>
          <w:szCs w:val="24"/>
        </w:rPr>
        <w:t>fizjogicznych</w:t>
      </w:r>
      <w:proofErr w:type="spellEnd"/>
      <w:r w:rsidRPr="00795B35">
        <w:rPr>
          <w:rFonts w:ascii="Times New Roman" w:hAnsi="Times New Roman" w:cs="Times New Roman"/>
          <w:sz w:val="24"/>
          <w:szCs w:val="24"/>
        </w:rPr>
        <w:t xml:space="preserve"> wśród </w:t>
      </w:r>
      <w:proofErr w:type="spellStart"/>
      <w:r w:rsidRPr="00795B35">
        <w:rPr>
          <w:rFonts w:ascii="Times New Roman" w:hAnsi="Times New Roman" w:cs="Times New Roman"/>
          <w:sz w:val="24"/>
          <w:szCs w:val="24"/>
        </w:rPr>
        <w:t>partycypantów</w:t>
      </w:r>
      <w:proofErr w:type="spellEnd"/>
      <w:r w:rsidRPr="00795B35">
        <w:rPr>
          <w:rFonts w:ascii="Times New Roman" w:hAnsi="Times New Roman" w:cs="Times New Roman"/>
          <w:sz w:val="24"/>
          <w:szCs w:val="24"/>
        </w:rPr>
        <w:t xml:space="preserve">.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w:t>
      </w:r>
      <w:proofErr w:type="spellStart"/>
      <w:r w:rsidRPr="00795B35">
        <w:rPr>
          <w:rFonts w:ascii="Times New Roman" w:hAnsi="Times New Roman" w:cs="Times New Roman"/>
          <w:sz w:val="24"/>
          <w:szCs w:val="24"/>
        </w:rPr>
        <w:t>elektrodermalna</w:t>
      </w:r>
      <w:proofErr w:type="spellEnd"/>
      <w:r w:rsidRPr="00795B35">
        <w:rPr>
          <w:rFonts w:ascii="Times New Roman" w:hAnsi="Times New Roman" w:cs="Times New Roman"/>
          <w:sz w:val="24"/>
          <w:szCs w:val="24"/>
        </w:rPr>
        <w:t xml:space="preserve">. </w:t>
      </w:r>
    </w:p>
    <w:p w14:paraId="447F8E53" w14:textId="6D633D30" w:rsidR="00127CAF" w:rsidRPr="00127CAF" w:rsidRDefault="00127CAF" w:rsidP="00127CAF">
      <w:pPr>
        <w:jc w:val="both"/>
        <w:rPr>
          <w:rFonts w:ascii="Times New Roman" w:hAnsi="Times New Roman" w:cs="Times New Roman"/>
          <w:sz w:val="24"/>
          <w:szCs w:val="24"/>
        </w:rPr>
      </w:pPr>
      <w:r w:rsidRPr="00127CAF">
        <w:rPr>
          <w:rFonts w:ascii="Times New Roman" w:hAnsi="Times New Roman" w:cs="Times New Roman"/>
          <w:sz w:val="24"/>
          <w:szCs w:val="24"/>
        </w:rPr>
        <w:t>W celu wybrania odpowiedniego modelu dla każdej zmiennej, na próbie 50,000 obserwacji dopasowano cztery specyfikacje modeli. Próba została ograniczona ze względu na zasoby obliczeniowe. Zastosowano ten krok, aby pomóc w wyborze najodpowiedniejszych modeli d</w:t>
      </w:r>
      <w:r w:rsidRPr="00A547E5">
        <w:rPr>
          <w:rFonts w:ascii="Times New Roman" w:hAnsi="Times New Roman" w:cs="Times New Roman"/>
          <w:sz w:val="24"/>
          <w:szCs w:val="24"/>
        </w:rPr>
        <w:t>la każdej zmiennej zależnej</w:t>
      </w:r>
      <w:r w:rsidRPr="00127CAF">
        <w:rPr>
          <w:rFonts w:ascii="Times New Roman" w:hAnsi="Times New Roman" w:cs="Times New Roman"/>
          <w:sz w:val="24"/>
          <w:szCs w:val="24"/>
        </w:rPr>
        <w:t>. Testowano cztery różne podejścia:</w:t>
      </w:r>
    </w:p>
    <w:p w14:paraId="6C83E469" w14:textId="77777777"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Dwa modele regresji liniowej bez łączenia pomiędzy grupami. W każdym przypadku każda pielęgniarka otrzymuje oddzielne, niezależne rozkłady a priori dla parametrów α, β oraz σ.</w:t>
      </w:r>
    </w:p>
    <w:p w14:paraId="1ADE7D51"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Pierwszy model zakłada monotoniczną, liniową relację na każdym poziomie stresu (0, 1, 2).</w:t>
      </w:r>
    </w:p>
    <w:p w14:paraId="647A58ED"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Drugi model korzysta z kodowania zerojedynkowego dla zmiennej stresu, co pozwala na bardziej elastyczną estymację parametrów β.</w:t>
      </w:r>
    </w:p>
    <w:p w14:paraId="44B26765" w14:textId="1AAF579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 który pozwala na uwzględnienie efektu skurczania parametrów</w:t>
      </w:r>
      <w:r w:rsidRPr="00A547E5">
        <w:rPr>
          <w:rFonts w:ascii="Times New Roman" w:hAnsi="Times New Roman" w:cs="Times New Roman"/>
          <w:sz w:val="24"/>
          <w:szCs w:val="24"/>
        </w:rPr>
        <w:t>.</w:t>
      </w:r>
    </w:p>
    <w:p w14:paraId="0B356BBB" w14:textId="63CD41E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 xml:space="preserve">Model liniowy </w:t>
      </w:r>
      <w:r w:rsidRPr="00A547E5">
        <w:rPr>
          <w:rFonts w:ascii="Times New Roman" w:hAnsi="Times New Roman" w:cs="Times New Roman"/>
          <w:sz w:val="24"/>
          <w:szCs w:val="24"/>
        </w:rPr>
        <w:t>zakładający zmienność wariancji</w:t>
      </w:r>
      <w:r w:rsidRPr="00127CAF">
        <w:rPr>
          <w:rFonts w:ascii="Times New Roman" w:hAnsi="Times New Roman" w:cs="Times New Roman"/>
          <w:sz w:val="24"/>
          <w:szCs w:val="24"/>
        </w:rPr>
        <w:t xml:space="preserve">, </w:t>
      </w:r>
      <w:r w:rsidRPr="00A547E5">
        <w:rPr>
          <w:rFonts w:ascii="Times New Roman" w:hAnsi="Times New Roman" w:cs="Times New Roman"/>
          <w:sz w:val="24"/>
          <w:szCs w:val="24"/>
        </w:rPr>
        <w:t>twierdzący</w:t>
      </w:r>
      <w:r w:rsidRPr="00127CAF">
        <w:rPr>
          <w:rFonts w:ascii="Times New Roman" w:hAnsi="Times New Roman" w:cs="Times New Roman"/>
          <w:sz w:val="24"/>
          <w:szCs w:val="24"/>
        </w:rPr>
        <w:t xml:space="preserve">, że wariancja (σ) </w:t>
      </w:r>
      <w:r w:rsidRPr="00A547E5">
        <w:rPr>
          <w:rFonts w:ascii="Times New Roman" w:hAnsi="Times New Roman" w:cs="Times New Roman"/>
          <w:sz w:val="24"/>
          <w:szCs w:val="24"/>
        </w:rPr>
        <w:t xml:space="preserve">zmiennej zależnej </w:t>
      </w:r>
      <w:r w:rsidRPr="00127CAF">
        <w:rPr>
          <w:rFonts w:ascii="Times New Roman" w:hAnsi="Times New Roman" w:cs="Times New Roman"/>
          <w:sz w:val="24"/>
          <w:szCs w:val="24"/>
        </w:rPr>
        <w:t>zależy od poziomu stresu</w:t>
      </w:r>
      <w:r w:rsidRPr="00A547E5">
        <w:rPr>
          <w:rFonts w:ascii="Times New Roman" w:hAnsi="Times New Roman" w:cs="Times New Roman"/>
          <w:sz w:val="24"/>
          <w:szCs w:val="24"/>
        </w:rPr>
        <w:t xml:space="preserve">. </w:t>
      </w:r>
      <w:r w:rsidRPr="00127CAF">
        <w:rPr>
          <w:rFonts w:ascii="Times New Roman" w:hAnsi="Times New Roman" w:cs="Times New Roman"/>
          <w:sz w:val="24"/>
          <w:szCs w:val="24"/>
        </w:rPr>
        <w:t>Logarytm parametru σ był modelowany jako funkcja liniowa w odniesieniu do poziomu stresu dla każdej pielęgniarki.</w:t>
      </w:r>
    </w:p>
    <w:p w14:paraId="31CAAB39" w14:textId="563261E6" w:rsidR="00C80C31" w:rsidRPr="00A547E5" w:rsidRDefault="00C80C3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1:Brak łączenia między grupami, liniowy efekt stresu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kodowanie porządkowe</m:t>
              </m:r>
            </m:e>
          </m:d>
        </m:oMath>
      </m:oMathPara>
    </w:p>
    <w:p w14:paraId="70D005A9" w14:textId="282F4B7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156CAE81" w14:textId="011C013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3DB4CD1" w14:textId="2384E849"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Times New Roman" w:eastAsiaTheme="minorEastAsia" w:hAnsi="Times New Roman"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21D06B47" w14:textId="251E26E0"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B80F261" w14:textId="7994743C"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oMath>
      </m:oMathPara>
    </w:p>
    <w:p w14:paraId="755CCC20" w14:textId="77777777" w:rsidR="00C80C31" w:rsidRPr="00A547E5" w:rsidRDefault="00C80C31" w:rsidP="00C80C31">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Gdzie:</w:t>
      </w:r>
    </w:p>
    <w:p w14:paraId="040FEC2D" w14:textId="30902549"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i: indeks pielęgniarki,</w:t>
      </w:r>
    </w:p>
    <w:p w14:paraId="71E43A42" w14:textId="0D6C8188"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lastRenderedPageBreak/>
        <w:t>j: indeks obserwacji,</w:t>
      </w:r>
    </w:p>
    <w:p w14:paraId="5B9BF3DB" w14:textId="23853553"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αᵢ</w:t>
      </w:r>
      <w:r w:rsidRPr="00A547E5">
        <w:rPr>
          <w:rFonts w:ascii="Times New Roman" w:eastAsiaTheme="minorEastAsia" w:hAnsi="Times New Roman" w:cs="Times New Roman"/>
          <w:sz w:val="24"/>
          <w:szCs w:val="24"/>
        </w:rPr>
        <w:t>: wyraz wolny dla pielęgniarki,</w:t>
      </w:r>
    </w:p>
    <w:p w14:paraId="08E6F865" w14:textId="49F8AE22"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βᵢ</w:t>
      </w:r>
      <w:r w:rsidRPr="00A547E5">
        <w:rPr>
          <w:rFonts w:ascii="Times New Roman" w:eastAsiaTheme="minorEastAsia" w:hAnsi="Times New Roman" w:cs="Times New Roman"/>
          <w:sz w:val="24"/>
          <w:szCs w:val="24"/>
        </w:rPr>
        <w:t>: współczynnik regresji (efekt stresu) dla pielęgniarki i,</w:t>
      </w:r>
    </w:p>
    <w:p w14:paraId="1FD3FA62" w14:textId="6E3C89F4"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σᵢ</w:t>
      </w:r>
      <w:r w:rsidRPr="00A547E5">
        <w:rPr>
          <w:rFonts w:ascii="Times New Roman" w:eastAsiaTheme="minorEastAsia" w:hAnsi="Times New Roman" w:cs="Times New Roman"/>
          <w:sz w:val="24"/>
          <w:szCs w:val="24"/>
        </w:rPr>
        <w:t>: odchylenie standardowe dla pielęgniarki i,</w:t>
      </w:r>
    </w:p>
    <w:p w14:paraId="71A25B2F" w14:textId="36CBA33F" w:rsidR="00C80C31"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C80C31" w:rsidRPr="00A547E5">
        <w:rPr>
          <w:rFonts w:ascii="Times New Roman" w:eastAsiaTheme="minorEastAsia" w:hAnsi="Times New Roman" w:cs="Times New Roman"/>
          <w:sz w:val="24"/>
          <w:szCs w:val="24"/>
        </w:rPr>
        <w:t xml:space="preserve"> </w:t>
      </w:r>
      <w:r w:rsidR="00C80C31" w:rsidRPr="00A547E5">
        <w:rPr>
          <w:rFonts w:ascii="Cambria Math" w:eastAsiaTheme="minorEastAsia" w:hAnsi="Cambria Math" w:cs="Cambria Math"/>
          <w:sz w:val="24"/>
          <w:szCs w:val="24"/>
        </w:rPr>
        <w:t>∈</w:t>
      </w:r>
      <w:r w:rsidR="00C80C31" w:rsidRPr="00A547E5">
        <w:rPr>
          <w:rFonts w:ascii="Times New Roman" w:eastAsiaTheme="minorEastAsia" w:hAnsi="Times New Roman" w:cs="Times New Roman"/>
          <w:sz w:val="24"/>
          <w:szCs w:val="24"/>
        </w:rPr>
        <w:t xml:space="preserve"> {0, 1, 2}</w:t>
      </w:r>
      <w:r w:rsidR="00FC298F" w:rsidRPr="00A547E5">
        <w:rPr>
          <w:rFonts w:ascii="Times New Roman" w:eastAsiaTheme="minorEastAsia" w:hAnsi="Times New Roman" w:cs="Times New Roman"/>
          <w:sz w:val="24"/>
          <w:szCs w:val="24"/>
        </w:rPr>
        <w:t xml:space="preserve">: </w:t>
      </w:r>
      <w:r w:rsidR="00C80C31" w:rsidRPr="00A547E5">
        <w:rPr>
          <w:rFonts w:ascii="Times New Roman" w:eastAsiaTheme="minorEastAsia" w:hAnsi="Times New Roman" w:cs="Times New Roman"/>
          <w:sz w:val="24"/>
          <w:szCs w:val="24"/>
        </w:rPr>
        <w:t>poziom stresu (0 = Brak, 1 = Niski/Średni, 2 = Wysoki).</w:t>
      </w:r>
    </w:p>
    <w:p w14:paraId="5287093B" w14:textId="1E8902C2" w:rsidR="00FC298F"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oMath>
      <w:r w:rsidR="00FC298F" w:rsidRPr="00A547E5">
        <w:rPr>
          <w:rFonts w:ascii="Times New Roman" w:eastAsiaTheme="minorEastAsia" w:hAnsi="Times New Roman" w:cs="Times New Roman"/>
          <w:sz w:val="24"/>
          <w:szCs w:val="24"/>
        </w:rPr>
        <w:t xml:space="preserve">: zmienna zależna (Temperatura skóry, Tętno, Aktywność </w:t>
      </w:r>
      <w:proofErr w:type="spellStart"/>
      <w:r w:rsidR="00FC298F" w:rsidRPr="00A547E5">
        <w:rPr>
          <w:rFonts w:ascii="Times New Roman" w:eastAsiaTheme="minorEastAsia" w:hAnsi="Times New Roman" w:cs="Times New Roman"/>
          <w:sz w:val="24"/>
          <w:szCs w:val="24"/>
        </w:rPr>
        <w:t>elektrodermalna</w:t>
      </w:r>
      <w:proofErr w:type="spellEnd"/>
      <w:r w:rsidR="00FC298F" w:rsidRPr="00A547E5">
        <w:rPr>
          <w:rFonts w:ascii="Times New Roman" w:eastAsiaTheme="minorEastAsia" w:hAnsi="Times New Roman" w:cs="Times New Roman"/>
          <w:sz w:val="24"/>
          <w:szCs w:val="24"/>
        </w:rPr>
        <w:t>)</w:t>
      </w:r>
    </w:p>
    <w:p w14:paraId="1F0C923D" w14:textId="459F06E0" w:rsidR="00C80C31" w:rsidRPr="00701193" w:rsidRDefault="00701193"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 Brak łączenia między grupami, zmienna zerojedynkowa</m:t>
          </m:r>
        </m:oMath>
      </m:oMathPara>
    </w:p>
    <w:p w14:paraId="583F45BF" w14:textId="133ACF8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0E63A2E1" w14:textId="6BE24D62"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F6C5A32" w14:textId="3E0527D7"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ACCFC72" w14:textId="63EC74CC"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44FD5171" w14:textId="1782515F"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5DA68ADA" w14:textId="5BFDDE7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410F4AF5" w14:textId="77777777" w:rsidR="00701193" w:rsidRPr="00701193" w:rsidRDefault="00701193" w:rsidP="00701193">
      <w:p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Gdzie:</w:t>
      </w:r>
    </w:p>
    <w:p w14:paraId="02BB606A" w14:textId="6F86C2B3"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i: indeks pielęgniarki,</w:t>
      </w:r>
    </w:p>
    <w:p w14:paraId="696E79F4" w14:textId="1FE84E9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j: indeks obserwacji,</w:t>
      </w:r>
    </w:p>
    <w:p w14:paraId="4E496F5E" w14:textId="2E1B5FDB"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αᵢ: wyraz wolny dla pielęgniarki i,</w:t>
      </w:r>
    </w:p>
    <w:p w14:paraId="72423EF0" w14:textId="6B391119"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β₀: współczynnik regresji dla poziomu stresu "Niski/Średni" dla pielęgniarki i,</w:t>
      </w:r>
    </w:p>
    <w:p w14:paraId="72757C90" w14:textId="0751E34C"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β₁: współczynnik regresji dla poziomu stresu "Wysoki" dla pielęgniarki i,</w:t>
      </w:r>
    </w:p>
    <w:p w14:paraId="2038986D" w14:textId="6B898DC8"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σᵢ: odchylenie standardowe dla pielęgniarki i,</w:t>
      </w:r>
    </w:p>
    <w:p w14:paraId="363C47AB" w14:textId="1711342F"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proofErr w:type="spellStart"/>
      <w:r w:rsidRPr="00701193">
        <w:rPr>
          <w:rFonts w:ascii="Times New Roman" w:eastAsiaTheme="minorEastAsia" w:hAnsi="Times New Roman" w:cs="Times New Roman"/>
          <w:sz w:val="24"/>
          <w:szCs w:val="24"/>
        </w:rPr>
        <w:t>NiskiŚr</w:t>
      </w:r>
      <w:proofErr w:type="spellEnd"/>
      <w:r w:rsidRPr="00701193">
        <w:rPr>
          <w:rFonts w:ascii="Times New Roman" w:eastAsiaTheme="minorEastAsia" w:hAnsi="Times New Roman" w:cs="Times New Roman"/>
          <w:sz w:val="24"/>
          <w:szCs w:val="24"/>
        </w:rPr>
        <w:t xml:space="preserve">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"Niski/Średni" (1 = Tak, 0 = Nie),</w:t>
      </w:r>
    </w:p>
    <w:p w14:paraId="41963C32" w14:textId="63959EF6"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Wysokiᵢⱼ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"Wysoki" (1 = Tak, 0 = Nie),</w:t>
      </w:r>
    </w:p>
    <w:p w14:paraId="5EEA5C92" w14:textId="7DD4B0F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yᵢⱼ: zmienna zależna (Temperatura skóry, Tętno, Aktywność </w:t>
      </w:r>
      <w:proofErr w:type="spellStart"/>
      <w:r w:rsidRPr="00701193">
        <w:rPr>
          <w:rFonts w:ascii="Times New Roman" w:eastAsiaTheme="minorEastAsia" w:hAnsi="Times New Roman" w:cs="Times New Roman"/>
          <w:sz w:val="24"/>
          <w:szCs w:val="24"/>
        </w:rPr>
        <w:t>elektrodermalna</w:t>
      </w:r>
      <w:proofErr w:type="spellEnd"/>
      <w:r w:rsidRPr="00701193">
        <w:rPr>
          <w:rFonts w:ascii="Times New Roman" w:eastAsiaTheme="minorEastAsia" w:hAnsi="Times New Roman" w:cs="Times New Roman"/>
          <w:sz w:val="24"/>
          <w:szCs w:val="24"/>
        </w:rPr>
        <w:t>).</w:t>
      </w:r>
    </w:p>
    <w:p w14:paraId="44855F72" w14:textId="77777777" w:rsidR="00E13001" w:rsidRPr="00E13001" w:rsidRDefault="00E1300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3: Częściowe łączenie, model hierarchiczny</m:t>
          </m:r>
        </m:oMath>
      </m:oMathPara>
    </w:p>
    <w:p w14:paraId="6655C98A" w14:textId="6EBDC5F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, 10</m:t>
              </m:r>
            </m:e>
          </m:d>
        </m:oMath>
      </m:oMathPara>
    </w:p>
    <w:p w14:paraId="0CB0DF8A" w14:textId="66965F4F"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56876FE1" w14:textId="77777777"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m:t>
              </m:r>
            </m:e>
          </m:d>
        </m:oMath>
      </m:oMathPara>
    </w:p>
    <w:p w14:paraId="03C8C72A" w14:textId="42D72E6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27970EF" w14:textId="79755E1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2814C530" w14:textId="541AE68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sub>
              </m:sSub>
            </m:e>
          </m:d>
        </m:oMath>
      </m:oMathPara>
    </w:p>
    <w:p w14:paraId="680AE0E4" w14:textId="6A0A88A5"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0DCFB9C2" w14:textId="3A236F09"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7243EAA" w14:textId="79208D5B"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6302B0C8" w14:textId="025C4ACD" w:rsidR="00082FF4" w:rsidRDefault="001E7651" w:rsidP="00082FF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10071F95"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i: indeks pielęgniarki</w:t>
      </w:r>
    </w:p>
    <w:p w14:paraId="7C533E63" w14:textId="4814733B"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 xml:space="preserve">j: indeks obserwacji </w:t>
      </w:r>
    </w:p>
    <w:p w14:paraId="208D6310"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αᵢ: wyraz wolny dla pielęgniarki i</w:t>
      </w:r>
    </w:p>
    <w:p w14:paraId="6B1E2378"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βᵢ: współczynnik efektu stresu dla pielęgniarki i</w:t>
      </w:r>
    </w:p>
    <w:p w14:paraId="7E439772"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σᵢ: odchylenie standardowe dla pielęgniarki i</w:t>
      </w:r>
    </w:p>
    <w:p w14:paraId="0215DD24"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stresᵢⱼ: stres w obserwacji j dla pielęgniarki i</w:t>
      </w:r>
    </w:p>
    <w:p w14:paraId="4CC17B1C" w14:textId="65406E37" w:rsidR="007836A7" w:rsidRPr="00A547E5" w:rsidRDefault="007836A7" w:rsidP="007836A7">
      <w:pPr>
        <w:pStyle w:val="Akapitzlist"/>
        <w:numPr>
          <w:ilvl w:val="0"/>
          <w:numId w:val="18"/>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w:t>
      </w:r>
      <w:r w:rsidRPr="00A547E5">
        <w:rPr>
          <w:rFonts w:ascii="Times New Roman" w:eastAsiaTheme="minorEastAsia" w:hAnsi="Times New Roman" w:cs="Times New Roman"/>
          <w:sz w:val="24"/>
          <w:szCs w:val="24"/>
        </w:rPr>
        <w:t xml:space="preserve">: 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3F0B28FC" w14:textId="1877A301" w:rsidR="00082FF4" w:rsidRPr="001E7651" w:rsidRDefault="001E7651" w:rsidP="00082FF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4: Brak łączenia między grupami, zmienna wariancja</m:t>
          </m:r>
        </m:oMath>
      </m:oMathPara>
    </w:p>
    <w:p w14:paraId="61602305" w14:textId="54CF756A"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e>
          </m:d>
        </m:oMath>
      </m:oMathPara>
    </w:p>
    <w:p w14:paraId="754C74B7" w14:textId="77777777" w:rsidR="001E7651" w:rsidRPr="00701193" w:rsidRDefault="00000000" w:rsidP="001E765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470EF36" w14:textId="02E4AF37"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479BBBE7" w14:textId="77777777" w:rsidR="00B773E0" w:rsidRPr="00701193" w:rsidRDefault="00000000" w:rsidP="00B773E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bookmarkStart w:id="4" w:name="_Hlk195888621"/>
    <w:p w14:paraId="1264B96A" w14:textId="32715908" w:rsidR="00082FF4"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w:bookmarkEnd w:id="4"/>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3729037E" w14:textId="2C297483"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64EC00FD" w14:textId="39201891" w:rsidR="00B773E0" w:rsidRPr="00B773E0" w:rsidRDefault="00000000" w:rsidP="00082FF4">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j</m:t>
              </m:r>
            </m:sub>
          </m:sSub>
        </m:oMath>
      </m:oMathPara>
    </w:p>
    <w:p w14:paraId="15EED9EF" w14:textId="24AB1562"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sz w:val="24"/>
                      <w:szCs w:val="24"/>
                      <w:lang w:val="en-US"/>
                    </w:rPr>
                  </m:ctrlPr>
                </m:dP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e>
                  </m:func>
                  <m:ctrlPr>
                    <w:rPr>
                      <w:rFonts w:ascii="Cambria Math" w:eastAsiaTheme="minorEastAsia" w:hAnsi="Cambria Math" w:cs="Times New Roman"/>
                      <w:i/>
                      <w:sz w:val="24"/>
                      <w:szCs w:val="24"/>
                      <w:lang w:val="en-US"/>
                    </w:rPr>
                  </m:ctrlPr>
                </m:e>
              </m:d>
            </m:e>
          </m:func>
        </m:oMath>
      </m:oMathPara>
    </w:p>
    <w:p w14:paraId="6051A2BF" w14:textId="17A524CE"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μ</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e>
          </m:d>
        </m:oMath>
      </m:oMathPara>
    </w:p>
    <w:p w14:paraId="1160EB7C" w14:textId="62898EDA" w:rsidR="00B773E0" w:rsidRDefault="00B773E0" w:rsidP="00082FF4">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3D69E0DD"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5132287E" w14:textId="3589885A"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0C48512E"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D5EF84C"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73C4EA5D" w14:textId="7C14CACD"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2E506F5E" w14:textId="4BD741EF"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02732264" w14:textId="0B0977F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0A2063E6" w14:textId="77777777" w:rsidR="007836A7" w:rsidRPr="00A547E5" w:rsidRDefault="00000000" w:rsidP="007836A7">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836A7" w:rsidRPr="00A547E5">
        <w:rPr>
          <w:rFonts w:ascii="Times New Roman" w:eastAsiaTheme="minorEastAsia" w:hAnsi="Times New Roman" w:cs="Times New Roman"/>
          <w:sz w:val="24"/>
          <w:szCs w:val="24"/>
        </w:rPr>
        <w:t xml:space="preserve"> </w:t>
      </w:r>
      <w:r w:rsidR="007836A7" w:rsidRPr="00A547E5">
        <w:rPr>
          <w:rFonts w:ascii="Cambria Math" w:eastAsiaTheme="minorEastAsia" w:hAnsi="Cambria Math" w:cs="Cambria Math"/>
          <w:sz w:val="24"/>
          <w:szCs w:val="24"/>
        </w:rPr>
        <w:t>∈</w:t>
      </w:r>
      <w:r w:rsidR="007836A7" w:rsidRPr="00A547E5">
        <w:rPr>
          <w:rFonts w:ascii="Times New Roman" w:eastAsiaTheme="minorEastAsia" w:hAnsi="Times New Roman" w:cs="Times New Roman"/>
          <w:sz w:val="24"/>
          <w:szCs w:val="24"/>
        </w:rPr>
        <w:t xml:space="preserve"> {0, 1, 2}: poziom stresu (0 = Brak, 1 = Niski/Średni, 2 = Wysoki).</w:t>
      </w:r>
    </w:p>
    <w:p w14:paraId="4A76FD58" w14:textId="7F10CF38"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1F78BCE7" w14:textId="605C13D2" w:rsidR="00B773E0" w:rsidRPr="007836A7" w:rsidRDefault="00B773E0" w:rsidP="007836A7">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sidR="007836A7">
        <w:rPr>
          <w:rFonts w:ascii="Times New Roman" w:eastAsiaTheme="minorEastAsia" w:hAnsi="Times New Roman" w:cs="Times New Roman"/>
          <w:sz w:val="24"/>
          <w:szCs w:val="24"/>
        </w:rPr>
        <w:t xml:space="preserve"> </w:t>
      </w:r>
      <w:r w:rsidR="007836A7" w:rsidRPr="00A547E5">
        <w:rPr>
          <w:rFonts w:ascii="Times New Roman" w:eastAsiaTheme="minorEastAsia" w:hAnsi="Times New Roman" w:cs="Times New Roman"/>
          <w:sz w:val="24"/>
          <w:szCs w:val="24"/>
        </w:rPr>
        <w:t xml:space="preserve">zmienna zależna (Temperatura skóry, Tętno, Aktywność </w:t>
      </w:r>
      <w:proofErr w:type="spellStart"/>
      <w:r w:rsidR="007836A7" w:rsidRPr="00A547E5">
        <w:rPr>
          <w:rFonts w:ascii="Times New Roman" w:eastAsiaTheme="minorEastAsia" w:hAnsi="Times New Roman" w:cs="Times New Roman"/>
          <w:sz w:val="24"/>
          <w:szCs w:val="24"/>
        </w:rPr>
        <w:t>elektrodermalna</w:t>
      </w:r>
      <w:proofErr w:type="spellEnd"/>
      <w:r w:rsidR="007836A7" w:rsidRPr="00A547E5">
        <w:rPr>
          <w:rFonts w:ascii="Times New Roman" w:eastAsiaTheme="minorEastAsia" w:hAnsi="Times New Roman" w:cs="Times New Roman"/>
          <w:sz w:val="24"/>
          <w:szCs w:val="24"/>
        </w:rPr>
        <w:t>)</w:t>
      </w:r>
    </w:p>
    <w:p w14:paraId="665E6043" w14:textId="77777777" w:rsidR="00082FF4" w:rsidRPr="00B773E0" w:rsidRDefault="00082FF4" w:rsidP="00082FF4">
      <w:pPr>
        <w:jc w:val="both"/>
        <w:rPr>
          <w:rFonts w:ascii="Times New Roman" w:eastAsiaTheme="minorEastAsia" w:hAnsi="Times New Roman" w:cs="Times New Roman"/>
          <w:sz w:val="24"/>
          <w:szCs w:val="24"/>
        </w:rPr>
      </w:pPr>
    </w:p>
    <w:p w14:paraId="21D62932" w14:textId="77777777" w:rsidR="00082FF4" w:rsidRPr="00B773E0" w:rsidRDefault="00082FF4" w:rsidP="00082FF4">
      <w:pPr>
        <w:jc w:val="both"/>
        <w:rPr>
          <w:rFonts w:ascii="Times New Roman" w:eastAsiaTheme="minorEastAsia" w:hAnsi="Times New Roman" w:cs="Times New Roman"/>
          <w:sz w:val="24"/>
          <w:szCs w:val="24"/>
        </w:rPr>
      </w:pPr>
    </w:p>
    <w:p w14:paraId="144DCE0A" w14:textId="77777777" w:rsidR="00C80C31" w:rsidRPr="00B773E0" w:rsidRDefault="00C80C31" w:rsidP="00C80C31">
      <w:pPr>
        <w:jc w:val="both"/>
        <w:rPr>
          <w:rFonts w:ascii="Times New Roman" w:eastAsiaTheme="minorEastAsia" w:hAnsi="Times New Roman" w:cs="Times New Roman"/>
          <w:sz w:val="24"/>
          <w:szCs w:val="24"/>
        </w:rPr>
      </w:pPr>
    </w:p>
    <w:p w14:paraId="4DEA32FB" w14:textId="77777777" w:rsidR="00C80C31" w:rsidRPr="00B773E0" w:rsidRDefault="00C80C31" w:rsidP="00C80C31">
      <w:pPr>
        <w:jc w:val="both"/>
        <w:rPr>
          <w:rFonts w:ascii="Times New Roman" w:eastAsiaTheme="minorEastAsia" w:hAnsi="Times New Roman" w:cs="Times New Roman"/>
          <w:sz w:val="24"/>
          <w:szCs w:val="24"/>
        </w:rPr>
      </w:pPr>
    </w:p>
    <w:p w14:paraId="4B81F955" w14:textId="0AB7199E" w:rsidR="00C80C31" w:rsidRPr="00B773E0" w:rsidRDefault="00C80C31" w:rsidP="00C80C31">
      <w:pPr>
        <w:jc w:val="both"/>
        <w:rPr>
          <w:rFonts w:ascii="Times New Roman" w:eastAsiaTheme="minorEastAsia" w:hAnsi="Times New Roman" w:cs="Times New Roman"/>
          <w:sz w:val="24"/>
          <w:szCs w:val="24"/>
        </w:rPr>
      </w:pPr>
    </w:p>
    <w:sectPr w:rsidR="00C80C31" w:rsidRPr="00B773E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FD4D2" w14:textId="77777777" w:rsidR="00A445BB" w:rsidRDefault="00A445BB" w:rsidP="002C449E">
      <w:pPr>
        <w:spacing w:after="0" w:line="240" w:lineRule="auto"/>
      </w:pPr>
      <w:r>
        <w:separator/>
      </w:r>
    </w:p>
  </w:endnote>
  <w:endnote w:type="continuationSeparator" w:id="0">
    <w:p w14:paraId="524DEE14" w14:textId="77777777" w:rsidR="00A445BB" w:rsidRDefault="00A445BB"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89C69" w14:textId="77777777" w:rsidR="00A445BB" w:rsidRDefault="00A445BB" w:rsidP="002C449E">
      <w:pPr>
        <w:spacing w:after="0" w:line="240" w:lineRule="auto"/>
      </w:pPr>
      <w:r>
        <w:separator/>
      </w:r>
    </w:p>
  </w:footnote>
  <w:footnote w:type="continuationSeparator" w:id="0">
    <w:p w14:paraId="619EBE2C" w14:textId="77777777" w:rsidR="00A445BB" w:rsidRDefault="00A445BB" w:rsidP="002C449E">
      <w:pPr>
        <w:spacing w:after="0" w:line="240" w:lineRule="auto"/>
      </w:pPr>
      <w:r>
        <w:continuationSeparator/>
      </w:r>
    </w:p>
  </w:footnote>
  <w:footnote w:id="1">
    <w:p w14:paraId="2789F8B0" w14:textId="4FF41024"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12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https://www.wired.com/2009/06/lbnp-knowthyself/.</w:t>
      </w:r>
      <w:r w:rsidRPr="005C18AC">
        <w:rPr>
          <w:rFonts w:ascii="Times New Roman" w:hAnsi="Times New Roman" w:cs="Times New Roman"/>
        </w:rPr>
        <w:fldChar w:fldCharType="end"/>
      </w:r>
    </w:p>
  </w:footnote>
  <w:footnote w:id="2">
    <w:p w14:paraId="0BE84562" w14:textId="1D6A4C0D"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E186FA5" w:rsidR="008613A7" w:rsidRPr="005C18AC" w:rsidRDefault="008613A7">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682F400C"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1999): 5-es.</w:t>
      </w:r>
      <w:r w:rsidRPr="005C18AC">
        <w:rPr>
          <w:rFonts w:ascii="Times New Roman" w:hAnsi="Times New Roman" w:cs="Times New Roman"/>
        </w:rPr>
        <w:fldChar w:fldCharType="end"/>
      </w:r>
    </w:p>
  </w:footnote>
  <w:footnote w:id="5">
    <w:p w14:paraId="24620A71" w14:textId="4DE69664" w:rsidR="009502FB" w:rsidRPr="005C18AC" w:rsidRDefault="009502F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„Hacking Health: How Consumers Use Smartphones and Wearable Tech to Track Their Health”, Nielsen,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27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49F00D5B" w:rsidR="001720AB" w:rsidRPr="005C18AC" w:rsidRDefault="001720A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„Understanding Quantified-</w:t>
      </w:r>
      <w:proofErr w:type="spellStart"/>
      <w:r w:rsidRPr="005C18AC">
        <w:rPr>
          <w:rFonts w:ascii="Times New Roman" w:hAnsi="Times New Roman" w:cs="Times New Roman"/>
          <w:kern w:val="0"/>
          <w:lang w:val="en-US"/>
        </w:rPr>
        <w:t>Selfers</w:t>
      </w:r>
      <w:proofErr w:type="spellEnd"/>
      <w:r w:rsidRPr="005C18AC">
        <w:rPr>
          <w:rFonts w:ascii="Times New Roman" w:hAnsi="Times New Roman" w:cs="Times New Roman"/>
          <w:kern w:val="0"/>
          <w:lang w:val="en-US"/>
        </w:rPr>
        <w:t xml:space="preserve">’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71AE7541" w:rsidR="00523D49" w:rsidRPr="005C18AC" w:rsidRDefault="00523D49">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w:t>
      </w:r>
      <w:proofErr w:type="spellStart"/>
      <w:r w:rsidRPr="005C18AC">
        <w:rPr>
          <w:rFonts w:ascii="Times New Roman" w:hAnsi="Times New Roman" w:cs="Times New Roman"/>
          <w:kern w:val="0"/>
          <w:lang w:val="en-US"/>
        </w:rPr>
        <w:t>lipiec</w:t>
      </w:r>
      <w:proofErr w:type="spellEnd"/>
      <w:r w:rsidRPr="005C18AC">
        <w:rPr>
          <w:rFonts w:ascii="Times New Roman" w:hAnsi="Times New Roman" w:cs="Times New Roman"/>
          <w:kern w:val="0"/>
          <w:lang w:val="en-US"/>
        </w:rPr>
        <w:t xml:space="preserve"> 2022): 258, https://doi.org/10.1186/s13104-022-06146-5.</w:t>
      </w:r>
      <w:r w:rsidRPr="005C18AC">
        <w:rPr>
          <w:rFonts w:ascii="Times New Roman" w:hAnsi="Times New Roman" w:cs="Times New Roman"/>
        </w:rPr>
        <w:fldChar w:fldCharType="end"/>
      </w:r>
    </w:p>
  </w:footnote>
  <w:footnote w:id="8">
    <w:p w14:paraId="434B6A22" w14:textId="72F9A883" w:rsidR="000E5F6A" w:rsidRPr="005C18AC" w:rsidRDefault="000E5F6A">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523D49" w:rsidRPr="005C18AC">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„What Is Player Load?”, Catapult Support, 31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2024, https://support.catapultsports.com/hc/en-us/articles/360000510795-What-is-Player-Load.</w:t>
      </w:r>
      <w:r w:rsidRPr="005C18AC">
        <w:rPr>
          <w:rFonts w:ascii="Times New Roman" w:hAnsi="Times New Roman" w:cs="Times New Roman"/>
        </w:rPr>
        <w:fldChar w:fldCharType="end"/>
      </w:r>
    </w:p>
  </w:footnote>
  <w:footnote w:id="9">
    <w:p w14:paraId="7D5D80F3" w14:textId="456E1E34" w:rsidR="004C6ECB" w:rsidRPr="005C18AC" w:rsidRDefault="004C6EC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2024.","noteIndex":9},"citationItems":[{"id":35,"uris":["http://zotero.org/users/15722138/items/EH6B4X4T"],"itemData":{"id":35,"type":"motion_picture","event-place":"Coursera","publisher-place":"Coursera","title":"Wearable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w:t>
      </w:r>
      <w:proofErr w:type="spellStart"/>
      <w:r w:rsidR="00CB286D" w:rsidRPr="005C18AC">
        <w:rPr>
          <w:rFonts w:ascii="Times New Roman" w:hAnsi="Times New Roman" w:cs="Times New Roman"/>
          <w:kern w:val="0"/>
          <w:lang w:val="en-US"/>
        </w:rPr>
        <w:t>b.d.</w:t>
      </w:r>
      <w:proofErr w:type="spellEnd"/>
      <w:r w:rsidR="00CB286D" w:rsidRPr="005C18AC">
        <w:rPr>
          <w:rFonts w:ascii="Times New Roman" w:hAnsi="Times New Roman" w:cs="Times New Roman"/>
          <w:kern w:val="0"/>
          <w:lang w:val="en-US"/>
        </w:rPr>
        <w:t xml:space="preserve">), </w:t>
      </w:r>
      <w:proofErr w:type="spellStart"/>
      <w:r w:rsidR="00CB286D" w:rsidRPr="005C18AC">
        <w:rPr>
          <w:rFonts w:ascii="Times New Roman" w:hAnsi="Times New Roman" w:cs="Times New Roman"/>
          <w:kern w:val="0"/>
          <w:lang w:val="en-US"/>
        </w:rPr>
        <w:t>dostęp</w:t>
      </w:r>
      <w:proofErr w:type="spellEnd"/>
      <w:r w:rsidR="00CB286D" w:rsidRPr="005C18AC">
        <w:rPr>
          <w:rFonts w:ascii="Times New Roman" w:hAnsi="Times New Roman" w:cs="Times New Roman"/>
          <w:kern w:val="0"/>
          <w:lang w:val="en-US"/>
        </w:rPr>
        <w:t xml:space="preserve"> 31 </w:t>
      </w:r>
      <w:proofErr w:type="spellStart"/>
      <w:r w:rsidR="00CB286D" w:rsidRPr="005C18AC">
        <w:rPr>
          <w:rFonts w:ascii="Times New Roman" w:hAnsi="Times New Roman" w:cs="Times New Roman"/>
          <w:kern w:val="0"/>
          <w:lang w:val="en-US"/>
        </w:rPr>
        <w:t>grudzień</w:t>
      </w:r>
      <w:proofErr w:type="spellEnd"/>
      <w:r w:rsidR="00CB286D" w:rsidRPr="005C18AC">
        <w:rPr>
          <w:rFonts w:ascii="Times New Roman" w:hAnsi="Times New Roman" w:cs="Times New Roman"/>
          <w:kern w:val="0"/>
          <w:lang w:val="en-US"/>
        </w:rPr>
        <w:t xml:space="preserve"> 2024.</w:t>
      </w:r>
      <w:r w:rsidRPr="005C18AC">
        <w:rPr>
          <w:rFonts w:ascii="Times New Roman" w:hAnsi="Times New Roman" w:cs="Times New Roman"/>
        </w:rPr>
        <w:fldChar w:fldCharType="end"/>
      </w:r>
    </w:p>
  </w:footnote>
  <w:footnote w:id="10">
    <w:p w14:paraId="0863FE0C" w14:textId="21DB8417" w:rsidR="00352803" w:rsidRPr="005C18AC" w:rsidRDefault="00352803">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2016): 273–80, https://doi.org/10.1136/bjsports-2015-095788.</w:t>
      </w:r>
      <w:r w:rsidRPr="005C18AC">
        <w:rPr>
          <w:rFonts w:ascii="Times New Roman" w:hAnsi="Times New Roman" w:cs="Times New Roman"/>
        </w:rPr>
        <w:fldChar w:fldCharType="end"/>
      </w:r>
    </w:p>
  </w:footnote>
  <w:footnote w:id="11">
    <w:p w14:paraId="68E0FE4F" w14:textId="6A9A2293" w:rsidR="00D70764" w:rsidRPr="005C18AC" w:rsidRDefault="00D70764">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2022): 5945, https://doi.org/10.3390/jcm11195945.</w:t>
      </w:r>
      <w:r w:rsidRPr="005C18AC">
        <w:rPr>
          <w:rFonts w:ascii="Times New Roman" w:hAnsi="Times New Roman" w:cs="Times New Roman"/>
        </w:rPr>
        <w:fldChar w:fldCharType="end"/>
      </w:r>
    </w:p>
  </w:footnote>
  <w:footnote w:id="12">
    <w:p w14:paraId="6790D8CD" w14:textId="6C4080CB" w:rsidR="00441B56" w:rsidRPr="005C18AC" w:rsidRDefault="00441B56">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2020): 360–81, https://doi.org/10.3390/iot1020021.</w:t>
      </w:r>
      <w:r w:rsidRPr="005C18AC">
        <w:rPr>
          <w:rFonts w:ascii="Times New Roman" w:hAnsi="Times New Roman" w:cs="Times New Roman"/>
        </w:rPr>
        <w:fldChar w:fldCharType="end"/>
      </w:r>
    </w:p>
  </w:footnote>
  <w:footnote w:id="13">
    <w:p w14:paraId="643AB83D" w14:textId="5C968E97" w:rsidR="00B61F50" w:rsidRPr="005C18AC" w:rsidRDefault="00B61F5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Dave </w:t>
      </w:r>
      <w:proofErr w:type="spellStart"/>
      <w:r w:rsidRPr="005C18AC">
        <w:rPr>
          <w:rFonts w:ascii="Times New Roman" w:hAnsi="Times New Roman" w:cs="Times New Roman"/>
          <w:kern w:val="0"/>
          <w:lang w:val="en-US"/>
        </w:rPr>
        <w:t>Ebbelaar</w:t>
      </w:r>
      <w:proofErr w:type="spellEnd"/>
      <w:r w:rsidRPr="005C18AC">
        <w:rPr>
          <w:rFonts w:ascii="Times New Roman" w:hAnsi="Times New Roman" w:cs="Times New Roman"/>
          <w:kern w:val="0"/>
          <w:lang w:val="en-US"/>
        </w:rPr>
        <w:t xml:space="preserve">, „Exploring the Possibilities of Context-Aware Applications for Strength Training” (Amsterdam, Vrije Universiteit),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17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2024, https://github.com/daveebbelaar/tracking-barbell-exercises/tree/master.</w:t>
      </w:r>
      <w:r w:rsidRPr="005C18AC">
        <w:rPr>
          <w:rFonts w:ascii="Times New Roman" w:hAnsi="Times New Roman" w:cs="Times New Roman"/>
        </w:rPr>
        <w:fldChar w:fldCharType="end"/>
      </w:r>
    </w:p>
  </w:footnote>
  <w:footnote w:id="14">
    <w:p w14:paraId="2405248E" w14:textId="1F9161E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w:t>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0B574CAA" w:rsidR="00D50952" w:rsidRPr="005C18AC" w:rsidRDefault="00D50952">
      <w:pPr>
        <w:pStyle w:val="Tekstprzypisudolnego"/>
        <w:rPr>
          <w:rFonts w:ascii="Times New Roman" w:hAnsi="Times New Roman" w:cs="Times New Roman"/>
        </w:rPr>
      </w:pPr>
      <w:r w:rsidRPr="005C18AC">
        <w:rPr>
          <w:rStyle w:val="Odwoanieprzypisudolnego"/>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4C6ECB" w:rsidRPr="005C18AC">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w:t>
      </w:r>
      <w:proofErr w:type="spellStart"/>
      <w:r w:rsidRPr="005C18AC">
        <w:rPr>
          <w:rFonts w:ascii="Times New Roman" w:hAnsi="Times New Roman" w:cs="Times New Roman"/>
          <w:kern w:val="0"/>
        </w:rPr>
        <w:t>PubMed</w:t>
      </w:r>
      <w:proofErr w:type="spellEnd"/>
      <w:r w:rsidRPr="005C18AC">
        <w:rPr>
          <w:rFonts w:ascii="Times New Roman" w:hAnsi="Times New Roman" w:cs="Times New Roman"/>
          <w:kern w:val="0"/>
        </w:rPr>
        <w:t>),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692F6F37"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Tong, „Chapter 1 - Wearable Technology in Medicine and Health Care”.</w:t>
      </w:r>
      <w:r w:rsidRPr="005C18AC">
        <w:rPr>
          <w:rFonts w:ascii="Times New Roman" w:hAnsi="Times New Roman" w:cs="Times New Roman"/>
        </w:rPr>
        <w:fldChar w:fldCharType="end"/>
      </w:r>
    </w:p>
  </w:footnote>
  <w:footnote w:id="17">
    <w:p w14:paraId="39593DC1" w14:textId="31A8A1D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6580B866" w:rsidR="008E19DE" w:rsidRPr="005C18AC" w:rsidRDefault="008E19D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2014).","noteIndex":18},"citationItems":[{"id":43,"uris":["http://zotero.org/users/15722138/items/96UCLKEA"],"itemData":{"id":43,"type":"book","collection-title":"Safari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49AE4335" w:rsidR="00321821" w:rsidRPr="00321821" w:rsidRDefault="00321821">
      <w:pPr>
        <w:pStyle w:val="Tekstprzypisudolnego"/>
        <w:rPr>
          <w:rFonts w:ascii="Times New Roman" w:hAnsi="Times New Roman" w:cs="Times New Roman"/>
          <w:lang w:val="en-US"/>
        </w:rPr>
      </w:pPr>
      <w:r w:rsidRPr="00321821">
        <w:rPr>
          <w:rStyle w:val="Odwoanieprzypisudolnego"/>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Pr="00321821">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https://doi.org/10.1007/978-3-319-66308-1.","noteIndex":19},"citationItems":[{"id":49,"uris":["http://zotero.org/users/15722138/items/ANFS6UJN"],"itemData":{"id":49,"type":"book","abstract":"This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w:t>
      </w:r>
      <w:proofErr w:type="spellStart"/>
      <w:r w:rsidRPr="00321821">
        <w:rPr>
          <w:rFonts w:ascii="Times New Roman" w:hAnsi="Times New Roman" w:cs="Times New Roman"/>
          <w:kern w:val="0"/>
          <w:lang w:val="en-US"/>
        </w:rPr>
        <w:t>i</w:t>
      </w:r>
      <w:proofErr w:type="spellEnd"/>
      <w:r w:rsidRPr="00321821">
        <w:rPr>
          <w:rFonts w:ascii="Times New Roman" w:hAnsi="Times New Roman" w:cs="Times New Roman"/>
          <w:kern w:val="0"/>
          <w:lang w:val="en-US"/>
        </w:rPr>
        <w:t xml:space="preserve">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76DDA459" w:rsidR="005C18AC" w:rsidRPr="005C18AC" w:rsidRDefault="005C18AC">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2019).","noteIndex":20},"citationItems":[{"id":47,"uris":["http://zotero.org/users/15722138/items/N7MPRCIJ"],"itemData":{"id":47,"type":"book","abstract":"Intro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77777777" w:rsidR="003D44F2" w:rsidRPr="005C18AC" w:rsidRDefault="003D44F2" w:rsidP="003D44F2">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2025).","noteIndex":21},"citationItems":[{"id":45,"uris":["http://zotero.org/users/15722138/items/JIPXX892"],"itemData":{"id":45,"type":"book","edition":"1st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0E49B828" w:rsidR="00CB286D" w:rsidRPr="005C18AC" w:rsidRDefault="00CB286D">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1977).","noteIndex":22},"citationItems":[{"id":40,"uris":["http://zotero.org/users/15722138/items/V9ML5WSZ"],"itemData":{"id":40,"type":"book","call-number":"519.5","collection-title":"Addison-Wesley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xml:space="preserve">, Addison-Wesley Series in Behavioral Science (Reading (Mass.) Menlo Park (Calif.) London [etc.]: Addison-Wesley </w:t>
      </w:r>
      <w:proofErr w:type="spellStart"/>
      <w:r w:rsidRPr="005C18AC">
        <w:rPr>
          <w:rFonts w:ascii="Times New Roman" w:hAnsi="Times New Roman" w:cs="Times New Roman"/>
          <w:kern w:val="0"/>
          <w:lang w:val="en-US"/>
        </w:rPr>
        <w:t>publ</w:t>
      </w:r>
      <w:proofErr w:type="spellEnd"/>
      <w:r w:rsidRPr="005C18AC">
        <w:rPr>
          <w:rFonts w:ascii="Times New Roman" w:hAnsi="Times New Roman" w:cs="Times New Roman"/>
          <w:kern w:val="0"/>
          <w:lang w:val="en-US"/>
        </w:rPr>
        <w:t>, 1977).</w:t>
      </w:r>
      <w:r w:rsidRPr="005C18AC">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apunktowana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apunktowana2"/>
      <w:lvlText w:val=""/>
      <w:lvlJc w:val="left"/>
      <w:pPr>
        <w:tabs>
          <w:tab w:val="num" w:pos="720"/>
        </w:tabs>
        <w:ind w:left="720" w:hanging="360"/>
      </w:pPr>
      <w:rPr>
        <w:rFonts w:ascii="Symbol" w:hAnsi="Symbol" w:hint="default"/>
      </w:rPr>
    </w:lvl>
  </w:abstractNum>
  <w:abstractNum w:abstractNumId="2" w15:restartNumberingAfterBreak="0">
    <w:nsid w:val="04FC6157"/>
    <w:multiLevelType w:val="hybridMultilevel"/>
    <w:tmpl w:val="13BA1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4CC"/>
    <w:multiLevelType w:val="hybridMultilevel"/>
    <w:tmpl w:val="1632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FDC"/>
    <w:multiLevelType w:val="hybridMultilevel"/>
    <w:tmpl w:val="02E4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C27CD"/>
    <w:multiLevelType w:val="multilevel"/>
    <w:tmpl w:val="2B7A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60DE6"/>
    <w:multiLevelType w:val="hybridMultilevel"/>
    <w:tmpl w:val="BAA60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64F5"/>
    <w:multiLevelType w:val="hybridMultilevel"/>
    <w:tmpl w:val="C5D29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14"/>
  </w:num>
  <w:num w:numId="2" w16cid:durableId="291835412">
    <w:abstractNumId w:val="7"/>
  </w:num>
  <w:num w:numId="3" w16cid:durableId="984509483">
    <w:abstractNumId w:val="15"/>
  </w:num>
  <w:num w:numId="4" w16cid:durableId="253368043">
    <w:abstractNumId w:val="19"/>
  </w:num>
  <w:num w:numId="5" w16cid:durableId="1150291514">
    <w:abstractNumId w:val="17"/>
  </w:num>
  <w:num w:numId="6" w16cid:durableId="612053820">
    <w:abstractNumId w:val="18"/>
  </w:num>
  <w:num w:numId="7" w16cid:durableId="285161588">
    <w:abstractNumId w:val="1"/>
  </w:num>
  <w:num w:numId="8" w16cid:durableId="580338767">
    <w:abstractNumId w:val="4"/>
  </w:num>
  <w:num w:numId="9" w16cid:durableId="337198770">
    <w:abstractNumId w:val="5"/>
  </w:num>
  <w:num w:numId="10" w16cid:durableId="564146095">
    <w:abstractNumId w:val="3"/>
  </w:num>
  <w:num w:numId="11" w16cid:durableId="923031318">
    <w:abstractNumId w:val="10"/>
  </w:num>
  <w:num w:numId="12" w16cid:durableId="1694764424">
    <w:abstractNumId w:val="13"/>
  </w:num>
  <w:num w:numId="13" w16cid:durableId="952174893">
    <w:abstractNumId w:val="0"/>
  </w:num>
  <w:num w:numId="14" w16cid:durableId="272129374">
    <w:abstractNumId w:val="9"/>
  </w:num>
  <w:num w:numId="15" w16cid:durableId="1228036362">
    <w:abstractNumId w:val="11"/>
  </w:num>
  <w:num w:numId="16" w16cid:durableId="951404514">
    <w:abstractNumId w:val="16"/>
  </w:num>
  <w:num w:numId="17" w16cid:durableId="1483421680">
    <w:abstractNumId w:val="6"/>
  </w:num>
  <w:num w:numId="18" w16cid:durableId="150024857">
    <w:abstractNumId w:val="12"/>
  </w:num>
  <w:num w:numId="19" w16cid:durableId="1979648731">
    <w:abstractNumId w:val="8"/>
  </w:num>
  <w:num w:numId="20" w16cid:durableId="482549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224EB"/>
    <w:rsid w:val="00024E56"/>
    <w:rsid w:val="0004004D"/>
    <w:rsid w:val="00040E15"/>
    <w:rsid w:val="0005687C"/>
    <w:rsid w:val="000628FD"/>
    <w:rsid w:val="00076CF8"/>
    <w:rsid w:val="00082FF4"/>
    <w:rsid w:val="000A5D81"/>
    <w:rsid w:val="000B7E60"/>
    <w:rsid w:val="000C65E5"/>
    <w:rsid w:val="000D52B6"/>
    <w:rsid w:val="000D6824"/>
    <w:rsid w:val="000E5F6A"/>
    <w:rsid w:val="00127809"/>
    <w:rsid w:val="00127CAF"/>
    <w:rsid w:val="00134A1C"/>
    <w:rsid w:val="00156E11"/>
    <w:rsid w:val="001720AB"/>
    <w:rsid w:val="00173112"/>
    <w:rsid w:val="0018130F"/>
    <w:rsid w:val="001A629D"/>
    <w:rsid w:val="001B4376"/>
    <w:rsid w:val="001C3CE4"/>
    <w:rsid w:val="001D065F"/>
    <w:rsid w:val="001E7651"/>
    <w:rsid w:val="00245BEE"/>
    <w:rsid w:val="00254427"/>
    <w:rsid w:val="002620EF"/>
    <w:rsid w:val="00295C01"/>
    <w:rsid w:val="002A4396"/>
    <w:rsid w:val="002B3F4B"/>
    <w:rsid w:val="002C449E"/>
    <w:rsid w:val="002E5DE7"/>
    <w:rsid w:val="00312D7D"/>
    <w:rsid w:val="00321821"/>
    <w:rsid w:val="003458AC"/>
    <w:rsid w:val="00345ED2"/>
    <w:rsid w:val="00352803"/>
    <w:rsid w:val="00356F90"/>
    <w:rsid w:val="003660EB"/>
    <w:rsid w:val="00371C8C"/>
    <w:rsid w:val="00374101"/>
    <w:rsid w:val="00396F5B"/>
    <w:rsid w:val="003B3E0D"/>
    <w:rsid w:val="003D44F2"/>
    <w:rsid w:val="00441B56"/>
    <w:rsid w:val="00462471"/>
    <w:rsid w:val="004C6ECB"/>
    <w:rsid w:val="004F69DA"/>
    <w:rsid w:val="00502685"/>
    <w:rsid w:val="0050696D"/>
    <w:rsid w:val="0050718C"/>
    <w:rsid w:val="00515B21"/>
    <w:rsid w:val="00521363"/>
    <w:rsid w:val="00523D49"/>
    <w:rsid w:val="00535F1F"/>
    <w:rsid w:val="00563F25"/>
    <w:rsid w:val="00583741"/>
    <w:rsid w:val="00587A12"/>
    <w:rsid w:val="0059547B"/>
    <w:rsid w:val="005A60EF"/>
    <w:rsid w:val="005C18AC"/>
    <w:rsid w:val="005F070F"/>
    <w:rsid w:val="005F1605"/>
    <w:rsid w:val="005F28CA"/>
    <w:rsid w:val="005F5A98"/>
    <w:rsid w:val="0062387A"/>
    <w:rsid w:val="00640A78"/>
    <w:rsid w:val="00653786"/>
    <w:rsid w:val="006751D2"/>
    <w:rsid w:val="006963BE"/>
    <w:rsid w:val="006C4EF2"/>
    <w:rsid w:val="006C7FD5"/>
    <w:rsid w:val="00701193"/>
    <w:rsid w:val="007443B6"/>
    <w:rsid w:val="00746F68"/>
    <w:rsid w:val="0076174A"/>
    <w:rsid w:val="0076DD49"/>
    <w:rsid w:val="007836A7"/>
    <w:rsid w:val="00795B35"/>
    <w:rsid w:val="0080299D"/>
    <w:rsid w:val="0080438A"/>
    <w:rsid w:val="0080440F"/>
    <w:rsid w:val="00822087"/>
    <w:rsid w:val="00852841"/>
    <w:rsid w:val="008613A7"/>
    <w:rsid w:val="00872992"/>
    <w:rsid w:val="008949D9"/>
    <w:rsid w:val="008A6890"/>
    <w:rsid w:val="008B5C51"/>
    <w:rsid w:val="008B60D2"/>
    <w:rsid w:val="008B6D33"/>
    <w:rsid w:val="008BE24E"/>
    <w:rsid w:val="008C4537"/>
    <w:rsid w:val="008D0578"/>
    <w:rsid w:val="008E19DE"/>
    <w:rsid w:val="008F35EE"/>
    <w:rsid w:val="0092329B"/>
    <w:rsid w:val="009502FB"/>
    <w:rsid w:val="00980D75"/>
    <w:rsid w:val="009A2418"/>
    <w:rsid w:val="009A2994"/>
    <w:rsid w:val="009C033B"/>
    <w:rsid w:val="009C240D"/>
    <w:rsid w:val="009C4524"/>
    <w:rsid w:val="009C778E"/>
    <w:rsid w:val="009E253F"/>
    <w:rsid w:val="009F0105"/>
    <w:rsid w:val="00A04613"/>
    <w:rsid w:val="00A429F1"/>
    <w:rsid w:val="00A445BB"/>
    <w:rsid w:val="00A547E5"/>
    <w:rsid w:val="00A748A4"/>
    <w:rsid w:val="00A96F67"/>
    <w:rsid w:val="00AA19AB"/>
    <w:rsid w:val="00B10D03"/>
    <w:rsid w:val="00B61F50"/>
    <w:rsid w:val="00B708D7"/>
    <w:rsid w:val="00B75F0B"/>
    <w:rsid w:val="00B773E0"/>
    <w:rsid w:val="00BC3594"/>
    <w:rsid w:val="00BC6826"/>
    <w:rsid w:val="00BD0F3E"/>
    <w:rsid w:val="00BD3C76"/>
    <w:rsid w:val="00BD5EB9"/>
    <w:rsid w:val="00BD657E"/>
    <w:rsid w:val="00BD6CD7"/>
    <w:rsid w:val="00BF07D6"/>
    <w:rsid w:val="00C80C31"/>
    <w:rsid w:val="00C84AAC"/>
    <w:rsid w:val="00C9443E"/>
    <w:rsid w:val="00C96548"/>
    <w:rsid w:val="00CA50F4"/>
    <w:rsid w:val="00CB286D"/>
    <w:rsid w:val="00CD2073"/>
    <w:rsid w:val="00D05749"/>
    <w:rsid w:val="00D11DFA"/>
    <w:rsid w:val="00D124A2"/>
    <w:rsid w:val="00D37435"/>
    <w:rsid w:val="00D50952"/>
    <w:rsid w:val="00D70764"/>
    <w:rsid w:val="00D82C9F"/>
    <w:rsid w:val="00DA7AA6"/>
    <w:rsid w:val="00DC4E74"/>
    <w:rsid w:val="00DD0D30"/>
    <w:rsid w:val="00DD798B"/>
    <w:rsid w:val="00E01D75"/>
    <w:rsid w:val="00E13001"/>
    <w:rsid w:val="00E2682A"/>
    <w:rsid w:val="00E4176B"/>
    <w:rsid w:val="00E7111E"/>
    <w:rsid w:val="00E95457"/>
    <w:rsid w:val="00EA0B26"/>
    <w:rsid w:val="00EA7488"/>
    <w:rsid w:val="00ED6AC7"/>
    <w:rsid w:val="00EE5397"/>
    <w:rsid w:val="00F1285E"/>
    <w:rsid w:val="00F710E7"/>
    <w:rsid w:val="00F74DA9"/>
    <w:rsid w:val="00F76F97"/>
    <w:rsid w:val="00F775C3"/>
    <w:rsid w:val="00F814C4"/>
    <w:rsid w:val="00F864F7"/>
    <w:rsid w:val="00F87968"/>
    <w:rsid w:val="00F9677C"/>
    <w:rsid w:val="00FA0E07"/>
    <w:rsid w:val="00FA6449"/>
    <w:rsid w:val="00FA7803"/>
    <w:rsid w:val="00FC298F"/>
    <w:rsid w:val="00FD4F34"/>
    <w:rsid w:val="00FE11B6"/>
    <w:rsid w:val="00FE1DB2"/>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482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1482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1482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01482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482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482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482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482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4825"/>
    <w:rPr>
      <w:rFonts w:eastAsiaTheme="majorEastAsia" w:cstheme="majorBidi"/>
      <w:color w:val="272727" w:themeColor="text1" w:themeTint="D8"/>
    </w:rPr>
  </w:style>
  <w:style w:type="paragraph" w:styleId="Tytu">
    <w:name w:val="Title"/>
    <w:basedOn w:val="Normalny"/>
    <w:next w:val="Normalny"/>
    <w:link w:val="TytuZnak"/>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482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482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4825"/>
    <w:pPr>
      <w:spacing w:before="160"/>
      <w:jc w:val="center"/>
    </w:pPr>
    <w:rPr>
      <w:i/>
      <w:iCs/>
      <w:color w:val="404040" w:themeColor="text1" w:themeTint="BF"/>
    </w:rPr>
  </w:style>
  <w:style w:type="character" w:customStyle="1" w:styleId="CytatZnak">
    <w:name w:val="Cytat Znak"/>
    <w:basedOn w:val="Domylnaczcionkaakapitu"/>
    <w:link w:val="Cytat"/>
    <w:uiPriority w:val="29"/>
    <w:rsid w:val="00014825"/>
    <w:rPr>
      <w:i/>
      <w:iCs/>
      <w:color w:val="404040" w:themeColor="text1" w:themeTint="BF"/>
    </w:rPr>
  </w:style>
  <w:style w:type="paragraph" w:styleId="Akapitzlist">
    <w:name w:val="List Paragraph"/>
    <w:basedOn w:val="Normalny"/>
    <w:uiPriority w:val="34"/>
    <w:qFormat/>
    <w:rsid w:val="00014825"/>
    <w:pPr>
      <w:ind w:left="720"/>
      <w:contextualSpacing/>
    </w:pPr>
  </w:style>
  <w:style w:type="character" w:styleId="Wyrnienieintensywne">
    <w:name w:val="Intense Emphasis"/>
    <w:basedOn w:val="Domylnaczcionkaakapitu"/>
    <w:uiPriority w:val="21"/>
    <w:qFormat/>
    <w:rsid w:val="00014825"/>
    <w:rPr>
      <w:i/>
      <w:iCs/>
      <w:color w:val="2F5496" w:themeColor="accent1" w:themeShade="BF"/>
    </w:rPr>
  </w:style>
  <w:style w:type="paragraph" w:styleId="Cytatintensywny">
    <w:name w:val="Intense Quote"/>
    <w:basedOn w:val="Normalny"/>
    <w:next w:val="Normalny"/>
    <w:link w:val="CytatintensywnyZnak"/>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4825"/>
    <w:rPr>
      <w:i/>
      <w:iCs/>
      <w:color w:val="2F5496" w:themeColor="accent1" w:themeShade="BF"/>
    </w:rPr>
  </w:style>
  <w:style w:type="character" w:styleId="Odwoanieintensywne">
    <w:name w:val="Intense Reference"/>
    <w:basedOn w:val="Domylnaczcionkaakapitu"/>
    <w:uiPriority w:val="32"/>
    <w:qFormat/>
    <w:rsid w:val="00014825"/>
    <w:rPr>
      <w:b/>
      <w:bCs/>
      <w:smallCaps/>
      <w:color w:val="2F5496" w:themeColor="accent1" w:themeShade="BF"/>
      <w:spacing w:val="5"/>
    </w:rPr>
  </w:style>
  <w:style w:type="paragraph" w:styleId="Tekstprzypisudolnego">
    <w:name w:val="footnote text"/>
    <w:basedOn w:val="Normalny"/>
    <w:link w:val="TekstprzypisudolnegoZnak"/>
    <w:uiPriority w:val="99"/>
    <w:semiHidden/>
    <w:unhideWhenUsed/>
    <w:rsid w:val="002C449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C449E"/>
    <w:rPr>
      <w:sz w:val="20"/>
      <w:szCs w:val="20"/>
    </w:rPr>
  </w:style>
  <w:style w:type="character" w:styleId="Odwoanieprzypisudolnego">
    <w:name w:val="footnote reference"/>
    <w:basedOn w:val="Domylnaczcionkaakapitu"/>
    <w:uiPriority w:val="99"/>
    <w:semiHidden/>
    <w:unhideWhenUsed/>
    <w:rsid w:val="002C449E"/>
    <w:rPr>
      <w:vertAlign w:val="superscript"/>
    </w:rPr>
  </w:style>
  <w:style w:type="paragraph" w:styleId="Nagwek">
    <w:name w:val="header"/>
    <w:basedOn w:val="Normalny"/>
    <w:link w:val="NagwekZnak"/>
    <w:uiPriority w:val="99"/>
    <w:unhideWhenUsed/>
    <w:rsid w:val="008613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613A7"/>
  </w:style>
  <w:style w:type="paragraph" w:styleId="Stopka">
    <w:name w:val="footer"/>
    <w:basedOn w:val="Normalny"/>
    <w:link w:val="StopkaZnak"/>
    <w:uiPriority w:val="99"/>
    <w:unhideWhenUsed/>
    <w:rsid w:val="008613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613A7"/>
  </w:style>
  <w:style w:type="paragraph" w:styleId="Lista2">
    <w:name w:val="List 2"/>
    <w:basedOn w:val="Normalny"/>
    <w:uiPriority w:val="99"/>
    <w:unhideWhenUsed/>
    <w:rsid w:val="006751D2"/>
    <w:pPr>
      <w:ind w:left="720" w:hanging="360"/>
      <w:contextualSpacing/>
    </w:pPr>
  </w:style>
  <w:style w:type="paragraph" w:styleId="Listapunktowana2">
    <w:name w:val="List Bullet 2"/>
    <w:basedOn w:val="Normalny"/>
    <w:uiPriority w:val="99"/>
    <w:unhideWhenUsed/>
    <w:rsid w:val="006751D2"/>
    <w:pPr>
      <w:numPr>
        <w:numId w:val="7"/>
      </w:numPr>
      <w:contextualSpacing/>
    </w:pPr>
  </w:style>
  <w:style w:type="paragraph" w:styleId="Tekstpodstawowy">
    <w:name w:val="Body Text"/>
    <w:basedOn w:val="Normalny"/>
    <w:link w:val="TekstpodstawowyZnak"/>
    <w:uiPriority w:val="99"/>
    <w:unhideWhenUsed/>
    <w:rsid w:val="006751D2"/>
    <w:pPr>
      <w:spacing w:after="120"/>
    </w:pPr>
  </w:style>
  <w:style w:type="character" w:customStyle="1" w:styleId="TekstpodstawowyZnak">
    <w:name w:val="Tekst podstawowy Znak"/>
    <w:basedOn w:val="Domylnaczcionkaakapitu"/>
    <w:link w:val="Tekstpodstawowy"/>
    <w:uiPriority w:val="99"/>
    <w:rsid w:val="006751D2"/>
  </w:style>
  <w:style w:type="character" w:styleId="Hipercze">
    <w:name w:val="Hyperlink"/>
    <w:basedOn w:val="Domylnaczcionkaakapitu"/>
    <w:uiPriority w:val="99"/>
    <w:unhideWhenUsed/>
    <w:rsid w:val="00BC6826"/>
    <w:rPr>
      <w:color w:val="0563C1" w:themeColor="hyperlink"/>
      <w:u w:val="single"/>
    </w:rPr>
  </w:style>
  <w:style w:type="character" w:styleId="Nierozpoznanawzmianka">
    <w:name w:val="Unresolved Mention"/>
    <w:basedOn w:val="Domylnaczcionkaakapitu"/>
    <w:uiPriority w:val="99"/>
    <w:semiHidden/>
    <w:unhideWhenUsed/>
    <w:rsid w:val="00BC6826"/>
    <w:rPr>
      <w:color w:val="605E5C"/>
      <w:shd w:val="clear" w:color="auto" w:fill="E1DFDD"/>
    </w:rPr>
  </w:style>
  <w:style w:type="character" w:styleId="Tekstzastpczy">
    <w:name w:val="Placeholder Text"/>
    <w:basedOn w:val="Domylnaczcionkaakapitu"/>
    <w:uiPriority w:val="99"/>
    <w:semiHidden/>
    <w:rsid w:val="002620EF"/>
    <w:rPr>
      <w:color w:val="666666"/>
    </w:rPr>
  </w:style>
  <w:style w:type="paragraph" w:styleId="HTML-wstpniesformatowany">
    <w:name w:val="HTML Preformatted"/>
    <w:basedOn w:val="Normalny"/>
    <w:link w:val="HTML-wstpniesformatowanyZnak"/>
    <w:uiPriority w:val="99"/>
    <w:semiHidden/>
    <w:unhideWhenUsed/>
    <w:rsid w:val="002620EF"/>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2620EF"/>
    <w:rPr>
      <w:rFonts w:ascii="Consolas" w:hAnsi="Consolas"/>
      <w:sz w:val="20"/>
      <w:szCs w:val="20"/>
    </w:rPr>
  </w:style>
  <w:style w:type="paragraph" w:styleId="Nagwekspisutreci">
    <w:name w:val="TOC Heading"/>
    <w:basedOn w:val="Nagwek1"/>
    <w:next w:val="Normalny"/>
    <w:uiPriority w:val="39"/>
    <w:unhideWhenUsed/>
    <w:qFormat/>
    <w:rsid w:val="00F775C3"/>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F775C3"/>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F775C3"/>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F775C3"/>
    <w:pPr>
      <w:spacing w:after="100"/>
      <w:ind w:left="440"/>
    </w:pPr>
    <w:rPr>
      <w:rFonts w:eastAsiaTheme="minorEastAsia" w:cs="Times New Roman"/>
      <w:kern w:val="0"/>
      <w:lang w:eastAsia="pl-PL"/>
      <w14:ligatures w14:val="none"/>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Poprawka">
    <w:name w:val="Revision"/>
    <w:hidden/>
    <w:uiPriority w:val="99"/>
    <w:semiHidden/>
    <w:rsid w:val="005F070F"/>
    <w:pPr>
      <w:spacing w:after="0" w:line="240" w:lineRule="auto"/>
    </w:pPr>
  </w:style>
  <w:style w:type="paragraph" w:styleId="Tekstprzypisukocowego">
    <w:name w:val="endnote text"/>
    <w:basedOn w:val="Normalny"/>
    <w:link w:val="TekstprzypisukocowegoZnak"/>
    <w:uiPriority w:val="99"/>
    <w:semiHidden/>
    <w:unhideWhenUsed/>
    <w:rsid w:val="00FE1D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DB2"/>
    <w:rPr>
      <w:sz w:val="20"/>
      <w:szCs w:val="20"/>
    </w:rPr>
  </w:style>
  <w:style w:type="character" w:styleId="Odwoanieprzypisukocowego">
    <w:name w:val="endnote reference"/>
    <w:basedOn w:val="Domylnaczcionkaakapitu"/>
    <w:uiPriority w:val="99"/>
    <w:semiHidden/>
    <w:unhideWhenUsed/>
    <w:rsid w:val="00FE1DB2"/>
    <w:rPr>
      <w:vertAlign w:val="superscript"/>
    </w:rPr>
  </w:style>
  <w:style w:type="paragraph" w:styleId="Lista">
    <w:name w:val="List"/>
    <w:basedOn w:val="Normalny"/>
    <w:uiPriority w:val="99"/>
    <w:unhideWhenUsed/>
    <w:rsid w:val="00156E11"/>
    <w:pPr>
      <w:ind w:left="360" w:hanging="360"/>
      <w:contextualSpacing/>
    </w:pPr>
  </w:style>
  <w:style w:type="paragraph" w:styleId="Listapunktowana3">
    <w:name w:val="List Bullet 3"/>
    <w:basedOn w:val="Normalny"/>
    <w:uiPriority w:val="99"/>
    <w:unhideWhenUsed/>
    <w:rsid w:val="00156E11"/>
    <w:pPr>
      <w:numPr>
        <w:numId w:val="13"/>
      </w:numPr>
      <w:contextualSpacing/>
    </w:pPr>
  </w:style>
  <w:style w:type="table" w:styleId="Tabela-Siatka">
    <w:name w:val="Table Grid"/>
    <w:basedOn w:val="Standardowy"/>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2264529">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22832763">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649406053">
      <w:bodyDiv w:val="1"/>
      <w:marLeft w:val="0"/>
      <w:marRight w:val="0"/>
      <w:marTop w:val="0"/>
      <w:marBottom w:val="0"/>
      <w:divBdr>
        <w:top w:val="none" w:sz="0" w:space="0" w:color="auto"/>
        <w:left w:val="none" w:sz="0" w:space="0" w:color="auto"/>
        <w:bottom w:val="none" w:sz="0" w:space="0" w:color="auto"/>
        <w:right w:val="none" w:sz="0" w:space="0" w:color="auto"/>
      </w:divBdr>
    </w:div>
    <w:div w:id="652443388">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 w:id="2115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FBE0F1-0465-44C9-AF04-9F18C06D0A05}">
  <ds:schemaRefs>
    <ds:schemaRef ds:uri="http://schemas.microsoft.com/sharepoint/v3/contenttype/forms"/>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21</Pages>
  <Words>6286</Words>
  <Characters>37717</Characters>
  <Application>Microsoft Office Word</Application>
  <DocSecurity>0</DocSecurity>
  <Lines>314</Lines>
  <Paragraphs>87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10</cp:revision>
  <dcterms:created xsi:type="dcterms:W3CDTF">2025-04-18T11:21:00Z</dcterms:created>
  <dcterms:modified xsi:type="dcterms:W3CDTF">2025-04-23T12:58:00Z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id="djlDh2tY"/&gt;&lt;style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