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omputervision-counter-quick-start"/>
    <w:p>
      <w:pPr>
        <w:pStyle w:val="Heading1"/>
      </w:pPr>
      <w:r>
        <w:t xml:space="preserve">ComputerVision Counter — Quick Start</w:t>
      </w:r>
    </w:p>
    <w:p>
      <w:pPr>
        <w:pStyle w:val="FirstParagraph"/>
      </w:pPr>
      <w:r>
        <w:t xml:space="preserve">This short guide reflects the current behavior:</w:t>
      </w:r>
      <w:r>
        <w:t xml:space="preserve"> </w:t>
      </w:r>
      <w:r>
        <w:rPr>
          <w:b/>
          <w:bCs/>
        </w:rPr>
        <w:t xml:space="preserve">AOI toggle respected</w:t>
      </w:r>
      <w:r>
        <w:t xml:space="preserve">,</w:t>
      </w:r>
      <w:r>
        <w:t xml:space="preserve"> </w:t>
      </w:r>
      <w:r>
        <w:rPr>
          <w:b/>
          <w:bCs/>
        </w:rPr>
        <w:t xml:space="preserve">clean overlay summary</w:t>
      </w:r>
      <w:r>
        <w:t xml:space="preserve">, and</w:t>
      </w:r>
      <w:r>
        <w:t xml:space="preserve"> </w:t>
      </w:r>
      <w:r>
        <w:rPr>
          <w:b/>
          <w:bCs/>
        </w:rPr>
        <w:t xml:space="preserve">immediate abort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install-once"/>
    <w:p>
      <w:pPr>
        <w:pStyle w:val="Heading2"/>
      </w:pPr>
      <w:r>
        <w:t xml:space="preserve">1) Install once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bootstrap_env.py</w:t>
      </w:r>
    </w:p>
    <w:p>
      <w:pPr>
        <w:pStyle w:val="FirstParagraph"/>
      </w:pPr>
      <w:r>
        <w:t xml:space="preserve">Installs dependencies into a local</w:t>
      </w:r>
      <w:r>
        <w:t xml:space="preserve"> </w:t>
      </w:r>
      <w:r>
        <w:rPr>
          <w:rStyle w:val="VerbatimChar"/>
        </w:rPr>
        <w:t xml:space="preserve">./pkgs</w:t>
      </w:r>
      <w:r>
        <w:t xml:space="preserve"> </w:t>
      </w:r>
      <w:r>
        <w:t xml:space="preserve">folder (portable; no system pollution).</w:t>
      </w:r>
    </w:p>
    <w:p>
      <w:r>
        <w:pict>
          <v:rect style="width:0;height:1.5pt" o:hralign="center" o:hrstd="t" o:hr="t"/>
        </w:pict>
      </w:r>
    </w:p>
    <w:bookmarkEnd w:id="20"/>
    <w:bookmarkStart w:id="21" w:name="launch"/>
    <w:p>
      <w:pPr>
        <w:pStyle w:val="Heading2"/>
      </w:pPr>
      <w:r>
        <w:t xml:space="preserve">2) Launch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start_app.py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via the GUI (not prefilled). Default output is</w:t>
      </w:r>
      <w:r>
        <w:t xml:space="preserve"> </w:t>
      </w:r>
      <w:r>
        <w:rPr>
          <w:rStyle w:val="VerbatimChar"/>
        </w:rPr>
        <w:t xml:space="preserve">./output/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Supported models:</w:t>
      </w:r>
      <w:r>
        <w:t xml:space="preserve"> </w:t>
      </w:r>
      <w:r>
        <w:t xml:space="preserve">Ultralytics `` only.</w:t>
      </w:r>
      <w:r>
        <w:t xml:space="preserve"> </w:t>
      </w:r>
      <w:r>
        <w:rPr>
          <w:b/>
          <w:bCs/>
        </w:rPr>
        <w:t xml:space="preserve">ONNX is disabled in this release</w:t>
      </w:r>
      <w:r>
        <w:t xml:space="preserve"> </w:t>
      </w:r>
      <w:r>
        <w:t xml:space="preserve">and will arrive in the next release.</w:t>
      </w:r>
    </w:p>
    <w:p>
      <w:r>
        <w:pict>
          <v:rect style="width:0;height:1.5pt" o:hralign="center" o:hrstd="t" o:hr="t"/>
        </w:pict>
      </w:r>
    </w:p>
    <w:bookmarkEnd w:id="21"/>
    <w:bookmarkStart w:id="24" w:name="load-data-model"/>
    <w:p>
      <w:pPr>
        <w:pStyle w:val="Heading2"/>
      </w:pPr>
      <w:r>
        <w:t xml:space="preserve">3) Load data &amp; model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Browse… (Input)</w:t>
      </w:r>
      <w:r>
        <w:t xml:space="preserve"> </w:t>
      </w:r>
      <w:r>
        <w:t xml:space="preserve">→ pick a folder or select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Browse… (Model)</w:t>
      </w:r>
      <w:r>
        <w:t xml:space="preserve"> </w:t>
      </w:r>
      <w:r>
        <w:t xml:space="preserve">→ choose a YOLO `` file. Class names auto‑load.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 classes</w:t>
      </w:r>
      <w:r>
        <w:t xml:space="preserve"> </w:t>
      </w:r>
      <w:r>
        <w:t xml:space="preserve">(at least one).</w:t>
      </w:r>
    </w:p>
    <w:p>
      <w:pPr>
        <w:pStyle w:val="FirstParagraph"/>
      </w:pPr>
      <w:r>
        <w:rPr>
          <w:b/>
          <w:bCs/>
        </w:rPr>
        <w:t xml:space="preserve">Get a test model (YOLO11n)</w:t>
      </w:r>
      <w:r>
        <w:br/>
      </w: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bundle third‑party weights. To try the app quickly, fetch a small official model from Ultralytics:</w:t>
      </w:r>
    </w:p>
    <w:p>
      <w:pPr>
        <w:pStyle w:val="Compact"/>
        <w:numPr>
          <w:ilvl w:val="0"/>
          <w:numId w:val="1002"/>
        </w:numPr>
      </w:pPr>
      <w:r>
        <w:t xml:space="preserve">Ultralytics Detect task:</w:t>
      </w:r>
      <w:r>
        <w:t xml:space="preserve"> </w:t>
      </w:r>
      <w:hyperlink r:id="rId22">
        <w:r>
          <w:rPr>
            <w:rStyle w:val="Hyperlink"/>
          </w:rPr>
          <w:t xml:space="preserve">https://docs.ultralytics.com/tasks/detect/</w:t>
        </w:r>
      </w:hyperlink>
    </w:p>
    <w:p>
      <w:pPr>
        <w:pStyle w:val="Compact"/>
        <w:numPr>
          <w:ilvl w:val="0"/>
          <w:numId w:val="1002"/>
        </w:numPr>
      </w:pPr>
      <w:r>
        <w:t xml:space="preserve">YOLO11 models overview:</w:t>
      </w:r>
      <w:r>
        <w:t xml:space="preserve"> </w:t>
      </w:r>
      <w:hyperlink r:id="rId23">
        <w:r>
          <w:rPr>
            <w:rStyle w:val="Hyperlink"/>
          </w:rPr>
          <w:t xml:space="preserve">https://docs.ultralytics.com/models/yolo11/</w:t>
        </w:r>
      </w:hyperlink>
    </w:p>
    <w:p>
      <w:pPr>
        <w:pStyle w:val="BlockText"/>
      </w:pPr>
      <w:r>
        <w:t xml:space="preserve">Tip: choose</w:t>
      </w:r>
      <w:r>
        <w:t xml:space="preserve"> </w:t>
      </w:r>
      <w:r>
        <w:rPr>
          <w:b/>
          <w:bCs/>
        </w:rPr>
        <w:t xml:space="preserve">YOLO11n</w:t>
      </w:r>
      <w:r>
        <w:t xml:space="preserve"> </w:t>
      </w:r>
      <w:r>
        <w:t xml:space="preserve">(nano) for the fastest test.</w:t>
      </w:r>
    </w:p>
    <w:p>
      <w:pPr>
        <w:pStyle w:val="FirstParagraph"/>
      </w:pPr>
      <w:r>
        <w:rPr>
          <w:b/>
          <w:bCs/>
        </w:rPr>
        <w:t xml:space="preserve">More model 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Ultralytics Docs</w:t>
      </w:r>
      <w:r>
        <w:t xml:space="preserve"> </w:t>
      </w:r>
      <w:r>
        <w:t xml:space="preserve">(links above) — official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weights.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Ultralytics on Hugging Face</w:t>
      </w:r>
      <w:r>
        <w:t xml:space="preserve"> </w:t>
      </w:r>
      <w:r>
        <w:t xml:space="preserve">— search for</w:t>
      </w:r>
      <w:r>
        <w:t xml:space="preserve"> </w:t>
      </w:r>
      <w:r>
        <w:rPr>
          <w:rStyle w:val="VerbatimChar"/>
        </w:rPr>
        <w:t xml:space="preserve">yolo11n.pt</w:t>
      </w:r>
      <w:r>
        <w:t xml:space="preserve"> </w:t>
      </w:r>
      <w:r>
        <w:t xml:space="preserve">and related variants.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Model zoos</w:t>
      </w:r>
      <w:r>
        <w:t xml:space="preserve"> </w:t>
      </w:r>
      <w:r>
        <w:t xml:space="preserve">(varied licenses): Roboflow Universe, Hugging Face Hub. Always verify the license of any third‑party model before use.</w:t>
      </w:r>
    </w:p>
    <w:p>
      <w:r>
        <w:pict>
          <v:rect style="width:0;height:1.5pt" o:hralign="center" o:hrstd="t" o:hr="t"/>
        </w:pict>
      </w:r>
    </w:p>
    <w:bookmarkEnd w:id="24"/>
    <w:bookmarkStart w:id="25" w:name="optional-draw-aois"/>
    <w:p>
      <w:pPr>
        <w:pStyle w:val="Heading2"/>
      </w:pPr>
      <w:r>
        <w:t xml:space="preserve">4) (Optional) Draw AOIs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AOI Editor</w:t>
      </w:r>
      <w:r>
        <w:t xml:space="preserve"> </w:t>
      </w:r>
      <w:r>
        <w:t xml:space="preserve">and draw named polygons.</w:t>
      </w:r>
    </w:p>
    <w:p>
      <w:pPr>
        <w:pStyle w:val="Compact"/>
        <w:numPr>
          <w:ilvl w:val="0"/>
          <w:numId w:val="1004"/>
        </w:numPr>
      </w:pPr>
      <w:r>
        <w:t xml:space="preserve">Finish polygon:</w:t>
      </w:r>
      <w:r>
        <w:t xml:space="preserve"> </w:t>
      </w:r>
      <w:r>
        <w:rPr>
          <w:b/>
          <w:bCs/>
        </w:rPr>
        <w:t xml:space="preserve">Ctrl + Enter</w:t>
      </w:r>
    </w:p>
    <w:p>
      <w:pPr>
        <w:pStyle w:val="Compact"/>
        <w:numPr>
          <w:ilvl w:val="0"/>
          <w:numId w:val="1004"/>
        </w:numPr>
      </w:pPr>
      <w:r>
        <w:t xml:space="preserve">Undo vertex:</w:t>
      </w:r>
      <w:r>
        <w:t xml:space="preserve"> </w:t>
      </w:r>
      <w:r>
        <w:rPr>
          <w:b/>
          <w:bCs/>
        </w:rPr>
        <w:t xml:space="preserve">Ctrl + Backspace</w:t>
      </w:r>
    </w:p>
    <w:p>
      <w:pPr>
        <w:pStyle w:val="Compact"/>
        <w:numPr>
          <w:ilvl w:val="0"/>
          <w:numId w:val="1004"/>
        </w:numPr>
      </w:pPr>
      <w:r>
        <w:t xml:space="preserve">AOIs auto‑save to</w:t>
      </w:r>
      <w:r>
        <w:t xml:space="preserve"> </w:t>
      </w:r>
      <w:r>
        <w:rPr>
          <w:rStyle w:val="VerbatimChar"/>
        </w:rPr>
        <w:t xml:space="preserve">input/aoi/*.json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input/aoi_masks/*.png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AOI modes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Centroid</w:t>
      </w:r>
      <w:r>
        <w:t xml:space="preserve"> </w:t>
      </w:r>
      <w:r>
        <w:t xml:space="preserve">(default)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Box overlap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aoi_box_frac</w:t>
      </w:r>
      <w:r>
        <w:t xml:space="preserve"> </w:t>
      </w:r>
      <w:r>
        <w:t xml:space="preserve">(e.g., 0.20 = 20%).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main</w:t>
      </w:r>
      <w:r>
        <w:t xml:space="preserve"> </w:t>
      </w:r>
      <w:r>
        <w:rPr>
          <w:b/>
          <w:bCs/>
        </w:rPr>
        <w:t xml:space="preserve">Use AOI</w:t>
      </w:r>
      <w:r>
        <w:t xml:space="preserve"> </w:t>
      </w:r>
      <w:r>
        <w:t xml:space="preserve">toggle is authoritative — if</w:t>
      </w:r>
      <w:r>
        <w:t xml:space="preserve"> </w:t>
      </w:r>
      <w:r>
        <w:rPr>
          <w:b/>
          <w:bCs/>
        </w:rPr>
        <w:t xml:space="preserve">OFF</w:t>
      </w:r>
      <w:r>
        <w:t xml:space="preserve">, AOIs (even if present on disk) are</w:t>
      </w:r>
      <w:r>
        <w:t xml:space="preserve"> </w:t>
      </w:r>
      <w:r>
        <w:rPr>
          <w:b/>
          <w:bCs/>
        </w:rPr>
        <w:t xml:space="preserve">ignored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choose-quality"/>
    <w:p>
      <w:pPr>
        <w:pStyle w:val="Heading2"/>
      </w:pPr>
      <w:r>
        <w:t xml:space="preserve">5) Choose quality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Fast / Balanced / Ultra</w:t>
      </w:r>
      <w:r>
        <w:t xml:space="preserve"> </w:t>
      </w:r>
      <w:r>
        <w:t xml:space="preserve">presets, or open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for tiling, thresholds (strict</w:t>
      </w:r>
      <w:r>
        <w:t xml:space="preserve"> </w:t>
      </w:r>
      <w:r>
        <w:rPr>
          <w:rStyle w:val="VerbatimChar"/>
        </w:rPr>
        <w:t xml:space="preserve">conf</w:t>
      </w:r>
      <w:r>
        <w:t xml:space="preserve">), WBF, seam de‑dup, and overlay controls.</w:t>
      </w:r>
    </w:p>
    <w:p>
      <w:r>
        <w:pict>
          <v:rect style="width:0;height:1.5pt" o:hralign="center" o:hrstd="t" o:hr="t"/>
        </w:pict>
      </w:r>
    </w:p>
    <w:bookmarkEnd w:id="26"/>
    <w:bookmarkStart w:id="27" w:name="run-abort"/>
    <w:p>
      <w:pPr>
        <w:pStyle w:val="Heading2"/>
      </w:pPr>
      <w:r>
        <w:t xml:space="preserve">6) Run &amp; abort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Start</w:t>
      </w:r>
      <w:r>
        <w:t xml:space="preserve">. Progress is tile‑based with ETA.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  <w:bCs/>
        </w:rPr>
        <w:t xml:space="preserve">Abort</w:t>
      </w:r>
      <w:r>
        <w:t xml:space="preserve"> </w:t>
      </w:r>
      <w:r>
        <w:t xml:space="preserve">to stop immediately; the label changes from</w:t>
      </w:r>
      <w:r>
        <w:t xml:space="preserve"> </w:t>
      </w:r>
      <w:r>
        <w:rPr>
          <w:b/>
          <w:bCs/>
        </w:rPr>
        <w:t xml:space="preserve">Aborting…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Aborted.</w:t>
      </w:r>
      <w:r>
        <w:t xml:space="preserve"> </w:t>
      </w:r>
      <w:r>
        <w:t xml:space="preserve">as soon as the worker finishes the current tile.</w:t>
      </w:r>
    </w:p>
    <w:p>
      <w:r>
        <w:pict>
          <v:rect style="width:0;height:1.5pt" o:hralign="center" o:hrstd="t" o:hr="t"/>
        </w:pict>
      </w:r>
    </w:p>
    <w:bookmarkEnd w:id="27"/>
    <w:bookmarkStart w:id="28" w:name="outputs"/>
    <w:p>
      <w:pPr>
        <w:pStyle w:val="Heading2"/>
      </w:pPr>
      <w:r>
        <w:t xml:space="preserve">7) Outputs</w:t>
      </w:r>
    </w:p>
    <w:p>
      <w:pPr>
        <w:pStyle w:val="FirstParagraph"/>
      </w:pPr>
      <w:r>
        <w:t xml:space="preserve">All in</w:t>
      </w:r>
      <w:r>
        <w:t xml:space="preserve"> </w:t>
      </w:r>
      <w:r>
        <w:rPr>
          <w:rStyle w:val="VerbatimChar"/>
        </w:rPr>
        <w:t xml:space="preserve">./output/</w:t>
      </w:r>
      <w:r>
        <w:t xml:space="preserve"> </w:t>
      </w:r>
      <w:r>
        <w:t xml:space="preserve">(non‑destructive filenames):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annotated/&lt;image&gt;_annotated.jpg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With AOIs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 …   AOI1 …   AOI2 …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Without AOIs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Total … (per‑class breakdown)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results_per_image.csv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results_totals.json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detections_full.csv</w:t>
      </w:r>
      <w:r>
        <w:t xml:space="preserve"> </w:t>
      </w:r>
      <w:r>
        <w:t xml:space="preserve">(kept detections; includes AOI name when AOI is ON)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gis/&lt;image&gt;__detections_point.csv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gis/&lt;image&gt;__detections_box.csv</w:t>
      </w:r>
      <w:r>
        <w:t xml:space="preserve"> </w:t>
      </w:r>
      <w:r>
        <w:t xml:space="preserve">for georeferenced images</w:t>
      </w:r>
    </w:p>
    <w:p>
      <w:r>
        <w:pict>
          <v:rect style="width:0;height:1.5pt" o:hralign="center" o:hrstd="t" o:hr="t"/>
        </w:pict>
      </w:r>
    </w:p>
    <w:bookmarkEnd w:id="28"/>
    <w:bookmarkStart w:id="29" w:name="tips"/>
    <w:p>
      <w:pPr>
        <w:pStyle w:val="Heading2"/>
      </w:pPr>
      <w:r>
        <w:t xml:space="preserve">8) Tips</w:t>
      </w:r>
    </w:p>
    <w:p>
      <w:pPr>
        <w:pStyle w:val="Compact"/>
        <w:numPr>
          <w:ilvl w:val="0"/>
          <w:numId w:val="1008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at least one class</w:t>
      </w:r>
      <w:r>
        <w:t xml:space="preserve"> </w:t>
      </w:r>
      <w:r>
        <w:t xml:space="preserve">is selected.</w:t>
      </w:r>
    </w:p>
    <w:p>
      <w:pPr>
        <w:pStyle w:val="Compact"/>
        <w:numPr>
          <w:ilvl w:val="0"/>
          <w:numId w:val="1008"/>
        </w:numPr>
      </w:pPr>
      <w:r>
        <w:t xml:space="preserve">Larger</w:t>
      </w:r>
      <w:r>
        <w:t xml:space="preserve"> </w:t>
      </w:r>
      <w:r>
        <w:rPr>
          <w:rStyle w:val="VerbatimChar"/>
        </w:rPr>
        <w:t xml:space="preserve">tile</w:t>
      </w:r>
      <w:r>
        <w:t xml:space="preserve"> </w:t>
      </w:r>
      <w:r>
        <w:t xml:space="preserve">+ higher</w:t>
      </w:r>
      <w:r>
        <w:t xml:space="preserve"> </w:t>
      </w:r>
      <w:r>
        <w:rPr>
          <w:rStyle w:val="VerbatimChar"/>
        </w:rPr>
        <w:t xml:space="preserve">overlap</w:t>
      </w:r>
      <w:r>
        <w:t xml:space="preserve"> </w:t>
      </w:r>
      <w:r>
        <w:t xml:space="preserve">→ better quality, slower.</w:t>
      </w:r>
    </w:p>
    <w:p>
      <w:pPr>
        <w:pStyle w:val="Compact"/>
        <w:numPr>
          <w:ilvl w:val="0"/>
          <w:numId w:val="1008"/>
        </w:numPr>
      </w:pPr>
      <w:r>
        <w:t xml:space="preserve">If overlays and CSV disagree slightly, remember CSV uses raw floats and strict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conf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1" w:name="roadmap-next-release"/>
    <w:p>
      <w:pPr>
        <w:pStyle w:val="Heading2"/>
      </w:pPr>
      <w:r>
        <w:t xml:space="preserve">🔭 Roadmap (next release)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ONNX runtime support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Segmentation models</w:t>
      </w:r>
      <w:r>
        <w:t xml:space="preserve"> </w:t>
      </w:r>
      <w:r>
        <w:t xml:space="preserve">support.</w:t>
      </w:r>
    </w:p>
    <w:p>
      <w:pPr>
        <w:pStyle w:val="Compact"/>
        <w:numPr>
          <w:ilvl w:val="0"/>
          <w:numId w:val="1009"/>
        </w:numPr>
      </w:pPr>
      <w:r>
        <w:t xml:space="preserve">Further improvements to AOI handling and overlay summaries.</w:t>
      </w:r>
    </w:p>
    <w:p>
      <w:r>
        <w:pict>
          <v:rect style="width:0;height:1.5pt" o:hralign="center" o:hrstd="t" o:hr="t"/>
        </w:pict>
      </w:r>
    </w:p>
    <w:bookmarkStart w:id="30" w:name="section"/>
    <w:p>
      <w:pPr>
        <w:pStyle w:val="Heading3"/>
      </w:pP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docs.ultralytics.com/models/yolo11/" TargetMode="External" /><Relationship Type="http://schemas.openxmlformats.org/officeDocument/2006/relationships/hyperlink" Id="rId22" Target="https://docs.ultralytics.com/tasks/detec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docs.ultralytics.com/models/yolo11/" TargetMode="External" /><Relationship Type="http://schemas.openxmlformats.org/officeDocument/2006/relationships/hyperlink" Id="rId22" Target="https://docs.ultralytics.com/tasks/detec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2025-10-02T08:40:36Z</dcterms:created>
  <dcterms:modified xsi:type="dcterms:W3CDTF">2025-10-02T08:40:36Z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