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767676"/>
          <w:sz w:val="20"/>
        </w:rPr>
        <w:t>Pokročilé programování (PPRO), zimní semestr 2026/2027</w:t>
      </w:r>
    </w:p>
    <w:p>
      <w:r>
        <w:rPr>
          <w:color w:val="767676"/>
          <w:sz w:val="20"/>
        </w:rPr>
        <w:t>Fakulta informatiky a managementu, Univerzita Hradec Králové</w:t>
      </w:r>
    </w:p>
    <w:p>
      <w:pPr>
        <w:pStyle w:val="Title"/>
      </w:pPr>
      <w:r>
        <w:t>Dokumentace semestrálního projektu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Název projektu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Ordinace Na Vyhlídce – objednávací a evidenční systém pro praktické lékaře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Zvolené zadání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 – ordinace praktických lékařů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Jméno a příjmení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Jakub Silný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Repozitář na GitHubu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https://github.com/JakubSilny/ppro-ordinace</w:t>
            </w:r>
          </w:p>
        </w:tc>
      </w:tr>
      <w:tr>
        <w:tc>
          <w:tcPr>
            <w:tcW w:type="dxa" w:w="2835"/>
            <w:shd w:val="clear" w:color="auto" w:fill="E8EDF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Datum poslední úpravy</w:t>
            </w:r>
          </w:p>
        </w:tc>
        <w:tc>
          <w:tcPr>
            <w:tcW w:type="dxa" w:w="6803"/>
            <w:tcMar>
              <w:top w:w="110" w:type="dxa"/>
              <w:left w:w="100" w:type="dxa"/>
              <w:bottom w:w="11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27. 10. 2026</w:t>
            </w:r>
          </w:p>
        </w:tc>
      </w:tr>
    </w:tbl>
    <w:p>
      <w:pPr>
        <w:pStyle w:val="Heading1"/>
      </w:pPr>
      <w:r>
        <w:t>1. Popis řešení</w:t>
      </w:r>
    </w:p>
    <w:p>
      <w:pPr>
        <w:jc w:val="both"/>
      </w:pPr>
      <w:r>
        <w:t xml:space="preserve">Ordinace Na Vyhlídce je soukromá praxe se třemi praktickými lékaři na částečný úvazek a jednou recepční. Dosud se objednávalo do papírového diáře, volné termíny se hledaly listováním, výkony pro pojišťovnu se na konci měsíce ručně přepisovaly do tabulky a dvakrát za rok se stalo, že na stejný čas byli objednaní dva pacienti.</w:t>
      </w:r>
    </w:p>
    <w:p>
      <w:pPr>
        <w:jc w:val="both"/>
      </w:pPr>
      <w:r>
        <w:t xml:space="preserve">Aplikace tyto činnosti nahrazuje webovým systémem pro recepci. Recepce v něm vidí týdenní diář lékaře s ordinačními hodinami, objednanými pacienty, nepřítomnostmi a volnými okny pro zvolenou délku termínu a pacienta objedná jedním kliknutím. Rezervaci lze zrušit, přesunout nebo označit „nedostavil se“, akutního pacienta objednat na aktuální čas. Kartotéka pacientů hlídá duplicity a pacienty nemaže, jen vyřazuje. K návštěvě se zapisují výkony z číselníku a body se při zápisu zmrazí. Při nemoci lékaře se dotčené rezervace objeví v seznamu „K přeobjednání“. Lékař dostane rozpis dne k tisku a na konci měsíce výkaz výkonů a bodů (obrazovka, tisk, CSV), vedení přehled pacientů, kteří opakovaně ruší.</w:t>
      </w:r>
    </w:p>
    <w:p>
      <w:pPr>
        <w:jc w:val="both"/>
      </w:pPr>
      <w:r>
        <w:t xml:space="preserve">Aplikace je třívrstvá a závislosti vedou jen jedním směrem. Prohlížeč (statická stránka v HTML, CSS a JavaScriptu) volá REST API ve Spring Bootu. Vrstva api (controllery a DTO) jen převádí požadavky na volání služeb, vrstva service drží obchodní pravidla a transakce a vrstva repository (Spring Data JPA) přistupuje k databázi. Kód je rozdělený do balíčků podle funkcí (pacienti, lékaři, rezervace, návštěvy, audit, GDPR, zabezpečení) a směr závislostí při každém buildu kontroluje test ArchUnit.</w:t>
      </w:r>
    </w:p>
    <w:p>
      <w:pPr>
        <w:jc w:val="both"/>
      </w:pPr>
      <w:r>
        <w:t xml:space="preserve">Data jsou uložena v PostgreSQL, který běží spolu s aplikací v Dockeru (docker compose up). Schéma a výchozí data zakládají migrace Flyway. Klíčová pravidla (rezervace se nepřekrývají u lékaře ani u pacienta, unikátní číslo pojištěnce) hlídá kromě aplikace i databáze, takže při souběžném objednání uspěje jen jeden požadavek. Protože jde o zdravotní údaje, je přístup jen po přihlášení, každý přístup k osobním údajům se zapisuje do needitovatelného záznamu a údaje pacienta lze vyexportovat. Všechna data v systému jsou syntetická.</w:t>
      </w:r>
    </w:p>
    <w:p>
      <w:pPr>
        <w:pStyle w:val="Heading1"/>
      </w:pPr>
      <w:r>
        <w:t>2. Rozhodnutí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628"/>
        <w:gridCol w:w="3855"/>
        <w:gridCol w:w="1417"/>
      </w:tblGrid>
      <w:tr>
        <w:trPr>
          <w:tblHeader w:val="true"/>
        </w:trPr>
        <w:tc>
          <w:tcPr>
            <w:tcW w:type="dxa" w:w="73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Č.</w:t>
            </w:r>
          </w:p>
        </w:tc>
        <w:tc>
          <w:tcPr>
            <w:tcW w:type="dxa" w:w="3628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Rozhodnutí</w:t>
            </w:r>
          </w:p>
        </w:tc>
        <w:tc>
          <w:tcPr>
            <w:tcW w:type="dxa" w:w="3855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Důvod</w:t>
            </w:r>
          </w:p>
        </w:tc>
        <w:tc>
          <w:tcPr>
            <w:tcW w:type="dxa" w:w="141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Datum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R1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Backend ve Spring Bootu 3.4 (Java 21), build Maven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Javu znám z předchozích předmětů; Spring Boot má hotovou podporu REST, JPA, validace, zabezpečení i testů proti databázi.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23. 10. 2026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R2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Databáze PostgreSQL 16 v Dockeru, spuštění přes docker compose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Zadání žádá relační databázi v kontejneru; PostgreSQL má oficiální obraz a exclusion constraint (btree_gist) pro hlídání překryvů termínů.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23. 10. 2026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R3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Schéma ve verzovaných migracích Flyway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Schéma i výchozí data (číselníky, lékaři, 100 syntetických pacientů) se založí samy při prvním startu, bez ručních kroků.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23. 10. 2026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R4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Balíčky podle funkcí, uvnitř vrstvy api → service → repository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Související kód je pohromadě; controller nikdy nesahá na databázi. Směr závislostí hlídá test ArchUnit (LayersTest) při každém buildu.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23. 10. 2026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R5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Pravidla vynucuje služba i databáze (exclusion constraint, unique)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Aplikační kontrola dává srozumitelnou chybu, databáze zaručí, že ani dva souběžné požadavky nevytvoří kolizi termínů.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23. 10. 2026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R6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Nic se nemaže: stavy rezervací, vyřazení pacienta, storno výkonu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Zdravotnickou dokumentaci je nutné uchovávat (vyhl. 98/2012 Sb.) a ze zrušených termínů se počítá přehled rušení.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23. 10. 2026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R7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Webové rozhraní bez přihlášení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Minimum zadání, jednodušší start. Nahrazeno R11.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23. 10. 2026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R8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Rezervace má vlastní délku v násobcích 5 min a celá leží v jednom intervalu ordinačních hodin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Pevná mřížka nepasuje na prohlídky, které trvají déle; termín nesmí přesahovat přes polední pauzu ani konec ordinační doby.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27. 10. 2026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R9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Vazba návštěva–výkon (M:N) nese počet a body platné v době zápisu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Změna ceníku neovlivní minulé výkazy; opakovaný výkon se zapisuje počtem, ne dalším řádkem.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27. 10. 2026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R10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Rozhraní jako statická stránka (HTML, CSS, JS bez frameworku) nad REST API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Žádný build krok ani další závislosti, kód se dá vysvětlit na místě. Velké ovládací prvky a písmo Atkinson Hyperlegible kvůli čitelnosti, funguje i na tabletu.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27. 10. 2026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R11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Přihlášení personálu (Spring Security, účty z proměnné APP_USERS), záznam přístupů jen pro zápis, export údajů pacienta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Systém zpracovává zdravotní údaje (čl. 9 GDPR); záznam přístupů chrání trigger v DB, export plní čl. 15 a 20. Role nerozlišujeme, recepce i lékaři potřebují stejné funkce.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27. 10. 2026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R12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Čas přes java.time.Clock (Europe/Prague), ukládání jako TIMESTAMPTZ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Testy mohou čas zafixovat a přechod letního/zimního času nerozbije termíny.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27. 10. 2026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R13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Chyby jako application/problem+json (404, 409, 422)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Standardní formát; rozhraní podle kódu ukáže českou hlášku, u duplicity pacienta i odkaz na existující kartu.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27. 10. 2026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R14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Testy: JUnit 5 + AssertJ na logiku, Testcontainers proti PostgreSQL, Playwright E2E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Jednotkové testy jsou rychlé, integrační ověří constrainty a souběh na skutečné databázi, E2E projdou hlavní scénáře v prohlížeči (desktop i tablet).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27. 10. 2026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R15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CI v GitHub Actions: build, testy, pokrytí, gitleaks, sken image (Grype)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Každý push ověří, že vše prochází a že v historii nejsou hesla ani známé zranitelnosti v obrazu.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27. 10. 2026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R16</w:t>
            </w:r>
          </w:p>
        </w:tc>
        <w:tc>
          <w:tcPr>
            <w:tcW w:type="dxa" w:w="362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Dokumentace v Markdownu převedená do PDF (pandoc)</w:t>
            </w:r>
          </w:p>
        </w:tc>
        <w:tc>
          <w:tcPr>
            <w:tcW w:type="dxa" w:w="3855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Text se verzuje spolu s kódem a CI hlídá, že PDF není starší než zdroj.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27. 10. 2026</w:t>
            </w:r>
          </w:p>
        </w:tc>
      </w:tr>
    </w:tbl>
    <w:p>
      <w:pPr>
        <w:pStyle w:val="Heading1"/>
      </w:pPr>
      <w:r>
        <w:t>3. Změny požadované klientem</w:t>
      </w:r>
    </w:p>
    <w:p>
      <w:r>
        <w:rPr>
          <w:i/>
          <w:color w:val="767676"/>
          <w:sz w:val="20"/>
        </w:rPr>
        <w:t>Každý požadavek, se kterým klient během semestru přišel, je jeden řádek. Požadavek zapište tak, jak ho klient řekl, ne technicky. Do řešení napište, co se kvůli němu změnilo v návrhu a v kódu; pokud změna vedla k novému rozhodnutí, odkažte na jeho číslo z oddílu 2. Stav: hotovo, rozpracováno, nebo odmítnuto s důvodem.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417"/>
        <w:gridCol w:w="2948"/>
        <w:gridCol w:w="3288"/>
        <w:gridCol w:w="1247"/>
      </w:tblGrid>
      <w:tr>
        <w:trPr>
          <w:tblHeader w:val="true"/>
        </w:trPr>
        <w:tc>
          <w:tcPr>
            <w:tcW w:type="dxa" w:w="73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Č.</w:t>
            </w:r>
          </w:p>
        </w:tc>
        <w:tc>
          <w:tcPr>
            <w:tcW w:type="dxa" w:w="141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948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Požadavek klienta</w:t>
            </w:r>
          </w:p>
        </w:tc>
        <w:tc>
          <w:tcPr>
            <w:tcW w:type="dxa" w:w="3288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Řešení a dopad na návrh</w:t>
            </w:r>
          </w:p>
        </w:tc>
        <w:tc>
          <w:tcPr>
            <w:tcW w:type="dxa" w:w="1247"/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Stav</w:t>
            </w:r>
          </w:p>
        </w:tc>
      </w:tr>
      <w:t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i/>
                <w:color w:val="767676"/>
                <w:sz w:val="20"/>
              </w:rPr>
              <w:t>Z1</w:t>
            </w:r>
          </w:p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i/>
                <w:color w:val="767676"/>
                <w:sz w:val="20"/>
              </w:rPr>
              <w:t>7. 10. 2026</w:t>
            </w:r>
          </w:p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i/>
                <w:color w:val="767676"/>
                <w:sz w:val="20"/>
              </w:rPr>
              <w:t>„Potřeboval bych u každé objednávky vidět, kdo ji zadal.“</w:t>
            </w:r>
          </w:p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i/>
                <w:color w:val="767676"/>
                <w:sz w:val="20"/>
              </w:rPr>
              <w:t>Nová vazba objednávky na uživatele, migrace V3, jméno zadavatele ve výpisu. Viz R5.</w:t>
            </w:r>
          </w:p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i/>
                <w:color w:val="767676"/>
                <w:sz w:val="20"/>
              </w:rPr>
              <w:t>hotovo</w:t>
            </w:r>
          </w:p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</w:tr>
      <w:tr>
        <w:trPr>
          <w:trHeight w:val="624"/>
        </w:trPr>
        <w:tc>
          <w:tcPr>
            <w:tcW w:type="dxa" w:w="73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41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294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3288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  <w:tc>
          <w:tcPr>
            <w:tcW w:type="dxa" w:w="1247"/>
            <w:tcMar>
              <w:top w:w="70" w:type="dxa"/>
              <w:left w:w="100" w:type="dxa"/>
              <w:bottom w:w="70" w:type="dxa"/>
              <w:right w:w="100" w:type="dxa"/>
            </w:tcMar>
          </w:tcPr>
          <w:p/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Dokumentace semestrálního projektu PPRO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cs-CZ</dc:language>
</cp:coreProperties>
</file>