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07" w:rsidRDefault="008F2046" w:rsidP="008F2046">
      <w:pPr>
        <w:spacing w:after="0"/>
      </w:pPr>
      <w:r>
        <w:t xml:space="preserve">Jakub </w:t>
      </w:r>
      <w:proofErr w:type="spellStart"/>
      <w:r>
        <w:t>Straszkiewicz</w:t>
      </w:r>
      <w:proofErr w:type="spellEnd"/>
      <w:r>
        <w:t>, gr. 5,160199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04-03-2017</w:t>
      </w:r>
    </w:p>
    <w:p w:rsidR="008F2046" w:rsidRDefault="008F2046" w:rsidP="008F2046">
      <w:pPr>
        <w:spacing w:after="240"/>
      </w:pPr>
    </w:p>
    <w:p w:rsidR="008F2046" w:rsidRPr="008F2046" w:rsidRDefault="008F2046" w:rsidP="008F2046">
      <w:pPr>
        <w:spacing w:after="240"/>
        <w:jc w:val="center"/>
        <w:rPr>
          <w:b/>
        </w:rPr>
      </w:pPr>
      <w:r w:rsidRPr="008F2046">
        <w:rPr>
          <w:b/>
        </w:rPr>
        <w:t>Metody Numeryczne</w:t>
      </w:r>
    </w:p>
    <w:p w:rsidR="008F2046" w:rsidRPr="008F2046" w:rsidRDefault="008F2046" w:rsidP="008F2046">
      <w:pPr>
        <w:spacing w:after="240"/>
        <w:jc w:val="center"/>
        <w:rPr>
          <w:b/>
        </w:rPr>
      </w:pPr>
      <w:r w:rsidRPr="008F2046">
        <w:rPr>
          <w:b/>
        </w:rPr>
        <w:t>Projekt 1</w:t>
      </w:r>
    </w:p>
    <w:p w:rsidR="008F2046" w:rsidRPr="008F2046" w:rsidRDefault="008F2046" w:rsidP="008F2046">
      <w:pPr>
        <w:spacing w:after="240"/>
        <w:jc w:val="center"/>
        <w:rPr>
          <w:b/>
        </w:rPr>
      </w:pPr>
      <w:r w:rsidRPr="008F2046">
        <w:rPr>
          <w:b/>
        </w:rPr>
        <w:t xml:space="preserve">Temat: Sumowanie szeregów potęgowych: </w:t>
      </w:r>
      <w:proofErr w:type="spellStart"/>
      <w:r w:rsidRPr="008F2046">
        <w:rPr>
          <w:b/>
        </w:rPr>
        <w:t>sinh</w:t>
      </w:r>
      <w:proofErr w:type="spellEnd"/>
      <w:r w:rsidRPr="008F2046">
        <w:rPr>
          <w:b/>
        </w:rPr>
        <w:t>(x)</w:t>
      </w:r>
    </w:p>
    <w:p w:rsidR="00A1591F" w:rsidRPr="00A1591F" w:rsidRDefault="00A1591F" w:rsidP="00A1591F">
      <w:pPr>
        <w:spacing w:after="240"/>
        <w:rPr>
          <w:b/>
        </w:rPr>
      </w:pPr>
      <w:r w:rsidRPr="00A1591F">
        <w:rPr>
          <w:b/>
        </w:rPr>
        <w:t xml:space="preserve">1.Założenia </w:t>
      </w:r>
    </w:p>
    <w:p w:rsidR="008F2046" w:rsidRDefault="008F2046" w:rsidP="00A1591F">
      <w:pPr>
        <w:spacing w:after="240"/>
      </w:pPr>
      <w:r>
        <w:t xml:space="preserve">Dziedziną funkcji </w:t>
      </w:r>
      <w:proofErr w:type="spellStart"/>
      <w:r w:rsidR="00A35A7D">
        <w:t>sinh</w:t>
      </w:r>
      <w:proofErr w:type="spellEnd"/>
      <w:r w:rsidR="00A35A7D">
        <w:t>(x) jest zbiór liczb rzeczy</w:t>
      </w:r>
      <w:r>
        <w:t>wistych.</w:t>
      </w:r>
    </w:p>
    <w:p w:rsidR="008F2046" w:rsidRPr="00A1591F" w:rsidRDefault="008F2046" w:rsidP="00A1591F">
      <w:pPr>
        <w:spacing w:after="240"/>
        <w:rPr>
          <w:rFonts w:eastAsiaTheme="minorEastAsia"/>
        </w:rPr>
      </w:pPr>
      <w:r>
        <w:t xml:space="preserve">Funkcje </w:t>
      </w:r>
      <w:proofErr w:type="spellStart"/>
      <w:r>
        <w:t>sinh</w:t>
      </w:r>
      <w:proofErr w:type="spellEnd"/>
      <w:r>
        <w:t>(x) można przedstawić za pomocą szeregu Taylora:</w:t>
      </w:r>
    </w:p>
    <w:p w:rsidR="008F2046" w:rsidRPr="008F2046" w:rsidRDefault="0000237A" w:rsidP="008F2046">
      <w:pPr>
        <w:spacing w:after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(2n+1)</m:t>
                  </m:r>
                </m:sup>
              </m:sSup>
            </m:e>
          </m:nary>
        </m:oMath>
      </m:oMathPara>
    </w:p>
    <w:p w:rsidR="008F2046" w:rsidRDefault="00A1591F" w:rsidP="008F2046">
      <w:pPr>
        <w:spacing w:after="240"/>
        <w:rPr>
          <w:rFonts w:eastAsiaTheme="minorEastAsia"/>
        </w:rPr>
      </w:pPr>
      <w:r>
        <w:rPr>
          <w:rFonts w:eastAsiaTheme="minorEastAsia"/>
        </w:rPr>
        <w:t>I obliczyć k pierwszych wyrazów tego szeregu.</w:t>
      </w:r>
    </w:p>
    <w:p w:rsidR="00A1591F" w:rsidRDefault="00A1591F" w:rsidP="008F204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Za wartość dokładną przyjmujemy wartość jaką zwróciła funkcja biblioteczna </w:t>
      </w:r>
      <w:proofErr w:type="spellStart"/>
      <w:r>
        <w:rPr>
          <w:rFonts w:eastAsiaTheme="minorEastAsia"/>
        </w:rPr>
        <w:t>sinh</w:t>
      </w:r>
      <w:proofErr w:type="spellEnd"/>
      <w:r>
        <w:rPr>
          <w:rFonts w:eastAsiaTheme="minorEastAsia"/>
        </w:rPr>
        <w:t xml:space="preserve">() w bibliotece </w:t>
      </w:r>
      <w:proofErr w:type="spellStart"/>
      <w:r>
        <w:rPr>
          <w:rFonts w:eastAsiaTheme="minorEastAsia"/>
        </w:rPr>
        <w:t>math</w:t>
      </w:r>
      <w:proofErr w:type="spellEnd"/>
    </w:p>
    <w:p w:rsidR="00A1591F" w:rsidRDefault="00A1591F" w:rsidP="008F2046">
      <w:pPr>
        <w:spacing w:after="240"/>
        <w:rPr>
          <w:rFonts w:eastAsiaTheme="minorEastAsia"/>
        </w:rPr>
      </w:pPr>
    </w:p>
    <w:p w:rsidR="00A1591F" w:rsidRDefault="00A1591F" w:rsidP="008F2046">
      <w:pPr>
        <w:spacing w:after="240"/>
        <w:rPr>
          <w:rFonts w:eastAsiaTheme="minorEastAsia"/>
          <w:b/>
        </w:rPr>
      </w:pPr>
      <w:r w:rsidRPr="00A1591F">
        <w:rPr>
          <w:rFonts w:eastAsiaTheme="minorEastAsia"/>
          <w:b/>
        </w:rPr>
        <w:t>2.  Wpływ użytego typu na dokładność wyniku.</w:t>
      </w:r>
    </w:p>
    <w:p w:rsidR="005E4A04" w:rsidRDefault="000737D5" w:rsidP="008F2046">
      <w:pPr>
        <w:spacing w:after="2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323A9A6" wp14:editId="443F0E82">
            <wp:extent cx="6429375" cy="3562350"/>
            <wp:effectExtent l="0" t="0" r="9525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591F" w:rsidRDefault="00A1591F" w:rsidP="008F204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Użycie 4 bajtowego typu </w:t>
      </w:r>
      <w:proofErr w:type="spellStart"/>
      <w:r>
        <w:rPr>
          <w:rFonts w:eastAsiaTheme="minorEastAsia"/>
        </w:rPr>
        <w:t>float</w:t>
      </w:r>
      <w:proofErr w:type="spellEnd"/>
      <w:r>
        <w:rPr>
          <w:rFonts w:eastAsiaTheme="minorEastAsia"/>
        </w:rPr>
        <w:t xml:space="preserve"> ogranicza maksymalną dokładność z jaką możemy podać wynik. </w:t>
      </w:r>
      <w:r>
        <w:rPr>
          <w:rFonts w:eastAsiaTheme="minorEastAsia"/>
        </w:rPr>
        <w:tab/>
        <w:t xml:space="preserve">       Na wykresie przedstawiają to punkty na o tej samej wartości błędu bezwzględnego. Wynika to z </w:t>
      </w:r>
      <w:r>
        <w:rPr>
          <w:rFonts w:eastAsiaTheme="minorEastAsia"/>
        </w:rPr>
        <w:lastRenderedPageBreak/>
        <w:t>samej budowy tego typu.</w:t>
      </w:r>
      <w:r w:rsidR="005E4A04">
        <w:rPr>
          <w:rFonts w:eastAsiaTheme="minorEastAsia"/>
        </w:rPr>
        <w:t xml:space="preserve"> Po przekroczeniu pewnej precyzji błąd przestaje maleć i utrzymuje się na stałym poziomie. Wykorzystanie 8 bajtowego typu </w:t>
      </w:r>
      <w:proofErr w:type="spellStart"/>
      <w:r w:rsidR="005E4A04">
        <w:rPr>
          <w:rFonts w:eastAsiaTheme="minorEastAsia"/>
        </w:rPr>
        <w:t>double</w:t>
      </w:r>
      <w:proofErr w:type="spellEnd"/>
      <w:r w:rsidR="005E4A04">
        <w:rPr>
          <w:rFonts w:eastAsiaTheme="minorEastAsia"/>
        </w:rPr>
        <w:t xml:space="preserve"> pozwala na zwiększenie dokładności z jaką możemy podać wynik.</w:t>
      </w:r>
    </w:p>
    <w:p w:rsidR="00922715" w:rsidRDefault="000737D5" w:rsidP="008F2046">
      <w:pPr>
        <w:spacing w:after="2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45F6F74" wp14:editId="59455105">
            <wp:extent cx="6467475" cy="3000375"/>
            <wp:effectExtent l="0" t="0" r="9525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E4A04" w:rsidRDefault="005E4A04" w:rsidP="008F2046">
      <w:pPr>
        <w:spacing w:after="240"/>
        <w:rPr>
          <w:rFonts w:eastAsiaTheme="minorEastAsia"/>
        </w:rPr>
      </w:pPr>
    </w:p>
    <w:p w:rsidR="00A1591F" w:rsidRDefault="00922715" w:rsidP="008F204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Wykres błędu względnego potwierdza powyższe obserwacje. Jednocześnie wskazuje że obliczenia wykonane na typie </w:t>
      </w:r>
      <w:proofErr w:type="spellStart"/>
      <w:r>
        <w:rPr>
          <w:rFonts w:eastAsiaTheme="minorEastAsia"/>
        </w:rPr>
        <w:t>double</w:t>
      </w:r>
      <w:proofErr w:type="spellEnd"/>
      <w:r>
        <w:rPr>
          <w:rFonts w:eastAsiaTheme="minorEastAsia"/>
        </w:rPr>
        <w:t xml:space="preserve"> mają mniejszy błąd względem rozmiaru danych niż typ float. </w:t>
      </w: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A66DE3" w:rsidRDefault="00A66DE3" w:rsidP="008F2046">
      <w:pPr>
        <w:spacing w:after="240"/>
        <w:rPr>
          <w:rFonts w:eastAsiaTheme="minorEastAsia"/>
          <w:b/>
        </w:rPr>
      </w:pPr>
    </w:p>
    <w:p w:rsidR="00E95695" w:rsidRPr="00C93DDB" w:rsidRDefault="00E95695" w:rsidP="008F2046">
      <w:pPr>
        <w:spacing w:after="240"/>
        <w:rPr>
          <w:rFonts w:eastAsiaTheme="minorEastAsia"/>
          <w:b/>
        </w:rPr>
      </w:pPr>
      <w:r w:rsidRPr="00E95695">
        <w:rPr>
          <w:rFonts w:eastAsiaTheme="minorEastAsia"/>
          <w:b/>
        </w:rPr>
        <w:lastRenderedPageBreak/>
        <w:t>3. Wpływ metody obl</w:t>
      </w:r>
      <w:r w:rsidR="00C93DDB">
        <w:rPr>
          <w:rFonts w:eastAsiaTheme="minorEastAsia"/>
          <w:b/>
        </w:rPr>
        <w:t>iczeń kolejnych elementów ciągu.</w:t>
      </w:r>
    </w:p>
    <w:p w:rsidR="006A1AAE" w:rsidRDefault="00E95695" w:rsidP="008F204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Dla 4 bajtowego typu </w:t>
      </w:r>
      <w:proofErr w:type="spellStart"/>
      <w:r>
        <w:rPr>
          <w:rFonts w:eastAsiaTheme="minorEastAsia"/>
        </w:rPr>
        <w:t>float</w:t>
      </w:r>
      <w:proofErr w:type="spellEnd"/>
      <w:r>
        <w:rPr>
          <w:rFonts w:eastAsiaTheme="minorEastAsia"/>
        </w:rPr>
        <w:t xml:space="preserve"> nie ma znaczenia jakiej metody obliczeń użyjemy. Wyniki zawsze będą takie same. Może mieć na to wpływ mniejsza  precyzja tego typu. Dla typu </w:t>
      </w:r>
      <w:proofErr w:type="spellStart"/>
      <w:r>
        <w:rPr>
          <w:rFonts w:eastAsiaTheme="minorEastAsia"/>
        </w:rPr>
        <w:t>double</w:t>
      </w:r>
      <w:proofErr w:type="spellEnd"/>
      <w:r>
        <w:rPr>
          <w:rFonts w:eastAsiaTheme="minorEastAsia"/>
        </w:rPr>
        <w:t xml:space="preserve"> widać już </w:t>
      </w:r>
      <w:r w:rsidR="006A1AAE">
        <w:rPr>
          <w:rFonts w:eastAsiaTheme="minorEastAsia"/>
        </w:rPr>
        <w:t>różnice pomiędzy metodami obliczeń.</w:t>
      </w:r>
      <w:r w:rsidR="0000237A">
        <w:rPr>
          <w:rFonts w:eastAsiaTheme="minorEastAsia"/>
          <w:noProof/>
          <w:lang w:eastAsia="pl-PL"/>
        </w:rPr>
        <w:drawing>
          <wp:inline distT="0" distB="0" distL="0" distR="0">
            <wp:extent cx="5762625" cy="28384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95" w:rsidRDefault="0000237A" w:rsidP="008F2046">
      <w:pPr>
        <w:spacing w:after="240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696745" cy="28388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AAE">
        <w:rPr>
          <w:rFonts w:eastAsiaTheme="minorEastAsia"/>
        </w:rPr>
        <w:t xml:space="preserve"> </w:t>
      </w:r>
    </w:p>
    <w:p w:rsidR="004A4781" w:rsidRDefault="005E16E1" w:rsidP="008F2046">
      <w:pPr>
        <w:spacing w:after="240"/>
        <w:rPr>
          <w:rFonts w:eastAsiaTheme="minorEastAsia"/>
          <w:b/>
        </w:rPr>
      </w:pPr>
      <w:r>
        <w:rPr>
          <w:rFonts w:eastAsiaTheme="minorEastAsia"/>
        </w:rPr>
        <w:t>Obliczanie kolejnych wyrazów ciągu korzystając z poprzedniego jest metodą dużo lepszą od liczenia z definicji</w:t>
      </w:r>
      <w:r w:rsidR="00A66DE3">
        <w:rPr>
          <w:rFonts w:eastAsiaTheme="minorEastAsia"/>
        </w:rPr>
        <w:t>. Błąd względny dla tej metody rośnie, lecz bardzo powoli. Obliczanie kolejnych wyrazów ciągu z definicji powoduje zwiększenie się błędu względnego wraz z zwiększeniem argumentu x. Spowodowane jest to koniecznością obliczenia bardzo dużych wartości. Powstają wtedy spore błędy zaokrągleń które sumują się w kolejnych krokach obliczeń.</w:t>
      </w:r>
    </w:p>
    <w:p w:rsidR="004A4781" w:rsidRDefault="004A4781" w:rsidP="008F2046">
      <w:pPr>
        <w:spacing w:after="240"/>
        <w:rPr>
          <w:rFonts w:eastAsiaTheme="minorEastAsia"/>
          <w:b/>
        </w:rPr>
      </w:pPr>
    </w:p>
    <w:p w:rsidR="004A4781" w:rsidRDefault="004A4781" w:rsidP="008F2046">
      <w:pPr>
        <w:spacing w:after="240"/>
        <w:rPr>
          <w:rFonts w:eastAsiaTheme="minorEastAsia"/>
          <w:b/>
        </w:rPr>
      </w:pPr>
    </w:p>
    <w:p w:rsidR="00676656" w:rsidRDefault="00676656" w:rsidP="008F2046">
      <w:pPr>
        <w:spacing w:after="240"/>
        <w:rPr>
          <w:rFonts w:eastAsiaTheme="minorEastAsia"/>
          <w:b/>
        </w:rPr>
      </w:pPr>
    </w:p>
    <w:p w:rsidR="00676656" w:rsidRDefault="00676656" w:rsidP="008F2046">
      <w:pPr>
        <w:spacing w:after="240"/>
        <w:rPr>
          <w:rFonts w:eastAsiaTheme="minorEastAsia"/>
          <w:b/>
        </w:rPr>
      </w:pPr>
      <w:r>
        <w:rPr>
          <w:rFonts w:eastAsiaTheme="minorEastAsia"/>
          <w:b/>
        </w:rPr>
        <w:t>4.</w:t>
      </w:r>
      <w:r w:rsidRPr="00676656">
        <w:rPr>
          <w:rFonts w:eastAsiaTheme="minorEastAsia"/>
          <w:b/>
        </w:rPr>
        <w:t xml:space="preserve"> </w:t>
      </w:r>
      <w:r w:rsidRPr="00E95695">
        <w:rPr>
          <w:rFonts w:eastAsiaTheme="minorEastAsia"/>
          <w:b/>
        </w:rPr>
        <w:t>Wpływ</w:t>
      </w:r>
      <w:r>
        <w:rPr>
          <w:rFonts w:eastAsiaTheme="minorEastAsia"/>
          <w:b/>
        </w:rPr>
        <w:t xml:space="preserve"> kolejności sumowania elementów ciągu.</w:t>
      </w:r>
    </w:p>
    <w:p w:rsidR="00676656" w:rsidRDefault="00676656" w:rsidP="008F2046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Do tego podpunktu używam typu </w:t>
      </w:r>
      <w:proofErr w:type="spellStart"/>
      <w:r>
        <w:rPr>
          <w:rFonts w:eastAsiaTheme="minorEastAsia"/>
        </w:rPr>
        <w:t>double</w:t>
      </w:r>
      <w:proofErr w:type="spellEnd"/>
      <w:r>
        <w:rPr>
          <w:rFonts w:eastAsiaTheme="minorEastAsia"/>
        </w:rPr>
        <w:t xml:space="preserve"> oraz metody obliczenia z poprzedniego wyrazu, ponieważ daje to najlepsze wyniki.</w:t>
      </w:r>
    </w:p>
    <w:p w:rsidR="00676656" w:rsidRDefault="0000237A" w:rsidP="008F2046">
      <w:pPr>
        <w:spacing w:after="240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667374" cy="328612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656" w:rsidRPr="0067665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>
            <wp:extent cx="5829300" cy="358830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73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763" w:rsidRDefault="00D33763" w:rsidP="008F2046">
      <w:pPr>
        <w:spacing w:after="240"/>
        <w:rPr>
          <w:noProof/>
          <w:lang w:eastAsia="pl-PL"/>
        </w:rPr>
      </w:pPr>
      <w:r>
        <w:rPr>
          <w:noProof/>
          <w:lang w:eastAsia="pl-PL"/>
        </w:rPr>
        <w:t>Różnice widać dla małych x gdzie wartość sinh(x) nie jest jeszcze duża. Wtedy lepiej jest dodawać elementy ciągu zaczynając od najmniejszych. Powoduje to mniejsze błędy zaokrągleń i w rezultacie wynik jest dokładniejszy.</w:t>
      </w:r>
    </w:p>
    <w:p w:rsidR="00D33763" w:rsidRDefault="00D33763" w:rsidP="008F2046">
      <w:pPr>
        <w:spacing w:after="240"/>
        <w:rPr>
          <w:rFonts w:eastAsiaTheme="minorEastAsia"/>
        </w:rPr>
      </w:pPr>
    </w:p>
    <w:p w:rsidR="004A4781" w:rsidRDefault="00676656" w:rsidP="008F2046">
      <w:pPr>
        <w:spacing w:after="240"/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="00084D61" w:rsidRPr="004A4781">
        <w:rPr>
          <w:rFonts w:eastAsiaTheme="minorEastAsia"/>
          <w:b/>
        </w:rPr>
        <w:t>. Błąd rzeczywisty a teoretyczny.</w:t>
      </w:r>
    </w:p>
    <w:p w:rsidR="00084D61" w:rsidRDefault="00135AEC" w:rsidP="008F2046">
      <w:pPr>
        <w:spacing w:after="240"/>
        <w:rPr>
          <w:rFonts w:eastAsiaTheme="minorEastAsia"/>
          <w:b/>
        </w:rPr>
      </w:pPr>
      <w:r>
        <w:rPr>
          <w:noProof/>
          <w:lang w:eastAsia="pl-PL"/>
        </w:rPr>
        <w:drawing>
          <wp:inline distT="0" distB="0" distL="0" distR="0" wp14:anchorId="3A44A6A1" wp14:editId="76B94BFF">
            <wp:extent cx="5760720" cy="3020695"/>
            <wp:effectExtent l="0" t="0" r="11430" b="2730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35AEC" w:rsidRDefault="004A4781" w:rsidP="008F2046">
      <w:pPr>
        <w:spacing w:after="240"/>
      </w:pPr>
      <w:r>
        <w:rPr>
          <w:rFonts w:eastAsiaTheme="minorEastAsia"/>
        </w:rPr>
        <w:t>Na wykresie przedstawione są wartości błędu rzeczywistego i teoretycznego od epsilon. Błąd teoretyczny</w:t>
      </w:r>
      <w:r w:rsidR="00135AEC">
        <w:rPr>
          <w:rFonts w:eastAsiaTheme="minorEastAsia"/>
        </w:rPr>
        <w:t xml:space="preserve"> obliczany jest</w:t>
      </w:r>
      <w:r>
        <w:rPr>
          <w:rFonts w:eastAsiaTheme="minorEastAsia"/>
        </w:rPr>
        <w:t xml:space="preserve"> </w:t>
      </w:r>
      <w:r w:rsidR="00135AEC">
        <w:t xml:space="preserve">resztą </w:t>
      </w:r>
      <w:proofErr w:type="spellStart"/>
      <w:r w:rsidR="00135AEC">
        <w:t>Lagrange’a</w:t>
      </w:r>
      <w:proofErr w:type="spellEnd"/>
      <w:r w:rsidR="00135AEC">
        <w:t xml:space="preserve"> nazywaną też błędem obcięcia</w:t>
      </w:r>
      <w:r>
        <w:rPr>
          <w:rFonts w:eastAsiaTheme="minorEastAsia"/>
        </w:rPr>
        <w:t>.</w:t>
      </w:r>
      <w:r w:rsidR="00135AEC">
        <w:rPr>
          <w:rFonts w:eastAsiaTheme="minorEastAsia"/>
        </w:rPr>
        <w:t xml:space="preserve"> Ten sposób obliczania jest konieczny, ponieważ </w:t>
      </w:r>
      <w:r>
        <w:rPr>
          <w:rFonts w:eastAsiaTheme="minorEastAsia"/>
        </w:rPr>
        <w:t xml:space="preserve">  </w:t>
      </w:r>
      <w:r w:rsidR="00135AEC">
        <w:t>nie można skorzystać z własności szeregów naprzemiennych.</w:t>
      </w:r>
    </w:p>
    <w:p w:rsidR="004A4781" w:rsidRPr="004A4781" w:rsidRDefault="00135AEC" w:rsidP="008F2046">
      <w:pPr>
        <w:spacing w:after="240"/>
        <w:rPr>
          <w:rFonts w:eastAsiaTheme="minorEastAsia"/>
        </w:rPr>
      </w:pPr>
      <w:r>
        <w:t xml:space="preserve"> </w:t>
      </w:r>
      <w:r w:rsidR="004A4781">
        <w:rPr>
          <w:rFonts w:eastAsiaTheme="minorEastAsia"/>
        </w:rPr>
        <w:t xml:space="preserve">Obliczenia te były robione dla typu danych </w:t>
      </w:r>
      <w:proofErr w:type="spellStart"/>
      <w:r w:rsidR="004A4781">
        <w:rPr>
          <w:rFonts w:eastAsiaTheme="minorEastAsia"/>
        </w:rPr>
        <w:t>double</w:t>
      </w:r>
      <w:proofErr w:type="spellEnd"/>
      <w:r w:rsidR="004A4781">
        <w:rPr>
          <w:rFonts w:eastAsiaTheme="minorEastAsia"/>
        </w:rPr>
        <w:t xml:space="preserve"> z powodu jego lepszej precyzji. Moż</w:t>
      </w:r>
      <w:r w:rsidR="00997F82">
        <w:rPr>
          <w:rFonts w:eastAsiaTheme="minorEastAsia"/>
        </w:rPr>
        <w:t>na zauważyć, że błąd rzeczywisty dla małych epsilon jest mniejszy niż teoretyczny. Dla coraz mniejszych epsilonów ulega to jednak zmianie i błędy poszczególnych elementów zaczynają się sumować .</w:t>
      </w:r>
      <w:r w:rsidR="004A4781">
        <w:rPr>
          <w:rFonts w:eastAsiaTheme="minorEastAsia"/>
        </w:rPr>
        <w:t xml:space="preserve">Udowadnia </w:t>
      </w:r>
      <w:r w:rsidR="003A4EC9">
        <w:rPr>
          <w:rFonts w:eastAsiaTheme="minorEastAsia"/>
        </w:rPr>
        <w:t>to, że nie można obliczyć wyniku dokładnego z szeregu który ma skończoną ilość elementów, ponieważ wyliczenie N+1 elementu zwiększy dokładność wyniku. Na wykresie widoczny jest również drastyczny odchył charakterystyki wykresu. Spowodowany jest on skończeniem się dokładności użytego typu.</w:t>
      </w:r>
    </w:p>
    <w:sectPr w:rsidR="004A4781" w:rsidRPr="004A4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874A9"/>
    <w:multiLevelType w:val="hybridMultilevel"/>
    <w:tmpl w:val="4DCA92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46"/>
    <w:rsid w:val="0000237A"/>
    <w:rsid w:val="00032D5E"/>
    <w:rsid w:val="000737D5"/>
    <w:rsid w:val="00084D61"/>
    <w:rsid w:val="00135AEC"/>
    <w:rsid w:val="00182A58"/>
    <w:rsid w:val="00363C28"/>
    <w:rsid w:val="003A4EC9"/>
    <w:rsid w:val="004A4781"/>
    <w:rsid w:val="005E16E1"/>
    <w:rsid w:val="005E4A04"/>
    <w:rsid w:val="00603813"/>
    <w:rsid w:val="00655D64"/>
    <w:rsid w:val="0067147D"/>
    <w:rsid w:val="00676656"/>
    <w:rsid w:val="006A1AAE"/>
    <w:rsid w:val="006B0355"/>
    <w:rsid w:val="008F2046"/>
    <w:rsid w:val="00922715"/>
    <w:rsid w:val="00997F82"/>
    <w:rsid w:val="00A1591F"/>
    <w:rsid w:val="00A35A7D"/>
    <w:rsid w:val="00A66DE3"/>
    <w:rsid w:val="00C93DDB"/>
    <w:rsid w:val="00D33763"/>
    <w:rsid w:val="00E95695"/>
    <w:rsid w:val="00E95F07"/>
    <w:rsid w:val="00F02503"/>
    <w:rsid w:val="00F31ACD"/>
    <w:rsid w:val="00F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204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204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2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204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204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2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ub\Desktop\Zeszy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ub\Desktop\Zeszy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ub\Desktop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Błąd bezwzględny</a:t>
            </a:r>
            <a:endParaRPr lang="pl-PL" baseline="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1073944131439299E-2"/>
          <c:y val="0.13169815040725544"/>
          <c:w val="0.64266947038006317"/>
          <c:h val="0.786282947025988"/>
        </c:manualLayout>
      </c:layout>
      <c:scatterChart>
        <c:scatterStyle val="lineMarker"/>
        <c:varyColors val="0"/>
        <c:ser>
          <c:idx val="0"/>
          <c:order val="0"/>
          <c:tx>
            <c:v>float</c:v>
          </c:tx>
          <c:spPr>
            <a:ln w="28575">
              <a:noFill/>
            </a:ln>
          </c:spPr>
          <c:xVal>
            <c:numRef>
              <c:f>dane!$A$2:$A$17</c:f>
              <c:numCache>
                <c:formatCode>0.00E+00</c:formatCode>
                <c:ptCount val="1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  <c:pt idx="14">
                  <c:v>1.0000000000000001E-15</c:v>
                </c:pt>
                <c:pt idx="15">
                  <c:v>9.9999999999999998E-17</c:v>
                </c:pt>
              </c:numCache>
            </c:numRef>
          </c:xVal>
          <c:yVal>
            <c:numRef>
              <c:f>dane!$E$2:$E$17</c:f>
              <c:numCache>
                <c:formatCode>0.000000000000000</c:formatCode>
                <c:ptCount val="16"/>
                <c:pt idx="0">
                  <c:v>1.164838304080007E-2</c:v>
                </c:pt>
                <c:pt idx="1">
                  <c:v>8.7186326539878678E-4</c:v>
                </c:pt>
                <c:pt idx="2">
                  <c:v>8.7186326539878678E-4</c:v>
                </c:pt>
                <c:pt idx="3">
                  <c:v>5.1703353300069921E-5</c:v>
                </c:pt>
                <c:pt idx="4">
                  <c:v>4.0196375010737029E-6</c:v>
                </c:pt>
                <c:pt idx="5">
                  <c:v>2.112288900235626E-6</c:v>
                </c:pt>
                <c:pt idx="6">
                  <c:v>2.112288900235626E-6</c:v>
                </c:pt>
                <c:pt idx="7">
                  <c:v>2.112288900235626E-6</c:v>
                </c:pt>
                <c:pt idx="8">
                  <c:v>2.112288900235626E-6</c:v>
                </c:pt>
                <c:pt idx="9">
                  <c:v>2.112288900235626E-6</c:v>
                </c:pt>
                <c:pt idx="10">
                  <c:v>2.112288900235626E-6</c:v>
                </c:pt>
                <c:pt idx="11">
                  <c:v>2.112288900235626E-6</c:v>
                </c:pt>
                <c:pt idx="12">
                  <c:v>2.112288900235626E-6</c:v>
                </c:pt>
                <c:pt idx="13">
                  <c:v>2.112288900235626E-6</c:v>
                </c:pt>
                <c:pt idx="14">
                  <c:v>2.112288900235626E-6</c:v>
                </c:pt>
                <c:pt idx="15">
                  <c:v>2.112288900235626E-6</c:v>
                </c:pt>
              </c:numCache>
            </c:numRef>
          </c:yVal>
          <c:smooth val="0"/>
        </c:ser>
        <c:ser>
          <c:idx val="1"/>
          <c:order val="1"/>
          <c:tx>
            <c:v>double</c:v>
          </c:tx>
          <c:spPr>
            <a:ln w="28575">
              <a:noFill/>
            </a:ln>
          </c:spPr>
          <c:xVal>
            <c:numRef>
              <c:f>dane!$A$2:$A$17</c:f>
              <c:numCache>
                <c:formatCode>0.00E+00</c:formatCode>
                <c:ptCount val="1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  <c:pt idx="14">
                  <c:v>1.0000000000000001E-15</c:v>
                </c:pt>
                <c:pt idx="15">
                  <c:v>9.9999999999999998E-17</c:v>
                </c:pt>
              </c:numCache>
            </c:numRef>
          </c:xVal>
          <c:yVal>
            <c:numRef>
              <c:f>dane!$L$2:$L$17</c:f>
              <c:numCache>
                <c:formatCode>0.000000000000000</c:formatCode>
                <c:ptCount val="16"/>
                <c:pt idx="0">
                  <c:v>1.1648798859400955E-2</c:v>
                </c:pt>
                <c:pt idx="1">
                  <c:v>8.717569712004547E-4</c:v>
                </c:pt>
                <c:pt idx="2">
                  <c:v>8.717569712004547E-4</c:v>
                </c:pt>
                <c:pt idx="3">
                  <c:v>5.064896249962203E-5</c:v>
                </c:pt>
                <c:pt idx="4">
                  <c:v>2.3484927993422389E-6</c:v>
                </c:pt>
                <c:pt idx="5">
                  <c:v>8.8821799693050707E-8</c:v>
                </c:pt>
                <c:pt idx="6">
                  <c:v>8.8821799693050707E-8</c:v>
                </c:pt>
                <c:pt idx="7">
                  <c:v>2.7390001378080342E-9</c:v>
                </c:pt>
                <c:pt idx="8">
                  <c:v>1.7099210936066811E-11</c:v>
                </c:pt>
                <c:pt idx="9">
                  <c:v>1.7099210936066811E-11</c:v>
                </c:pt>
                <c:pt idx="10">
                  <c:v>5.5500493090221426E-11</c:v>
                </c:pt>
                <c:pt idx="11">
                  <c:v>5.7198690228688065E-11</c:v>
                </c:pt>
                <c:pt idx="12">
                  <c:v>5.7198690228688065E-11</c:v>
                </c:pt>
                <c:pt idx="13">
                  <c:v>5.7198690228688065E-11</c:v>
                </c:pt>
                <c:pt idx="14">
                  <c:v>5.7198690228688065E-11</c:v>
                </c:pt>
                <c:pt idx="15">
                  <c:v>5.7198690228688065E-11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10432"/>
        <c:axId val="217354240"/>
      </c:scatterChart>
      <c:valAx>
        <c:axId val="239810432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epsilon</a:t>
                </a:r>
              </a:p>
            </c:rich>
          </c:tx>
          <c:layout>
            <c:manualLayout>
              <c:xMode val="edge"/>
              <c:yMode val="edge"/>
              <c:x val="3.6448274154409947E-4"/>
              <c:y val="0.11467598240360802"/>
            </c:manualLayout>
          </c:layout>
          <c:overlay val="0"/>
        </c:title>
        <c:numFmt formatCode="0.00E+00" sourceLinked="1"/>
        <c:majorTickMark val="out"/>
        <c:minorTickMark val="none"/>
        <c:tickLblPos val="nextTo"/>
        <c:crossAx val="217354240"/>
        <c:crosses val="autoZero"/>
        <c:crossBetween val="midCat"/>
      </c:valAx>
      <c:valAx>
        <c:axId val="217354240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Błąd bezwzględny</a:t>
                </a:r>
              </a:p>
            </c:rich>
          </c:tx>
          <c:layout>
            <c:manualLayout>
              <c:xMode val="edge"/>
              <c:yMode val="edge"/>
              <c:x val="0.74632793542316644"/>
              <c:y val="0.93922911044570145"/>
            </c:manualLayout>
          </c:layout>
          <c:overlay val="0"/>
        </c:title>
        <c:numFmt formatCode="0.000000000000000" sourceLinked="1"/>
        <c:majorTickMark val="none"/>
        <c:minorTickMark val="none"/>
        <c:tickLblPos val="high"/>
        <c:crossAx val="2398104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91052893943812574"/>
          <c:y val="0.4907471191769478"/>
          <c:w val="8.9471060561874205E-2"/>
          <c:h val="0.128933428775948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Błąd względny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9979667490017367E-2"/>
          <c:y val="0.15953872432612592"/>
          <c:w val="0.6686396569204085"/>
          <c:h val="0.76474556959449835"/>
        </c:manualLayout>
      </c:layout>
      <c:scatterChart>
        <c:scatterStyle val="lineMarker"/>
        <c:varyColors val="0"/>
        <c:ser>
          <c:idx val="0"/>
          <c:order val="0"/>
          <c:tx>
            <c:v>float</c:v>
          </c:tx>
          <c:spPr>
            <a:ln w="28575">
              <a:noFill/>
            </a:ln>
          </c:spPr>
          <c:xVal>
            <c:numRef>
              <c:f>dane!$A$2:$A$17</c:f>
              <c:numCache>
                <c:formatCode>0.00E+00</c:formatCode>
                <c:ptCount val="1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  <c:pt idx="14">
                  <c:v>1.0000000000000001E-15</c:v>
                </c:pt>
                <c:pt idx="15">
                  <c:v>9.9999999999999998E-17</c:v>
                </c:pt>
              </c:numCache>
            </c:numRef>
          </c:xVal>
          <c:yVal>
            <c:numRef>
              <c:f>dane!$F$2:$F$17</c:f>
              <c:numCache>
                <c:formatCode>0.000000000000000</c:formatCode>
                <c:ptCount val="16"/>
                <c:pt idx="0">
                  <c:v>0.99996430373586975</c:v>
                </c:pt>
                <c:pt idx="1">
                  <c:v>7.4845765294948421E-2</c:v>
                </c:pt>
                <c:pt idx="2">
                  <c:v>7.4845765294948421E-2</c:v>
                </c:pt>
                <c:pt idx="3">
                  <c:v>4.438513697774398E-3</c:v>
                </c:pt>
                <c:pt idx="4">
                  <c:v>3.4506883925029971E-4</c:v>
                </c:pt>
                <c:pt idx="5">
                  <c:v>1.8133104758100797E-4</c:v>
                </c:pt>
                <c:pt idx="6">
                  <c:v>1.8133104758100797E-4</c:v>
                </c:pt>
                <c:pt idx="7">
                  <c:v>1.8133104758100797E-4</c:v>
                </c:pt>
                <c:pt idx="8">
                  <c:v>1.8133104758100797E-4</c:v>
                </c:pt>
                <c:pt idx="9">
                  <c:v>1.8133104758100797E-4</c:v>
                </c:pt>
                <c:pt idx="10">
                  <c:v>1.8133104758100797E-4</c:v>
                </c:pt>
                <c:pt idx="11">
                  <c:v>1.8133104758100797E-4</c:v>
                </c:pt>
                <c:pt idx="12">
                  <c:v>1.8133104758100797E-4</c:v>
                </c:pt>
                <c:pt idx="13">
                  <c:v>1.8133104758100797E-4</c:v>
                </c:pt>
                <c:pt idx="14">
                  <c:v>1.8133104758100797E-4</c:v>
                </c:pt>
                <c:pt idx="15">
                  <c:v>1.8133104758100797E-4</c:v>
                </c:pt>
              </c:numCache>
            </c:numRef>
          </c:yVal>
          <c:smooth val="0"/>
        </c:ser>
        <c:ser>
          <c:idx val="1"/>
          <c:order val="1"/>
          <c:tx>
            <c:v>double</c:v>
          </c:tx>
          <c:spPr>
            <a:ln w="28575">
              <a:noFill/>
            </a:ln>
          </c:spPr>
          <c:marker>
            <c:symbol val="plus"/>
            <c:size val="5"/>
          </c:marker>
          <c:xVal>
            <c:numRef>
              <c:f>dane!$A$2:$A$17</c:f>
              <c:numCache>
                <c:formatCode>0.00E+00</c:formatCode>
                <c:ptCount val="1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  <c:pt idx="14">
                  <c:v>1.0000000000000001E-15</c:v>
                </c:pt>
                <c:pt idx="15">
                  <c:v>9.9999999999999998E-17</c:v>
                </c:pt>
              </c:numCache>
            </c:numRef>
          </c:xVal>
          <c:yVal>
            <c:numRef>
              <c:f>dane!$M$2:$M$17</c:f>
              <c:numCache>
                <c:formatCode>0.000000000000000</c:formatCode>
                <c:ptCount val="16"/>
                <c:pt idx="0">
                  <c:v>4.2685358021632279E-2</c:v>
                </c:pt>
                <c:pt idx="1">
                  <c:v>3.1944287881247517E-3</c:v>
                </c:pt>
                <c:pt idx="2">
                  <c:v>3.1944287881247517E-3</c:v>
                </c:pt>
                <c:pt idx="3">
                  <c:v>1.8559588192870334E-4</c:v>
                </c:pt>
                <c:pt idx="4">
                  <c:v>8.6057161052486481E-6</c:v>
                </c:pt>
                <c:pt idx="5">
                  <c:v>3.254747863522258E-7</c:v>
                </c:pt>
                <c:pt idx="6">
                  <c:v>3.254747863522258E-7</c:v>
                </c:pt>
                <c:pt idx="7">
                  <c:v>1.0036674417232448E-8</c:v>
                </c:pt>
                <c:pt idx="8">
                  <c:v>6.2657613845257564E-11</c:v>
                </c:pt>
                <c:pt idx="9">
                  <c:v>6.2657613845257564E-11</c:v>
                </c:pt>
                <c:pt idx="10">
                  <c:v>2.0337362216717509E-10</c:v>
                </c:pt>
                <c:pt idx="11">
                  <c:v>2.0959642279423372E-10</c:v>
                </c:pt>
                <c:pt idx="12">
                  <c:v>2.0959642279423372E-10</c:v>
                </c:pt>
                <c:pt idx="13">
                  <c:v>2.0959642279423372E-10</c:v>
                </c:pt>
                <c:pt idx="14">
                  <c:v>2.0959642279423372E-10</c:v>
                </c:pt>
                <c:pt idx="15">
                  <c:v>2.0959642279423372E-10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057472"/>
        <c:axId val="208059392"/>
      </c:scatterChart>
      <c:valAx>
        <c:axId val="208057472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epsilon</a:t>
                </a:r>
              </a:p>
            </c:rich>
          </c:tx>
          <c:layout>
            <c:manualLayout>
              <c:xMode val="edge"/>
              <c:yMode val="edge"/>
              <c:x val="3.1341443144349224E-4"/>
              <c:y val="0.12684381119026789"/>
            </c:manualLayout>
          </c:layout>
          <c:overlay val="0"/>
        </c:title>
        <c:numFmt formatCode="0.00E+00" sourceLinked="1"/>
        <c:majorTickMark val="out"/>
        <c:minorTickMark val="none"/>
        <c:tickLblPos val="nextTo"/>
        <c:crossAx val="208059392"/>
        <c:crosses val="autoZero"/>
        <c:crossBetween val="midCat"/>
      </c:valAx>
      <c:valAx>
        <c:axId val="20805939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Błąd względny</a:t>
                </a:r>
              </a:p>
            </c:rich>
          </c:tx>
          <c:layout>
            <c:manualLayout>
              <c:xMode val="edge"/>
              <c:yMode val="edge"/>
              <c:x val="0.77164647824136379"/>
              <c:y val="0.93870366979321374"/>
            </c:manualLayout>
          </c:layout>
          <c:overlay val="0"/>
        </c:title>
        <c:numFmt formatCode="0.000000000000000" sourceLinked="1"/>
        <c:majorTickMark val="out"/>
        <c:minorTickMark val="none"/>
        <c:tickLblPos val="high"/>
        <c:crossAx val="2080574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9084955062435377"/>
          <c:y val="0.4847814023247094"/>
          <c:w val="9.150449375646226E-2"/>
          <c:h val="0.1530828646419197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Wykres</a:t>
            </a:r>
            <a:r>
              <a:rPr lang="pl-PL" baseline="0"/>
              <a:t> błędu teoretycznego i rzeczywistego</a:t>
            </a:r>
            <a:endParaRPr lang="pl-PL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7443660059733912"/>
          <c:y val="0.15370797828353647"/>
          <c:w val="0.55490180106797005"/>
          <c:h val="0.75421881853809369"/>
        </c:manualLayout>
      </c:layout>
      <c:scatterChart>
        <c:scatterStyle val="smoothMarker"/>
        <c:varyColors val="0"/>
        <c:ser>
          <c:idx val="0"/>
          <c:order val="0"/>
          <c:tx>
            <c:v>błąd teoretyczny</c:v>
          </c:tx>
          <c:spPr>
            <a:ln>
              <a:prstDash val="sysDash"/>
            </a:ln>
          </c:spPr>
          <c:xVal>
            <c:numRef>
              <c:f>Arkusz3!$A$1:$A$16</c:f>
              <c:numCache>
                <c:formatCode>0.00E+00</c:formatCode>
                <c:ptCount val="1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  <c:pt idx="14">
                  <c:v>1.0000000000000001E-15</c:v>
                </c:pt>
              </c:numCache>
            </c:numRef>
          </c:xVal>
          <c:yVal>
            <c:numRef>
              <c:f>Arkusz3!$B$1:$B$14</c:f>
              <c:numCache>
                <c:formatCode>0.000000E+00</c:formatCode>
                <c:ptCount val="14"/>
                <c:pt idx="0">
                  <c:v>0.13654116418008247</c:v>
                </c:pt>
                <c:pt idx="1">
                  <c:v>4.5483195328546262E-3</c:v>
                </c:pt>
                <c:pt idx="2">
                  <c:v>1.1378430348340207E-4</c:v>
                </c:pt>
                <c:pt idx="3">
                  <c:v>2.2741597664273139E-6</c:v>
                </c:pt>
                <c:pt idx="4">
                  <c:v>3.7928101161134032E-8</c:v>
                </c:pt>
                <c:pt idx="5">
                  <c:v>5.4146661105412246E-10</c:v>
                </c:pt>
                <c:pt idx="6">
                  <c:v>6.7728752073453648E-12</c:v>
                </c:pt>
                <c:pt idx="7">
                  <c:v>7.5203695979739226E-14</c:v>
                </c:pt>
                <c:pt idx="8">
                  <c:v>7.5254168970504066E-16</c:v>
                </c:pt>
                <c:pt idx="9">
                  <c:v>6.8366996345217495E-18</c:v>
                </c:pt>
                <c:pt idx="10">
                  <c:v>5.7010734068563708E-20</c:v>
                </c:pt>
                <c:pt idx="11">
                  <c:v>4.3824997657190717E-22</c:v>
                </c:pt>
                <c:pt idx="12">
                  <c:v>3.1324579158551486E-24</c:v>
                </c:pt>
                <c:pt idx="13">
                  <c:v>2.0869046503424156E-26</c:v>
                </c:pt>
              </c:numCache>
            </c:numRef>
          </c:yVal>
          <c:smooth val="1"/>
        </c:ser>
        <c:ser>
          <c:idx val="1"/>
          <c:order val="1"/>
          <c:tx>
            <c:v>błąd rzeczywisty</c:v>
          </c:tx>
          <c:spPr>
            <a:ln>
              <a:prstDash val="sysDash"/>
            </a:ln>
          </c:spPr>
          <c:xVal>
            <c:numRef>
              <c:f>Arkusz3!$A$1:$A$16</c:f>
              <c:numCache>
                <c:formatCode>0.00E+00</c:formatCode>
                <c:ptCount val="1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  <c:pt idx="14">
                  <c:v>1.0000000000000001E-15</c:v>
                </c:pt>
              </c:numCache>
            </c:numRef>
          </c:xVal>
          <c:yVal>
            <c:numRef>
              <c:f>Arkusz3!$C$1:$C$16</c:f>
              <c:numCache>
                <c:formatCode>0.000000E+00</c:formatCode>
                <c:ptCount val="16"/>
                <c:pt idx="0">
                  <c:v>1.16487988593583E-2</c:v>
                </c:pt>
                <c:pt idx="1">
                  <c:v>8.7175697120400698E-4</c:v>
                </c:pt>
                <c:pt idx="2">
                  <c:v>8.7175697120400698E-4</c:v>
                </c:pt>
                <c:pt idx="3">
                  <c:v>5.0648962524490999E-5</c:v>
                </c:pt>
                <c:pt idx="4">
                  <c:v>2.3484928455275099E-6</c:v>
                </c:pt>
                <c:pt idx="5">
                  <c:v>8.8821753507772803E-8</c:v>
                </c:pt>
                <c:pt idx="6">
                  <c:v>8.8821753507772803E-8</c:v>
                </c:pt>
                <c:pt idx="7">
                  <c:v>2.7390463230858499E-9</c:v>
                </c:pt>
                <c:pt idx="8">
                  <c:v>1.70636837992788E-11</c:v>
                </c:pt>
                <c:pt idx="9">
                  <c:v>1.70636837992788E-11</c:v>
                </c:pt>
                <c:pt idx="10">
                  <c:v>5.5518256658615402E-11</c:v>
                </c:pt>
                <c:pt idx="11">
                  <c:v>5.7173821232936397E-11</c:v>
                </c:pt>
                <c:pt idx="12">
                  <c:v>5.7173821232936397E-11</c:v>
                </c:pt>
                <c:pt idx="13">
                  <c:v>5.7209348369724402E-11</c:v>
                </c:pt>
                <c:pt idx="14">
                  <c:v>5.7209348369724402E-11</c:v>
                </c:pt>
                <c:pt idx="15">
                  <c:v>5.7209348369724402E-11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288704"/>
        <c:axId val="239290624"/>
      </c:scatterChart>
      <c:valAx>
        <c:axId val="239288704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epsilon</a:t>
                </a:r>
              </a:p>
            </c:rich>
          </c:tx>
          <c:layout>
            <c:manualLayout>
              <c:xMode val="edge"/>
              <c:yMode val="edge"/>
              <c:x val="0.73784535553745434"/>
              <c:y val="0.1261916370042786"/>
            </c:manualLayout>
          </c:layout>
          <c:overlay val="0"/>
        </c:title>
        <c:numFmt formatCode="0.00E+00" sourceLinked="1"/>
        <c:majorTickMark val="out"/>
        <c:minorTickMark val="none"/>
        <c:tickLblPos val="nextTo"/>
        <c:crossAx val="239290624"/>
        <c:crosses val="autoZero"/>
        <c:crossBetween val="midCat"/>
      </c:valAx>
      <c:valAx>
        <c:axId val="239290624"/>
        <c:scaling>
          <c:logBase val="10"/>
          <c:orientation val="minMax"/>
        </c:scaling>
        <c:delete val="0"/>
        <c:axPos val="l"/>
        <c:majorGridlines/>
        <c:numFmt formatCode="0.000000E+00" sourceLinked="1"/>
        <c:majorTickMark val="out"/>
        <c:minorTickMark val="none"/>
        <c:tickLblPos val="low"/>
        <c:crossAx val="2392887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5</Pages>
  <Words>442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21</cp:revision>
  <dcterms:created xsi:type="dcterms:W3CDTF">2017-03-04T18:22:00Z</dcterms:created>
  <dcterms:modified xsi:type="dcterms:W3CDTF">2017-03-12T17:13:00Z</dcterms:modified>
</cp:coreProperties>
</file>