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pPr>
      <w:r>
        <w:rPr>
          <w:rFonts w:hint="default"/>
          <w:lang w:val="en-US"/>
        </w:rPr>
        <w:t>&lt;GGE295</w:t>
      </w:r>
      <w:r>
        <w:t xml:space="preserve">&gt; </w:t>
      </w:r>
      <w:r>
        <w:fldChar w:fldCharType="begin"/>
      </w:r>
      <w:r>
        <w:instrText xml:space="preserve"> TITLE  \* Upper  \* MERGEFORMAT </w:instrText>
      </w:r>
      <w:r>
        <w:fldChar w:fldCharType="separate"/>
      </w:r>
      <w:r>
        <w:t>METRICS REPORT</w:t>
      </w:r>
      <w:r>
        <w:fldChar w:fldCharType="end"/>
      </w:r>
    </w:p>
    <w:sdt>
      <w:sdtPr>
        <w:rPr>
          <w:rFonts w:asciiTheme="minorHAnsi" w:hAnsiTheme="minorHAnsi" w:eastAsiaTheme="minorEastAsia" w:cstheme="minorBidi"/>
          <w:b w:val="0"/>
          <w:bCs w:val="0"/>
          <w:color w:val="auto"/>
          <w:sz w:val="22"/>
          <w:szCs w:val="22"/>
        </w:rPr>
        <w:id w:val="3536097"/>
        <w:docPartObj>
          <w:docPartGallery w:val="Table of Contents"/>
          <w:docPartUnique/>
        </w:docPartObj>
      </w:sdtPr>
      <w:sdtEndPr>
        <w:rPr>
          <w:rFonts w:asciiTheme="minorHAnsi" w:hAnsiTheme="minorHAnsi" w:eastAsiaTheme="minorEastAsia" w:cstheme="minorBidi"/>
          <w:b w:val="0"/>
          <w:bCs w:val="0"/>
          <w:color w:val="auto"/>
          <w:sz w:val="22"/>
          <w:szCs w:val="22"/>
        </w:rPr>
      </w:sdtEndPr>
      <w:sdtContent>
        <w:p>
          <w:pPr>
            <w:pStyle w:val="37"/>
          </w:pPr>
          <w:r>
            <w:t>Contents</w:t>
          </w:r>
        </w:p>
        <w:p>
          <w:pPr>
            <w:pStyle w:val="24"/>
            <w:tabs>
              <w:tab w:val="right" w:leader="dot" w:pos="9360"/>
            </w:tabs>
          </w:pPr>
          <w:r>
            <w:fldChar w:fldCharType="begin"/>
          </w:r>
          <w:r>
            <w:instrText xml:space="preserve"> TOC \o "1-3" \h \z \u </w:instrText>
          </w:r>
          <w:r>
            <w:fldChar w:fldCharType="separate"/>
          </w:r>
          <w:r>
            <w:fldChar w:fldCharType="begin"/>
          </w:r>
          <w:r>
            <w:instrText xml:space="preserve"> HYPERLINK \l _Toc30254 </w:instrText>
          </w:r>
          <w:r>
            <w:fldChar w:fldCharType="separate"/>
          </w:r>
          <w:r>
            <w:rPr>
              <w:iCs/>
            </w:rPr>
            <w:t xml:space="preserve">1. </w:t>
          </w:r>
          <w:r>
            <w:t>Project Introduction</w:t>
          </w:r>
          <w:r>
            <w:tab/>
          </w:r>
          <w:r>
            <w:fldChar w:fldCharType="begin"/>
          </w:r>
          <w:r>
            <w:instrText xml:space="preserve"> PAGEREF _Toc30254 \h </w:instrText>
          </w:r>
          <w:r>
            <w:fldChar w:fldCharType="separate"/>
          </w:r>
          <w:r>
            <w:t>2</w:t>
          </w:r>
          <w:r>
            <w:fldChar w:fldCharType="end"/>
          </w:r>
          <w:r>
            <w:fldChar w:fldCharType="end"/>
          </w:r>
        </w:p>
        <w:p>
          <w:pPr>
            <w:pStyle w:val="24"/>
            <w:tabs>
              <w:tab w:val="right" w:leader="dot" w:pos="9360"/>
            </w:tabs>
          </w:pPr>
          <w:r>
            <w:fldChar w:fldCharType="begin"/>
          </w:r>
          <w:r>
            <w:instrText xml:space="preserve"> HYPERLINK \l _Toc23451 </w:instrText>
          </w:r>
          <w:r>
            <w:fldChar w:fldCharType="separate"/>
          </w:r>
          <w:r>
            <w:t>2. Schedule Variance</w:t>
          </w:r>
          <w:r>
            <w:rPr>
              <w:rFonts w:hint="default"/>
              <w:lang w:val="en-US"/>
            </w:rPr>
            <w:t xml:space="preserve"> and cost Variance</w:t>
          </w:r>
          <w:r>
            <w:tab/>
          </w:r>
          <w:r>
            <w:fldChar w:fldCharType="begin"/>
          </w:r>
          <w:r>
            <w:instrText xml:space="preserve"> PAGEREF _Toc23451 \h </w:instrText>
          </w:r>
          <w:r>
            <w:fldChar w:fldCharType="separate"/>
          </w:r>
          <w:r>
            <w:t>2</w:t>
          </w:r>
          <w:r>
            <w:fldChar w:fldCharType="end"/>
          </w:r>
          <w:r>
            <w:fldChar w:fldCharType="end"/>
          </w:r>
        </w:p>
        <w:p>
          <w:pPr>
            <w:pStyle w:val="25"/>
            <w:tabs>
              <w:tab w:val="right" w:leader="dot" w:pos="9360"/>
            </w:tabs>
          </w:pPr>
          <w:r>
            <w:fldChar w:fldCharType="begin"/>
          </w:r>
          <w:r>
            <w:instrText xml:space="preserve"> HYPERLINK \l _Toc10906 </w:instrText>
          </w:r>
          <w:r>
            <w:fldChar w:fldCharType="separate"/>
          </w:r>
          <w:r>
            <w:rPr>
              <w:rFonts w:hint="default"/>
              <w:lang w:val="en-US"/>
            </w:rPr>
            <w:t>2.1. EVMS CHART</w:t>
          </w:r>
          <w:r>
            <w:tab/>
          </w:r>
          <w:r>
            <w:fldChar w:fldCharType="begin"/>
          </w:r>
          <w:r>
            <w:instrText xml:space="preserve"> PAGEREF _Toc10906 \h </w:instrText>
          </w:r>
          <w:r>
            <w:fldChar w:fldCharType="separate"/>
          </w:r>
          <w:r>
            <w:t>2</w:t>
          </w:r>
          <w:r>
            <w:fldChar w:fldCharType="end"/>
          </w:r>
          <w:r>
            <w:fldChar w:fldCharType="end"/>
          </w:r>
        </w:p>
        <w:p>
          <w:pPr>
            <w:pStyle w:val="25"/>
            <w:tabs>
              <w:tab w:val="right" w:leader="dot" w:pos="9360"/>
            </w:tabs>
          </w:pPr>
          <w:r>
            <w:fldChar w:fldCharType="begin"/>
          </w:r>
          <w:r>
            <w:instrText xml:space="preserve"> HYPERLINK \l _Toc1726 </w:instrText>
          </w:r>
          <w:r>
            <w:fldChar w:fldCharType="separate"/>
          </w:r>
          <w:r>
            <w:rPr>
              <w:rFonts w:hint="default"/>
              <w:lang w:val="en-US"/>
            </w:rPr>
            <w:t>2.2. EVMS Data</w:t>
          </w:r>
          <w:r>
            <w:tab/>
          </w:r>
          <w:r>
            <w:fldChar w:fldCharType="begin"/>
          </w:r>
          <w:r>
            <w:instrText xml:space="preserve"> PAGEREF _Toc1726 \h </w:instrText>
          </w:r>
          <w:r>
            <w:fldChar w:fldCharType="separate"/>
          </w:r>
          <w:r>
            <w:t>2</w:t>
          </w:r>
          <w:r>
            <w:fldChar w:fldCharType="end"/>
          </w:r>
          <w:r>
            <w:fldChar w:fldCharType="end"/>
          </w:r>
        </w:p>
        <w:p>
          <w:pPr>
            <w:pStyle w:val="25"/>
            <w:tabs>
              <w:tab w:val="right" w:leader="dot" w:pos="9360"/>
            </w:tabs>
          </w:pPr>
          <w:r>
            <w:fldChar w:fldCharType="begin"/>
          </w:r>
          <w:r>
            <w:instrText xml:space="preserve"> HYPERLINK \l _Toc541 </w:instrText>
          </w:r>
          <w:r>
            <w:fldChar w:fldCharType="separate"/>
          </w:r>
          <w:r>
            <w:t>2.3. Causal Analysis(Phase wise)</w:t>
          </w:r>
          <w:r>
            <w:tab/>
          </w:r>
          <w:r>
            <w:fldChar w:fldCharType="begin"/>
          </w:r>
          <w:r>
            <w:instrText xml:space="preserve"> PAGEREF _Toc541 \h </w:instrText>
          </w:r>
          <w:r>
            <w:fldChar w:fldCharType="separate"/>
          </w:r>
          <w:r>
            <w:t>4</w:t>
          </w:r>
          <w:r>
            <w:fldChar w:fldCharType="end"/>
          </w:r>
          <w:r>
            <w:fldChar w:fldCharType="end"/>
          </w:r>
        </w:p>
        <w:p>
          <w:pPr>
            <w:pStyle w:val="25"/>
            <w:tabs>
              <w:tab w:val="right" w:leader="dot" w:pos="9360"/>
            </w:tabs>
          </w:pPr>
          <w:r>
            <w:fldChar w:fldCharType="begin"/>
          </w:r>
          <w:r>
            <w:instrText xml:space="preserve"> HYPERLINK \l _Toc24328 </w:instrText>
          </w:r>
          <w:r>
            <w:fldChar w:fldCharType="separate"/>
          </w:r>
          <w:r>
            <w:t>2.4. Corrective Actions</w:t>
          </w:r>
          <w:r>
            <w:tab/>
          </w:r>
          <w:r>
            <w:fldChar w:fldCharType="begin"/>
          </w:r>
          <w:r>
            <w:instrText xml:space="preserve"> PAGEREF _Toc24328 \h </w:instrText>
          </w:r>
          <w:r>
            <w:fldChar w:fldCharType="separate"/>
          </w:r>
          <w:r>
            <w:t>5</w:t>
          </w:r>
          <w:r>
            <w:fldChar w:fldCharType="end"/>
          </w:r>
          <w:r>
            <w:fldChar w:fldCharType="end"/>
          </w:r>
        </w:p>
        <w:p>
          <w:pPr>
            <w:pStyle w:val="24"/>
            <w:tabs>
              <w:tab w:val="right" w:leader="dot" w:pos="9360"/>
            </w:tabs>
          </w:pPr>
          <w:r>
            <w:fldChar w:fldCharType="begin"/>
          </w:r>
          <w:r>
            <w:instrText xml:space="preserve"> HYPERLINK \l _Toc8155 </w:instrText>
          </w:r>
          <w:r>
            <w:fldChar w:fldCharType="separate"/>
          </w:r>
          <w:r>
            <w:t>3. Product Defect Density</w:t>
          </w:r>
          <w:r>
            <w:tab/>
          </w:r>
          <w:r>
            <w:fldChar w:fldCharType="begin"/>
          </w:r>
          <w:r>
            <w:instrText xml:space="preserve"> PAGEREF _Toc8155 \h </w:instrText>
          </w:r>
          <w:r>
            <w:fldChar w:fldCharType="separate"/>
          </w:r>
          <w:r>
            <w:t>5</w:t>
          </w:r>
          <w:r>
            <w:fldChar w:fldCharType="end"/>
          </w:r>
          <w:r>
            <w:fldChar w:fldCharType="end"/>
          </w:r>
        </w:p>
        <w:p>
          <w:pPr>
            <w:pStyle w:val="25"/>
            <w:tabs>
              <w:tab w:val="right" w:leader="dot" w:pos="9360"/>
            </w:tabs>
          </w:pPr>
          <w:r>
            <w:fldChar w:fldCharType="begin"/>
          </w:r>
          <w:r>
            <w:instrText xml:space="preserve"> HYPERLINK \l _Toc18584 </w:instrText>
          </w:r>
          <w:r>
            <w:fldChar w:fldCharType="separate"/>
          </w:r>
          <w:r>
            <w:t>3.1. Corrective Actions</w:t>
          </w:r>
          <w:r>
            <w:tab/>
          </w:r>
          <w:r>
            <w:fldChar w:fldCharType="begin"/>
          </w:r>
          <w:r>
            <w:instrText xml:space="preserve"> PAGEREF _Toc18584 \h </w:instrText>
          </w:r>
          <w:r>
            <w:fldChar w:fldCharType="separate"/>
          </w:r>
          <w:r>
            <w:t>5</w:t>
          </w:r>
          <w:r>
            <w:fldChar w:fldCharType="end"/>
          </w:r>
          <w:r>
            <w:fldChar w:fldCharType="end"/>
          </w:r>
        </w:p>
        <w:p>
          <w:pPr>
            <w:pStyle w:val="25"/>
            <w:tabs>
              <w:tab w:val="right" w:leader="dot" w:pos="9360"/>
            </w:tabs>
          </w:pPr>
          <w:r>
            <w:fldChar w:fldCharType="begin"/>
          </w:r>
          <w:r>
            <w:instrText xml:space="preserve"> HYPERLINK \l _Toc30452 </w:instrText>
          </w:r>
          <w:r>
            <w:fldChar w:fldCharType="separate"/>
          </w:r>
          <w:r>
            <w:t>3.2. Root Cause Analysis</w:t>
          </w:r>
          <w:r>
            <w:tab/>
          </w:r>
          <w:r>
            <w:fldChar w:fldCharType="begin"/>
          </w:r>
          <w:r>
            <w:instrText xml:space="preserve"> PAGEREF _Toc30452 \h </w:instrText>
          </w:r>
          <w:r>
            <w:fldChar w:fldCharType="separate"/>
          </w:r>
          <w:r>
            <w:t>5</w:t>
          </w:r>
          <w:r>
            <w:fldChar w:fldCharType="end"/>
          </w:r>
          <w:r>
            <w:fldChar w:fldCharType="end"/>
          </w:r>
        </w:p>
        <w:p>
          <w:pPr>
            <w:pStyle w:val="24"/>
            <w:tabs>
              <w:tab w:val="right" w:leader="dot" w:pos="9360"/>
            </w:tabs>
          </w:pPr>
          <w:r>
            <w:fldChar w:fldCharType="begin"/>
          </w:r>
          <w:r>
            <w:instrText xml:space="preserve"> HYPERLINK \l _Toc29594 </w:instrText>
          </w:r>
          <w:r>
            <w:fldChar w:fldCharType="separate"/>
          </w:r>
          <w:r>
            <w:t>4. Project’s Process Defect Density</w:t>
          </w:r>
          <w:r>
            <w:tab/>
          </w:r>
          <w:r>
            <w:fldChar w:fldCharType="begin"/>
          </w:r>
          <w:r>
            <w:instrText xml:space="preserve"> PAGEREF _Toc29594 \h </w:instrText>
          </w:r>
          <w:r>
            <w:fldChar w:fldCharType="separate"/>
          </w:r>
          <w:r>
            <w:t>7</w:t>
          </w:r>
          <w:r>
            <w:fldChar w:fldCharType="end"/>
          </w:r>
          <w:r>
            <w:fldChar w:fldCharType="end"/>
          </w:r>
        </w:p>
        <w:p>
          <w:pPr>
            <w:pStyle w:val="25"/>
            <w:tabs>
              <w:tab w:val="right" w:leader="dot" w:pos="9360"/>
            </w:tabs>
          </w:pPr>
          <w:r>
            <w:fldChar w:fldCharType="begin"/>
          </w:r>
          <w:r>
            <w:instrText xml:space="preserve"> HYPERLINK \l _Toc8743 </w:instrText>
          </w:r>
          <w:r>
            <w:fldChar w:fldCharType="separate"/>
          </w:r>
          <w:r>
            <w:t>4.1. Corrective Actions</w:t>
          </w:r>
          <w:r>
            <w:tab/>
          </w:r>
          <w:r>
            <w:fldChar w:fldCharType="begin"/>
          </w:r>
          <w:r>
            <w:instrText xml:space="preserve"> PAGEREF _Toc8743 \h </w:instrText>
          </w:r>
          <w:r>
            <w:fldChar w:fldCharType="separate"/>
          </w:r>
          <w:r>
            <w:t>7</w:t>
          </w:r>
          <w:r>
            <w:fldChar w:fldCharType="end"/>
          </w:r>
          <w:r>
            <w:fldChar w:fldCharType="end"/>
          </w:r>
        </w:p>
        <w:p>
          <w:pPr>
            <w:pStyle w:val="25"/>
            <w:tabs>
              <w:tab w:val="right" w:leader="dot" w:pos="9360"/>
            </w:tabs>
          </w:pPr>
          <w:r>
            <w:fldChar w:fldCharType="begin"/>
          </w:r>
          <w:r>
            <w:instrText xml:space="preserve"> HYPERLINK \l _Toc13812 </w:instrText>
          </w:r>
          <w:r>
            <w:fldChar w:fldCharType="separate"/>
          </w:r>
          <w:r>
            <w:t>4.2. Root Cause Analysis</w:t>
          </w:r>
          <w:r>
            <w:tab/>
          </w:r>
          <w:r>
            <w:fldChar w:fldCharType="begin"/>
          </w:r>
          <w:r>
            <w:instrText xml:space="preserve"> PAGEREF _Toc13812 \h </w:instrText>
          </w:r>
          <w:r>
            <w:fldChar w:fldCharType="separate"/>
          </w:r>
          <w:r>
            <w:t>7</w:t>
          </w:r>
          <w:r>
            <w:fldChar w:fldCharType="end"/>
          </w:r>
          <w:r>
            <w:fldChar w:fldCharType="end"/>
          </w:r>
        </w:p>
        <w:p>
          <w:r>
            <w:fldChar w:fldCharType="end"/>
          </w:r>
        </w:p>
      </w:sdtContent>
    </w:sdt>
    <w:p>
      <w:pPr>
        <w:rPr>
          <w:rFonts w:asciiTheme="majorHAnsi" w:hAnsiTheme="majorHAnsi" w:eastAsiaTheme="majorEastAsia" w:cstheme="majorBidi"/>
          <w:b/>
          <w:bCs/>
          <w:color w:val="366091" w:themeColor="accent1" w:themeShade="BF"/>
          <w:sz w:val="28"/>
          <w:szCs w:val="28"/>
        </w:rPr>
      </w:pPr>
      <w:r>
        <w:br w:type="page"/>
      </w:r>
    </w:p>
    <w:p>
      <w:pPr>
        <w:pStyle w:val="2"/>
        <w:numPr>
          <w:ilvl w:val="0"/>
          <w:numId w:val="1"/>
        </w:numPr>
        <w:rPr>
          <w:iCs/>
        </w:rPr>
      </w:pPr>
      <w:bookmarkStart w:id="0" w:name="_Toc30254"/>
      <w:r>
        <w:t>Project Introduction</w:t>
      </w:r>
      <w:bookmarkEnd w:id="0"/>
      <w:r>
        <w:rPr>
          <w:iCs/>
        </w:rPr>
        <w:t xml:space="preserve"> </w:t>
      </w:r>
    </w:p>
    <w:p>
      <w:pPr>
        <w:ind w:left="720"/>
        <w:rPr>
          <w:rFonts w:hint="default"/>
          <w:lang w:val="en-US"/>
        </w:rPr>
      </w:pPr>
      <w:r>
        <w:t xml:space="preserve">Project Manager: </w:t>
      </w:r>
      <w:r>
        <w:rPr>
          <w:rFonts w:hint="default"/>
          <w:lang w:val="en-US"/>
        </w:rPr>
        <w:t>Sobhag Prajapat</w:t>
      </w:r>
    </w:p>
    <w:p>
      <w:pPr>
        <w:ind w:left="720"/>
      </w:pPr>
      <w:r>
        <w:t>Team Size :</w:t>
      </w:r>
      <w:r>
        <w:rPr>
          <w:rFonts w:hint="default"/>
          <w:lang w:val="en-US"/>
        </w:rPr>
        <w:t>10 Nos</w:t>
      </w:r>
      <w:r>
        <w:t xml:space="preserve">     </w:t>
      </w:r>
    </w:p>
    <w:p>
      <w:pPr>
        <w:pStyle w:val="2"/>
        <w:numPr>
          <w:ilvl w:val="0"/>
          <w:numId w:val="1"/>
        </w:numPr>
      </w:pPr>
      <w:bookmarkStart w:id="1" w:name="_Toc23451"/>
      <w:r>
        <w:t>Schedule Variance</w:t>
      </w:r>
      <w:r>
        <w:rPr>
          <w:rFonts w:hint="default"/>
          <w:lang w:val="en-US"/>
        </w:rPr>
        <w:t xml:space="preserve"> and cost Variance</w:t>
      </w:r>
      <w:bookmarkEnd w:id="1"/>
    </w:p>
    <w:p>
      <w:pPr>
        <w:pStyle w:val="3"/>
        <w:numPr>
          <w:ilvl w:val="1"/>
          <w:numId w:val="1"/>
        </w:numPr>
        <w:rPr>
          <w:rFonts w:hint="default"/>
          <w:lang w:val="en-US"/>
        </w:rPr>
      </w:pPr>
      <w:bookmarkStart w:id="2" w:name="_Toc10906"/>
      <w:r>
        <w:rPr>
          <w:rFonts w:hint="default"/>
          <w:lang w:val="en-US"/>
        </w:rPr>
        <w:t>EVMS CHART</w:t>
      </w:r>
      <w:bookmarkEnd w:id="2"/>
    </w:p>
    <w:p>
      <w:pPr>
        <w:rPr>
          <w:rFonts w:hint="default"/>
          <w:lang w:val="en-US"/>
        </w:rPr>
      </w:pPr>
    </w:p>
    <w:p>
      <w:pPr>
        <w:rPr>
          <w:rFonts w:hint="default"/>
          <w:lang w:val="en-US"/>
        </w:rPr>
      </w:pPr>
      <w:r>
        <w:rPr>
          <w:rFonts w:ascii="SimSun" w:hAnsi="SimSun" w:eastAsia="SimSun" w:cs="SimSun"/>
          <w:sz w:val="24"/>
          <w:szCs w:val="24"/>
        </w:rPr>
        <w:drawing>
          <wp:inline distT="0" distB="0" distL="114300" distR="114300">
            <wp:extent cx="6313170" cy="2591435"/>
            <wp:effectExtent l="0" t="0" r="11430" b="1841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2"/>
                    <a:stretch>
                      <a:fillRect/>
                    </a:stretch>
                  </pic:blipFill>
                  <pic:spPr>
                    <a:xfrm>
                      <a:off x="0" y="0"/>
                      <a:ext cx="6313170" cy="2591435"/>
                    </a:xfrm>
                    <a:prstGeom prst="rect">
                      <a:avLst/>
                    </a:prstGeom>
                    <a:noFill/>
                    <a:ln w="9525">
                      <a:noFill/>
                    </a:ln>
                  </pic:spPr>
                </pic:pic>
              </a:graphicData>
            </a:graphic>
          </wp:inline>
        </w:drawing>
      </w:r>
    </w:p>
    <w:p>
      <w:pPr>
        <w:rPr>
          <w:rFonts w:hint="default"/>
          <w:lang w:val="en-US"/>
        </w:rPr>
      </w:pPr>
    </w:p>
    <w:p>
      <w:pPr>
        <w:rPr>
          <w:rFonts w:hint="default"/>
          <w:lang w:val="en-US"/>
        </w:rPr>
      </w:pPr>
    </w:p>
    <w:p>
      <w:pPr>
        <w:pStyle w:val="3"/>
        <w:numPr>
          <w:ilvl w:val="1"/>
          <w:numId w:val="1"/>
        </w:numPr>
        <w:rPr>
          <w:rFonts w:hint="default"/>
          <w:lang w:val="en-US"/>
        </w:rPr>
      </w:pPr>
      <w:bookmarkStart w:id="3" w:name="_Toc1726"/>
      <w:r>
        <w:rPr>
          <w:rFonts w:hint="default"/>
          <w:lang w:val="en-US"/>
        </w:rPr>
        <w:t>EVMS Data</w:t>
      </w:r>
      <w:bookmarkEnd w:id="3"/>
    </w:p>
    <w:p>
      <w:pPr>
        <w:rPr>
          <w:rFonts w:hint="default"/>
          <w:lang w:val="en-US"/>
        </w:rPr>
      </w:pPr>
    </w:p>
    <w:p>
      <w:r>
        <w:drawing>
          <wp:inline distT="0" distB="0" distL="114300" distR="114300">
            <wp:extent cx="6178550" cy="1562735"/>
            <wp:effectExtent l="0" t="0" r="12700" b="184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6178550" cy="1562735"/>
                    </a:xfrm>
                    <a:prstGeom prst="rect">
                      <a:avLst/>
                    </a:prstGeom>
                    <a:noFill/>
                    <a:ln>
                      <a:noFill/>
                    </a:ln>
                  </pic:spPr>
                </pic:pic>
              </a:graphicData>
            </a:graphic>
          </wp:inline>
        </w:drawing>
      </w:r>
    </w:p>
    <w:p/>
    <w:p>
      <w:pPr>
        <w:rPr>
          <w:rFonts w:hint="default"/>
          <w:b/>
          <w:bCs/>
          <w:sz w:val="28"/>
          <w:szCs w:val="28"/>
          <w:lang w:val="en-US"/>
        </w:rPr>
      </w:pPr>
    </w:p>
    <w:p>
      <w:pPr>
        <w:rPr>
          <w:rFonts w:hint="default"/>
          <w:b/>
          <w:bCs/>
          <w:sz w:val="28"/>
          <w:szCs w:val="28"/>
          <w:lang w:val="en-US"/>
        </w:rPr>
      </w:pPr>
      <w:r>
        <w:rPr>
          <w:rFonts w:hint="default"/>
          <w:b/>
          <w:bCs/>
          <w:sz w:val="28"/>
          <w:szCs w:val="28"/>
          <w:lang w:val="en-US"/>
        </w:rPr>
        <w:t>Schedule and Cost Variance analysis at project Level</w:t>
      </w:r>
    </w:p>
    <w:tbl>
      <w:tblPr>
        <w:tblStyle w:val="22"/>
        <w:tblW w:w="99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9"/>
        <w:gridCol w:w="1420"/>
        <w:gridCol w:w="1669"/>
        <w:gridCol w:w="1017"/>
        <w:gridCol w:w="887"/>
        <w:gridCol w:w="818"/>
        <w:gridCol w:w="1623"/>
        <w:gridCol w:w="1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8" w:hRule="atLeast"/>
        </w:trPr>
        <w:tc>
          <w:tcPr>
            <w:tcW w:w="839" w:type="dxa"/>
          </w:tcPr>
          <w:p>
            <w:pPr>
              <w:widowControl w:val="0"/>
              <w:spacing w:line="240" w:lineRule="auto"/>
              <w:jc w:val="both"/>
              <w:rPr>
                <w:rFonts w:hint="default"/>
                <w:sz w:val="21"/>
                <w:szCs w:val="21"/>
                <w:vertAlign w:val="baseline"/>
                <w:lang w:val="en-US"/>
              </w:rPr>
            </w:pPr>
            <w:r>
              <w:rPr>
                <w:rFonts w:hint="default"/>
                <w:sz w:val="21"/>
                <w:szCs w:val="21"/>
                <w:vertAlign w:val="baseline"/>
                <w:lang w:val="en-US"/>
              </w:rPr>
              <w:t>Weeks</w:t>
            </w:r>
          </w:p>
        </w:tc>
        <w:tc>
          <w:tcPr>
            <w:tcW w:w="1420" w:type="dxa"/>
          </w:tcPr>
          <w:p>
            <w:pPr>
              <w:widowControl w:val="0"/>
              <w:spacing w:line="240" w:lineRule="auto"/>
              <w:jc w:val="both"/>
              <w:rPr>
                <w:rFonts w:hint="default"/>
                <w:sz w:val="21"/>
                <w:szCs w:val="21"/>
                <w:vertAlign w:val="baseline"/>
                <w:lang w:val="en-US"/>
              </w:rPr>
            </w:pPr>
            <w:r>
              <w:rPr>
                <w:rFonts w:hint="default"/>
                <w:sz w:val="21"/>
                <w:szCs w:val="21"/>
                <w:vertAlign w:val="baseline"/>
                <w:lang w:val="en-US"/>
              </w:rPr>
              <w:t>No of Week</w:t>
            </w:r>
          </w:p>
        </w:tc>
        <w:tc>
          <w:tcPr>
            <w:tcW w:w="1669" w:type="dxa"/>
          </w:tcPr>
          <w:p>
            <w:pPr>
              <w:widowControl w:val="0"/>
              <w:spacing w:line="240" w:lineRule="auto"/>
              <w:jc w:val="both"/>
              <w:rPr>
                <w:rFonts w:hint="default"/>
                <w:sz w:val="21"/>
                <w:szCs w:val="21"/>
                <w:vertAlign w:val="baseline"/>
                <w:lang w:val="en-US"/>
              </w:rPr>
            </w:pPr>
            <w:r>
              <w:rPr>
                <w:rFonts w:hint="default"/>
                <w:sz w:val="21"/>
                <w:szCs w:val="21"/>
                <w:vertAlign w:val="baseline"/>
                <w:lang w:val="en-US"/>
              </w:rPr>
              <w:t xml:space="preserve">Name of Phase </w:t>
            </w:r>
          </w:p>
        </w:tc>
        <w:tc>
          <w:tcPr>
            <w:tcW w:w="1017" w:type="dxa"/>
          </w:tcPr>
          <w:p>
            <w:pPr>
              <w:widowControl w:val="0"/>
              <w:spacing w:line="240" w:lineRule="auto"/>
              <w:jc w:val="both"/>
              <w:rPr>
                <w:rFonts w:hint="default"/>
                <w:sz w:val="21"/>
                <w:szCs w:val="21"/>
                <w:vertAlign w:val="baseline"/>
                <w:lang w:val="en-US"/>
              </w:rPr>
            </w:pPr>
            <w:r>
              <w:rPr>
                <w:rFonts w:hint="default"/>
                <w:sz w:val="21"/>
                <w:szCs w:val="21"/>
                <w:vertAlign w:val="baseline"/>
                <w:lang w:val="en-US"/>
              </w:rPr>
              <w:t>Planned Value</w:t>
            </w:r>
          </w:p>
        </w:tc>
        <w:tc>
          <w:tcPr>
            <w:tcW w:w="887" w:type="dxa"/>
          </w:tcPr>
          <w:p>
            <w:pPr>
              <w:widowControl w:val="0"/>
              <w:spacing w:line="240" w:lineRule="auto"/>
              <w:jc w:val="both"/>
              <w:rPr>
                <w:rFonts w:hint="default"/>
                <w:sz w:val="21"/>
                <w:szCs w:val="21"/>
                <w:vertAlign w:val="baseline"/>
                <w:lang w:val="en-US"/>
              </w:rPr>
            </w:pPr>
            <w:r>
              <w:rPr>
                <w:rFonts w:hint="default"/>
                <w:sz w:val="21"/>
                <w:szCs w:val="21"/>
                <w:vertAlign w:val="baseline"/>
                <w:lang w:val="en-US"/>
              </w:rPr>
              <w:t>Earned Value</w:t>
            </w:r>
          </w:p>
        </w:tc>
        <w:tc>
          <w:tcPr>
            <w:tcW w:w="818" w:type="dxa"/>
          </w:tcPr>
          <w:p>
            <w:pPr>
              <w:widowControl w:val="0"/>
              <w:spacing w:line="240" w:lineRule="auto"/>
              <w:jc w:val="both"/>
              <w:rPr>
                <w:rFonts w:hint="default"/>
                <w:sz w:val="21"/>
                <w:szCs w:val="21"/>
                <w:vertAlign w:val="baseline"/>
                <w:lang w:val="en-US"/>
              </w:rPr>
            </w:pPr>
            <w:r>
              <w:rPr>
                <w:rFonts w:hint="default"/>
                <w:sz w:val="21"/>
                <w:szCs w:val="21"/>
                <w:vertAlign w:val="baseline"/>
                <w:lang w:val="en-US"/>
              </w:rPr>
              <w:t>Actual Cost</w:t>
            </w:r>
          </w:p>
        </w:tc>
        <w:tc>
          <w:tcPr>
            <w:tcW w:w="1623" w:type="dxa"/>
          </w:tcPr>
          <w:p>
            <w:pPr>
              <w:widowControl w:val="0"/>
              <w:spacing w:line="240" w:lineRule="auto"/>
              <w:jc w:val="both"/>
              <w:rPr>
                <w:rFonts w:hint="default"/>
                <w:sz w:val="21"/>
                <w:szCs w:val="21"/>
                <w:vertAlign w:val="baseline"/>
                <w:lang w:val="en-US"/>
              </w:rPr>
            </w:pPr>
            <w:r>
              <w:rPr>
                <w:rFonts w:hint="default"/>
                <w:sz w:val="21"/>
                <w:szCs w:val="21"/>
                <w:vertAlign w:val="baseline"/>
                <w:lang w:val="en-US"/>
              </w:rPr>
              <w:t>Schedule variance</w:t>
            </w:r>
          </w:p>
          <w:p>
            <w:pPr>
              <w:widowControl w:val="0"/>
              <w:spacing w:line="240" w:lineRule="auto"/>
              <w:jc w:val="both"/>
              <w:rPr>
                <w:rFonts w:hint="default"/>
                <w:sz w:val="21"/>
                <w:szCs w:val="21"/>
                <w:vertAlign w:val="baseline"/>
                <w:lang w:val="en-US"/>
              </w:rPr>
            </w:pPr>
            <w:r>
              <w:rPr>
                <w:rFonts w:hint="default"/>
                <w:sz w:val="21"/>
                <w:szCs w:val="21"/>
                <w:vertAlign w:val="baseline"/>
                <w:lang w:val="en-US"/>
              </w:rPr>
              <w:t>(EV-PV/PV)*100</w:t>
            </w:r>
          </w:p>
        </w:tc>
        <w:tc>
          <w:tcPr>
            <w:tcW w:w="1663" w:type="dxa"/>
          </w:tcPr>
          <w:p>
            <w:pPr>
              <w:widowControl w:val="0"/>
              <w:spacing w:line="240" w:lineRule="auto"/>
              <w:jc w:val="both"/>
              <w:rPr>
                <w:rFonts w:hint="default"/>
                <w:sz w:val="21"/>
                <w:szCs w:val="21"/>
                <w:vertAlign w:val="baseline"/>
                <w:lang w:val="en-US"/>
              </w:rPr>
            </w:pPr>
            <w:r>
              <w:rPr>
                <w:rFonts w:hint="default"/>
                <w:sz w:val="21"/>
                <w:szCs w:val="21"/>
                <w:vertAlign w:val="baseline"/>
                <w:lang w:val="en-US"/>
              </w:rPr>
              <w:t>Cost Variance</w:t>
            </w:r>
          </w:p>
          <w:p>
            <w:pPr>
              <w:widowControl w:val="0"/>
              <w:spacing w:line="240" w:lineRule="auto"/>
              <w:jc w:val="both"/>
              <w:rPr>
                <w:rFonts w:hint="default"/>
                <w:sz w:val="21"/>
                <w:szCs w:val="21"/>
                <w:vertAlign w:val="baseline"/>
                <w:lang w:val="en-US"/>
              </w:rPr>
            </w:pPr>
            <w:r>
              <w:rPr>
                <w:rFonts w:hint="default"/>
                <w:sz w:val="21"/>
                <w:szCs w:val="21"/>
                <w:vertAlign w:val="baseline"/>
                <w:lang w:val="en-US"/>
              </w:rPr>
              <w:t>(AC-EV/EV)*100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839" w:type="dxa"/>
          </w:tcPr>
          <w:p>
            <w:pPr>
              <w:widowControl w:val="0"/>
              <w:spacing w:line="240" w:lineRule="auto"/>
              <w:jc w:val="both"/>
              <w:rPr>
                <w:rFonts w:hint="default"/>
                <w:sz w:val="21"/>
                <w:szCs w:val="21"/>
                <w:vertAlign w:val="baseline"/>
                <w:lang w:val="en-US"/>
              </w:rPr>
            </w:pPr>
            <w:r>
              <w:rPr>
                <w:rFonts w:hint="default"/>
                <w:sz w:val="21"/>
                <w:szCs w:val="21"/>
                <w:vertAlign w:val="baseline"/>
                <w:lang w:val="en-US"/>
              </w:rPr>
              <w:t>1st</w:t>
            </w:r>
          </w:p>
        </w:tc>
        <w:tc>
          <w:tcPr>
            <w:tcW w:w="1420" w:type="dxa"/>
            <w:vAlign w:val="top"/>
          </w:tcPr>
          <w:p>
            <w:pPr>
              <w:widowControl w:val="0"/>
              <w:spacing w:line="240" w:lineRule="auto"/>
              <w:jc w:val="both"/>
              <w:rPr>
                <w:rFonts w:hint="default" w:asciiTheme="minorHAnsi" w:hAnsiTheme="minorHAnsi" w:eastAsiaTheme="minorEastAsia" w:cstheme="minorBidi"/>
                <w:sz w:val="21"/>
                <w:szCs w:val="21"/>
                <w:vertAlign w:val="baseline"/>
                <w:lang w:val="en-US" w:eastAsia="en-IN" w:bidi="ar-SA"/>
              </w:rPr>
            </w:pPr>
            <w:r>
              <w:rPr>
                <w:rFonts w:hint="default"/>
                <w:sz w:val="21"/>
                <w:szCs w:val="21"/>
                <w:vertAlign w:val="baseline"/>
                <w:lang w:val="en-US"/>
              </w:rPr>
              <w:t>19-07-22 to 26-07-22</w:t>
            </w:r>
          </w:p>
        </w:tc>
        <w:tc>
          <w:tcPr>
            <w:tcW w:w="1669" w:type="dxa"/>
          </w:tcPr>
          <w:p>
            <w:pPr>
              <w:widowControl w:val="0"/>
              <w:spacing w:line="240" w:lineRule="auto"/>
              <w:jc w:val="both"/>
              <w:rPr>
                <w:rFonts w:hint="default"/>
                <w:sz w:val="21"/>
                <w:szCs w:val="21"/>
                <w:vertAlign w:val="baseline"/>
                <w:lang w:val="en-US"/>
              </w:rPr>
            </w:pPr>
            <w:r>
              <w:rPr>
                <w:rFonts w:hint="default"/>
                <w:sz w:val="21"/>
                <w:szCs w:val="21"/>
                <w:vertAlign w:val="baseline"/>
                <w:lang w:val="en-US"/>
              </w:rPr>
              <w:t>RD Phase, Planning Phase</w:t>
            </w:r>
          </w:p>
        </w:tc>
        <w:tc>
          <w:tcPr>
            <w:tcW w:w="1017" w:type="dxa"/>
          </w:tcPr>
          <w:p>
            <w:pPr>
              <w:widowControl w:val="0"/>
              <w:spacing w:line="240" w:lineRule="auto"/>
              <w:jc w:val="both"/>
              <w:rPr>
                <w:rFonts w:hint="default"/>
                <w:sz w:val="21"/>
                <w:szCs w:val="21"/>
                <w:vertAlign w:val="baseline"/>
                <w:lang w:val="en-US"/>
              </w:rPr>
            </w:pPr>
            <w:r>
              <w:rPr>
                <w:rFonts w:hint="default"/>
                <w:sz w:val="21"/>
                <w:szCs w:val="21"/>
                <w:vertAlign w:val="baseline"/>
                <w:lang w:val="en-US"/>
              </w:rPr>
              <w:t>29</w:t>
            </w:r>
          </w:p>
        </w:tc>
        <w:tc>
          <w:tcPr>
            <w:tcW w:w="887" w:type="dxa"/>
          </w:tcPr>
          <w:p>
            <w:pPr>
              <w:widowControl w:val="0"/>
              <w:spacing w:line="240" w:lineRule="auto"/>
              <w:jc w:val="both"/>
              <w:rPr>
                <w:rFonts w:hint="default"/>
                <w:sz w:val="21"/>
                <w:szCs w:val="21"/>
                <w:vertAlign w:val="baseline"/>
                <w:lang w:val="en-US"/>
              </w:rPr>
            </w:pPr>
            <w:r>
              <w:rPr>
                <w:rFonts w:hint="default"/>
                <w:sz w:val="21"/>
                <w:szCs w:val="21"/>
                <w:vertAlign w:val="baseline"/>
                <w:lang w:val="en-US"/>
              </w:rPr>
              <w:t>29</w:t>
            </w:r>
          </w:p>
        </w:tc>
        <w:tc>
          <w:tcPr>
            <w:tcW w:w="818" w:type="dxa"/>
          </w:tcPr>
          <w:p>
            <w:pPr>
              <w:widowControl w:val="0"/>
              <w:spacing w:line="240" w:lineRule="auto"/>
              <w:jc w:val="both"/>
              <w:rPr>
                <w:rFonts w:hint="default"/>
                <w:sz w:val="21"/>
                <w:szCs w:val="21"/>
                <w:vertAlign w:val="baseline"/>
                <w:lang w:val="en-US"/>
              </w:rPr>
            </w:pPr>
            <w:r>
              <w:rPr>
                <w:rFonts w:hint="default"/>
                <w:sz w:val="21"/>
                <w:szCs w:val="21"/>
                <w:vertAlign w:val="baseline"/>
                <w:lang w:val="en-US"/>
              </w:rPr>
              <w:t>27</w:t>
            </w:r>
          </w:p>
        </w:tc>
        <w:tc>
          <w:tcPr>
            <w:tcW w:w="1623" w:type="dxa"/>
          </w:tcPr>
          <w:p>
            <w:pPr>
              <w:widowControl w:val="0"/>
              <w:spacing w:line="240" w:lineRule="auto"/>
              <w:jc w:val="both"/>
              <w:rPr>
                <w:rFonts w:hint="default"/>
                <w:sz w:val="21"/>
                <w:szCs w:val="21"/>
                <w:vertAlign w:val="baseline"/>
                <w:lang w:val="en-US"/>
              </w:rPr>
            </w:pPr>
            <w:r>
              <w:rPr>
                <w:rFonts w:hint="default"/>
                <w:sz w:val="21"/>
                <w:szCs w:val="21"/>
                <w:vertAlign w:val="baseline"/>
                <w:lang w:val="en-US"/>
              </w:rPr>
              <w:t>0%</w:t>
            </w:r>
          </w:p>
        </w:tc>
        <w:tc>
          <w:tcPr>
            <w:tcW w:w="1663" w:type="dxa"/>
          </w:tcPr>
          <w:p>
            <w:pPr>
              <w:widowControl w:val="0"/>
              <w:spacing w:line="240" w:lineRule="auto"/>
              <w:jc w:val="both"/>
              <w:rPr>
                <w:rFonts w:hint="default"/>
                <w:sz w:val="21"/>
                <w:szCs w:val="21"/>
                <w:vertAlign w:val="baseline"/>
                <w:lang w:val="en-US"/>
              </w:rPr>
            </w:pPr>
            <w:r>
              <w:rPr>
                <w:rFonts w:hint="default"/>
                <w:sz w:val="21"/>
                <w:szCs w:val="21"/>
                <w:vertAlign w:val="baseline"/>
                <w:lang w:val="en-US"/>
              </w:rPr>
              <w:t>-6.89%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9" w:type="dxa"/>
          </w:tcPr>
          <w:p>
            <w:pPr>
              <w:widowControl w:val="0"/>
              <w:spacing w:line="240" w:lineRule="auto"/>
              <w:jc w:val="both"/>
              <w:rPr>
                <w:rFonts w:hint="default"/>
                <w:sz w:val="21"/>
                <w:szCs w:val="21"/>
                <w:vertAlign w:val="baseline"/>
                <w:lang w:val="en-US"/>
              </w:rPr>
            </w:pPr>
            <w:r>
              <w:rPr>
                <w:rFonts w:hint="default"/>
                <w:sz w:val="21"/>
                <w:szCs w:val="21"/>
                <w:vertAlign w:val="baseline"/>
                <w:lang w:val="en-US"/>
              </w:rPr>
              <w:t>2nd</w:t>
            </w:r>
          </w:p>
        </w:tc>
        <w:tc>
          <w:tcPr>
            <w:tcW w:w="1420" w:type="dxa"/>
          </w:tcPr>
          <w:p>
            <w:pPr>
              <w:widowControl w:val="0"/>
              <w:spacing w:line="240" w:lineRule="auto"/>
              <w:jc w:val="both"/>
              <w:rPr>
                <w:rFonts w:hint="default"/>
                <w:sz w:val="21"/>
                <w:szCs w:val="21"/>
                <w:vertAlign w:val="baseline"/>
                <w:lang w:val="en-US"/>
              </w:rPr>
            </w:pPr>
            <w:r>
              <w:rPr>
                <w:rFonts w:hint="default"/>
                <w:sz w:val="21"/>
                <w:szCs w:val="21"/>
                <w:vertAlign w:val="baseline"/>
                <w:lang w:val="en-US"/>
              </w:rPr>
              <w:t>26-07-22 to 02-08-22</w:t>
            </w:r>
          </w:p>
        </w:tc>
        <w:tc>
          <w:tcPr>
            <w:tcW w:w="1669" w:type="dxa"/>
          </w:tcPr>
          <w:p>
            <w:pPr>
              <w:widowControl w:val="0"/>
              <w:spacing w:line="240" w:lineRule="auto"/>
              <w:jc w:val="both"/>
              <w:rPr>
                <w:sz w:val="21"/>
                <w:szCs w:val="21"/>
                <w:vertAlign w:val="baseline"/>
              </w:rPr>
            </w:pPr>
            <w:r>
              <w:rPr>
                <w:rFonts w:hint="default"/>
                <w:sz w:val="21"/>
                <w:szCs w:val="21"/>
                <w:vertAlign w:val="baseline"/>
                <w:lang w:val="en-US"/>
              </w:rPr>
              <w:t>Planning Phase</w:t>
            </w:r>
          </w:p>
        </w:tc>
        <w:tc>
          <w:tcPr>
            <w:tcW w:w="1017" w:type="dxa"/>
          </w:tcPr>
          <w:p>
            <w:pPr>
              <w:widowControl w:val="0"/>
              <w:spacing w:line="240" w:lineRule="auto"/>
              <w:jc w:val="both"/>
              <w:rPr>
                <w:rFonts w:hint="default"/>
                <w:sz w:val="21"/>
                <w:szCs w:val="21"/>
                <w:vertAlign w:val="baseline"/>
                <w:lang w:val="en-US"/>
              </w:rPr>
            </w:pPr>
            <w:r>
              <w:rPr>
                <w:rFonts w:hint="default"/>
                <w:sz w:val="21"/>
                <w:szCs w:val="21"/>
                <w:vertAlign w:val="baseline"/>
                <w:lang w:val="en-US"/>
              </w:rPr>
              <w:t>29</w:t>
            </w:r>
          </w:p>
        </w:tc>
        <w:tc>
          <w:tcPr>
            <w:tcW w:w="887" w:type="dxa"/>
          </w:tcPr>
          <w:p>
            <w:pPr>
              <w:widowControl w:val="0"/>
              <w:spacing w:line="240" w:lineRule="auto"/>
              <w:jc w:val="both"/>
              <w:rPr>
                <w:rFonts w:hint="default"/>
                <w:sz w:val="21"/>
                <w:szCs w:val="21"/>
                <w:vertAlign w:val="baseline"/>
                <w:lang w:val="en-US"/>
              </w:rPr>
            </w:pPr>
            <w:r>
              <w:rPr>
                <w:rFonts w:hint="default"/>
                <w:sz w:val="21"/>
                <w:szCs w:val="21"/>
                <w:vertAlign w:val="baseline"/>
                <w:lang w:val="en-US"/>
              </w:rPr>
              <w:t>29</w:t>
            </w:r>
          </w:p>
        </w:tc>
        <w:tc>
          <w:tcPr>
            <w:tcW w:w="818" w:type="dxa"/>
          </w:tcPr>
          <w:p>
            <w:pPr>
              <w:widowControl w:val="0"/>
              <w:spacing w:line="240" w:lineRule="auto"/>
              <w:jc w:val="both"/>
              <w:rPr>
                <w:rFonts w:hint="default"/>
                <w:sz w:val="21"/>
                <w:szCs w:val="21"/>
                <w:vertAlign w:val="baseline"/>
                <w:lang w:val="en-US"/>
              </w:rPr>
            </w:pPr>
            <w:r>
              <w:rPr>
                <w:rFonts w:hint="default"/>
                <w:sz w:val="21"/>
                <w:szCs w:val="21"/>
                <w:vertAlign w:val="baseline"/>
                <w:lang w:val="en-US"/>
              </w:rPr>
              <w:t>27</w:t>
            </w:r>
          </w:p>
        </w:tc>
        <w:tc>
          <w:tcPr>
            <w:tcW w:w="1623" w:type="dxa"/>
          </w:tcPr>
          <w:p>
            <w:pPr>
              <w:widowControl w:val="0"/>
              <w:spacing w:line="240" w:lineRule="auto"/>
              <w:jc w:val="both"/>
              <w:rPr>
                <w:rFonts w:hint="default"/>
                <w:sz w:val="21"/>
                <w:szCs w:val="21"/>
                <w:vertAlign w:val="baseline"/>
                <w:lang w:val="en-US"/>
              </w:rPr>
            </w:pPr>
            <w:r>
              <w:rPr>
                <w:rFonts w:hint="default"/>
                <w:sz w:val="21"/>
                <w:szCs w:val="21"/>
                <w:vertAlign w:val="baseline"/>
                <w:lang w:val="en-US"/>
              </w:rPr>
              <w:t>0%</w:t>
            </w:r>
          </w:p>
        </w:tc>
        <w:tc>
          <w:tcPr>
            <w:tcW w:w="1663" w:type="dxa"/>
          </w:tcPr>
          <w:p>
            <w:pPr>
              <w:widowControl w:val="0"/>
              <w:spacing w:line="240" w:lineRule="auto"/>
              <w:jc w:val="both"/>
              <w:rPr>
                <w:rFonts w:hint="default"/>
                <w:sz w:val="21"/>
                <w:szCs w:val="21"/>
                <w:vertAlign w:val="baseline"/>
                <w:lang w:val="en-US"/>
              </w:rPr>
            </w:pPr>
            <w:r>
              <w:rPr>
                <w:rFonts w:hint="default"/>
                <w:sz w:val="21"/>
                <w:szCs w:val="21"/>
                <w:vertAlign w:val="baseline"/>
                <w:lang w:val="en-US"/>
              </w:rPr>
              <w:t>-6.89%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839" w:type="dxa"/>
            <w:vAlign w:val="top"/>
          </w:tcPr>
          <w:p>
            <w:pPr>
              <w:widowControl w:val="0"/>
              <w:spacing w:line="240" w:lineRule="auto"/>
              <w:jc w:val="both"/>
              <w:rPr>
                <w:rFonts w:hint="default"/>
                <w:sz w:val="21"/>
                <w:szCs w:val="21"/>
                <w:vertAlign w:val="baseline"/>
                <w:lang w:val="en-US"/>
              </w:rPr>
            </w:pPr>
            <w:r>
              <w:rPr>
                <w:rFonts w:hint="default"/>
                <w:sz w:val="21"/>
                <w:szCs w:val="21"/>
                <w:vertAlign w:val="baseline"/>
                <w:lang w:val="en-US"/>
              </w:rPr>
              <w:t>3rd</w:t>
            </w:r>
          </w:p>
        </w:tc>
        <w:tc>
          <w:tcPr>
            <w:tcW w:w="1420" w:type="dxa"/>
            <w:vAlign w:val="top"/>
          </w:tcPr>
          <w:p>
            <w:pPr>
              <w:widowControl w:val="0"/>
              <w:spacing w:line="240" w:lineRule="auto"/>
              <w:jc w:val="both"/>
              <w:rPr>
                <w:sz w:val="21"/>
                <w:szCs w:val="21"/>
                <w:vertAlign w:val="baseline"/>
              </w:rPr>
            </w:pPr>
            <w:r>
              <w:rPr>
                <w:rFonts w:hint="default"/>
                <w:sz w:val="21"/>
                <w:szCs w:val="21"/>
                <w:vertAlign w:val="baseline"/>
                <w:lang w:val="en-US"/>
              </w:rPr>
              <w:t>02-08-22 to 09-08-22</w:t>
            </w:r>
          </w:p>
        </w:tc>
        <w:tc>
          <w:tcPr>
            <w:tcW w:w="1669" w:type="dxa"/>
            <w:vAlign w:val="top"/>
          </w:tcPr>
          <w:p>
            <w:pPr>
              <w:widowControl w:val="0"/>
              <w:spacing w:line="240" w:lineRule="auto"/>
              <w:jc w:val="both"/>
              <w:rPr>
                <w:rFonts w:hint="default"/>
                <w:sz w:val="21"/>
                <w:szCs w:val="21"/>
                <w:vertAlign w:val="baseline"/>
                <w:lang w:val="en-US"/>
              </w:rPr>
            </w:pPr>
            <w:r>
              <w:rPr>
                <w:rFonts w:hint="default"/>
                <w:sz w:val="21"/>
                <w:szCs w:val="21"/>
                <w:vertAlign w:val="baseline"/>
                <w:lang w:val="en-US"/>
              </w:rPr>
              <w:t>Design and Implementation</w:t>
            </w:r>
          </w:p>
        </w:tc>
        <w:tc>
          <w:tcPr>
            <w:tcW w:w="1017" w:type="dxa"/>
            <w:vAlign w:val="top"/>
          </w:tcPr>
          <w:p>
            <w:pPr>
              <w:widowControl w:val="0"/>
              <w:spacing w:line="240" w:lineRule="auto"/>
              <w:jc w:val="both"/>
              <w:rPr>
                <w:rFonts w:hint="default"/>
                <w:sz w:val="21"/>
                <w:szCs w:val="21"/>
                <w:vertAlign w:val="baseline"/>
                <w:lang w:val="en-US"/>
              </w:rPr>
            </w:pPr>
            <w:r>
              <w:rPr>
                <w:rFonts w:hint="default"/>
                <w:sz w:val="21"/>
                <w:szCs w:val="21"/>
                <w:vertAlign w:val="baseline"/>
                <w:lang w:val="en-US"/>
              </w:rPr>
              <w:t>72</w:t>
            </w:r>
          </w:p>
        </w:tc>
        <w:tc>
          <w:tcPr>
            <w:tcW w:w="887" w:type="dxa"/>
            <w:vAlign w:val="top"/>
          </w:tcPr>
          <w:p>
            <w:pPr>
              <w:widowControl w:val="0"/>
              <w:spacing w:line="240" w:lineRule="auto"/>
              <w:jc w:val="both"/>
              <w:rPr>
                <w:rFonts w:hint="default"/>
                <w:sz w:val="21"/>
                <w:szCs w:val="21"/>
                <w:vertAlign w:val="baseline"/>
                <w:lang w:val="en-US"/>
              </w:rPr>
            </w:pPr>
            <w:r>
              <w:rPr>
                <w:rFonts w:hint="default"/>
                <w:sz w:val="21"/>
                <w:szCs w:val="21"/>
                <w:vertAlign w:val="baseline"/>
                <w:lang w:val="en-US"/>
              </w:rPr>
              <w:t>74</w:t>
            </w:r>
          </w:p>
        </w:tc>
        <w:tc>
          <w:tcPr>
            <w:tcW w:w="818" w:type="dxa"/>
            <w:vAlign w:val="top"/>
          </w:tcPr>
          <w:p>
            <w:pPr>
              <w:widowControl w:val="0"/>
              <w:spacing w:line="240" w:lineRule="auto"/>
              <w:jc w:val="both"/>
              <w:rPr>
                <w:rFonts w:hint="default"/>
                <w:sz w:val="21"/>
                <w:szCs w:val="21"/>
                <w:vertAlign w:val="baseline"/>
                <w:lang w:val="en-US"/>
              </w:rPr>
            </w:pPr>
            <w:r>
              <w:rPr>
                <w:rFonts w:hint="default"/>
                <w:sz w:val="21"/>
                <w:szCs w:val="21"/>
                <w:vertAlign w:val="baseline"/>
                <w:lang w:val="en-US"/>
              </w:rPr>
              <w:t>72</w:t>
            </w:r>
          </w:p>
        </w:tc>
        <w:tc>
          <w:tcPr>
            <w:tcW w:w="1623" w:type="dxa"/>
            <w:vAlign w:val="top"/>
          </w:tcPr>
          <w:p>
            <w:pPr>
              <w:widowControl w:val="0"/>
              <w:spacing w:line="240" w:lineRule="auto"/>
              <w:jc w:val="both"/>
              <w:rPr>
                <w:rFonts w:hint="default"/>
                <w:sz w:val="21"/>
                <w:szCs w:val="21"/>
                <w:vertAlign w:val="baseline"/>
                <w:lang w:val="en-US"/>
              </w:rPr>
            </w:pPr>
            <w:r>
              <w:rPr>
                <w:rFonts w:hint="default"/>
                <w:sz w:val="21"/>
                <w:szCs w:val="21"/>
                <w:vertAlign w:val="baseline"/>
                <w:lang w:val="en-US"/>
              </w:rPr>
              <w:t>2.77%</w:t>
            </w:r>
          </w:p>
        </w:tc>
        <w:tc>
          <w:tcPr>
            <w:tcW w:w="1663" w:type="dxa"/>
            <w:vAlign w:val="top"/>
          </w:tcPr>
          <w:p>
            <w:pPr>
              <w:widowControl w:val="0"/>
              <w:spacing w:line="240" w:lineRule="auto"/>
              <w:jc w:val="both"/>
              <w:rPr>
                <w:rFonts w:hint="default"/>
                <w:sz w:val="21"/>
                <w:szCs w:val="21"/>
                <w:vertAlign w:val="baseline"/>
                <w:lang w:val="en-US"/>
              </w:rPr>
            </w:pPr>
            <w:r>
              <w:rPr>
                <w:rFonts w:hint="default"/>
                <w:sz w:val="21"/>
                <w:szCs w:val="21"/>
                <w:vertAlign w:val="baseline"/>
                <w:lang w:val="en-US"/>
              </w:rP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9" w:type="dxa"/>
            <w:vAlign w:val="top"/>
          </w:tcPr>
          <w:p>
            <w:pPr>
              <w:widowControl w:val="0"/>
              <w:spacing w:line="240" w:lineRule="auto"/>
              <w:jc w:val="both"/>
              <w:rPr>
                <w:rFonts w:hint="default"/>
                <w:sz w:val="21"/>
                <w:szCs w:val="21"/>
                <w:vertAlign w:val="baseline"/>
                <w:lang w:val="en-US"/>
              </w:rPr>
            </w:pPr>
            <w:r>
              <w:rPr>
                <w:rFonts w:hint="default"/>
                <w:sz w:val="21"/>
                <w:szCs w:val="21"/>
                <w:vertAlign w:val="baseline"/>
                <w:lang w:val="en-US"/>
              </w:rPr>
              <w:t>4th</w:t>
            </w:r>
          </w:p>
        </w:tc>
        <w:tc>
          <w:tcPr>
            <w:tcW w:w="1420" w:type="dxa"/>
            <w:vAlign w:val="top"/>
          </w:tcPr>
          <w:p>
            <w:pPr>
              <w:widowControl w:val="0"/>
              <w:spacing w:line="240" w:lineRule="auto"/>
              <w:jc w:val="both"/>
              <w:rPr>
                <w:rFonts w:hint="default"/>
                <w:sz w:val="21"/>
                <w:szCs w:val="21"/>
                <w:vertAlign w:val="baseline"/>
                <w:lang w:val="en-US"/>
              </w:rPr>
            </w:pPr>
            <w:r>
              <w:rPr>
                <w:rFonts w:hint="default"/>
                <w:sz w:val="21"/>
                <w:szCs w:val="21"/>
                <w:vertAlign w:val="baseline"/>
                <w:lang w:val="en-US"/>
              </w:rPr>
              <w:t>09-08-22 to 16-08-22</w:t>
            </w:r>
          </w:p>
        </w:tc>
        <w:tc>
          <w:tcPr>
            <w:tcW w:w="1669" w:type="dxa"/>
            <w:vAlign w:val="top"/>
          </w:tcPr>
          <w:p>
            <w:pPr>
              <w:widowControl w:val="0"/>
              <w:spacing w:line="240" w:lineRule="auto"/>
              <w:jc w:val="both"/>
              <w:rPr>
                <w:rFonts w:hint="default"/>
                <w:sz w:val="21"/>
                <w:szCs w:val="21"/>
                <w:vertAlign w:val="baseline"/>
                <w:lang w:val="en-US"/>
              </w:rPr>
            </w:pPr>
            <w:r>
              <w:rPr>
                <w:rFonts w:hint="default"/>
                <w:sz w:val="21"/>
                <w:szCs w:val="21"/>
                <w:vertAlign w:val="baseline"/>
                <w:lang w:val="en-US"/>
              </w:rPr>
              <w:t>Testing and integration</w:t>
            </w:r>
          </w:p>
        </w:tc>
        <w:tc>
          <w:tcPr>
            <w:tcW w:w="1017" w:type="dxa"/>
            <w:vAlign w:val="top"/>
          </w:tcPr>
          <w:p>
            <w:pPr>
              <w:widowControl w:val="0"/>
              <w:spacing w:line="240" w:lineRule="auto"/>
              <w:jc w:val="both"/>
              <w:rPr>
                <w:rFonts w:hint="default"/>
                <w:sz w:val="21"/>
                <w:szCs w:val="21"/>
                <w:vertAlign w:val="baseline"/>
                <w:lang w:val="en-US"/>
              </w:rPr>
            </w:pPr>
            <w:r>
              <w:rPr>
                <w:rFonts w:hint="default"/>
                <w:sz w:val="21"/>
                <w:szCs w:val="21"/>
                <w:vertAlign w:val="baseline"/>
                <w:lang w:val="en-US"/>
              </w:rPr>
              <w:t>76</w:t>
            </w:r>
          </w:p>
        </w:tc>
        <w:tc>
          <w:tcPr>
            <w:tcW w:w="887" w:type="dxa"/>
            <w:vAlign w:val="top"/>
          </w:tcPr>
          <w:p>
            <w:pPr>
              <w:widowControl w:val="0"/>
              <w:spacing w:line="240" w:lineRule="auto"/>
              <w:jc w:val="both"/>
              <w:rPr>
                <w:rFonts w:hint="default"/>
                <w:sz w:val="21"/>
                <w:szCs w:val="21"/>
                <w:vertAlign w:val="baseline"/>
                <w:lang w:val="en-US"/>
              </w:rPr>
            </w:pPr>
            <w:r>
              <w:rPr>
                <w:rFonts w:hint="default"/>
                <w:sz w:val="21"/>
                <w:szCs w:val="21"/>
                <w:vertAlign w:val="baseline"/>
                <w:lang w:val="en-US"/>
              </w:rPr>
              <w:t>76</w:t>
            </w:r>
          </w:p>
        </w:tc>
        <w:tc>
          <w:tcPr>
            <w:tcW w:w="818" w:type="dxa"/>
            <w:vAlign w:val="top"/>
          </w:tcPr>
          <w:p>
            <w:pPr>
              <w:widowControl w:val="0"/>
              <w:spacing w:line="240" w:lineRule="auto"/>
              <w:jc w:val="both"/>
              <w:rPr>
                <w:rFonts w:hint="default"/>
                <w:sz w:val="21"/>
                <w:szCs w:val="21"/>
                <w:vertAlign w:val="baseline"/>
                <w:lang w:val="en-US"/>
              </w:rPr>
            </w:pPr>
            <w:r>
              <w:rPr>
                <w:rFonts w:hint="default"/>
                <w:sz w:val="21"/>
                <w:szCs w:val="21"/>
                <w:vertAlign w:val="baseline"/>
                <w:lang w:val="en-US"/>
              </w:rPr>
              <w:t>73</w:t>
            </w:r>
          </w:p>
        </w:tc>
        <w:tc>
          <w:tcPr>
            <w:tcW w:w="1623" w:type="dxa"/>
            <w:vAlign w:val="top"/>
          </w:tcPr>
          <w:p>
            <w:pPr>
              <w:widowControl w:val="0"/>
              <w:spacing w:line="240" w:lineRule="auto"/>
              <w:jc w:val="both"/>
              <w:rPr>
                <w:rFonts w:hint="default"/>
                <w:sz w:val="21"/>
                <w:szCs w:val="21"/>
                <w:vertAlign w:val="baseline"/>
                <w:lang w:val="en-US"/>
              </w:rPr>
            </w:pPr>
            <w:r>
              <w:rPr>
                <w:rFonts w:hint="default"/>
                <w:sz w:val="21"/>
                <w:szCs w:val="21"/>
                <w:vertAlign w:val="baseline"/>
                <w:lang w:val="en-US"/>
              </w:rPr>
              <w:t>0%</w:t>
            </w:r>
          </w:p>
        </w:tc>
        <w:tc>
          <w:tcPr>
            <w:tcW w:w="1663" w:type="dxa"/>
            <w:vAlign w:val="top"/>
          </w:tcPr>
          <w:p>
            <w:pPr>
              <w:widowControl w:val="0"/>
              <w:spacing w:line="240" w:lineRule="auto"/>
              <w:jc w:val="both"/>
              <w:rPr>
                <w:rFonts w:hint="default"/>
                <w:sz w:val="21"/>
                <w:szCs w:val="21"/>
                <w:vertAlign w:val="baseline"/>
                <w:lang w:val="en-US"/>
              </w:rPr>
            </w:pPr>
            <w:r>
              <w:rPr>
                <w:rFonts w:hint="default"/>
                <w:sz w:val="21"/>
                <w:szCs w:val="21"/>
                <w:vertAlign w:val="baseline"/>
                <w:lang w:val="en-US"/>
              </w:rPr>
              <w:t>-3.94%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trPr>
        <w:tc>
          <w:tcPr>
            <w:tcW w:w="839" w:type="dxa"/>
            <w:vAlign w:val="top"/>
          </w:tcPr>
          <w:p>
            <w:pPr>
              <w:widowControl w:val="0"/>
              <w:spacing w:line="240" w:lineRule="auto"/>
              <w:jc w:val="both"/>
              <w:rPr>
                <w:rFonts w:hint="default"/>
                <w:sz w:val="21"/>
                <w:szCs w:val="21"/>
                <w:vertAlign w:val="baseline"/>
                <w:lang w:val="en-US"/>
              </w:rPr>
            </w:pPr>
            <w:r>
              <w:rPr>
                <w:rFonts w:hint="default"/>
                <w:sz w:val="21"/>
                <w:szCs w:val="21"/>
                <w:vertAlign w:val="baseline"/>
                <w:lang w:val="en-US"/>
              </w:rPr>
              <w:t>5th</w:t>
            </w:r>
          </w:p>
        </w:tc>
        <w:tc>
          <w:tcPr>
            <w:tcW w:w="1420" w:type="dxa"/>
            <w:vAlign w:val="top"/>
          </w:tcPr>
          <w:p>
            <w:pPr>
              <w:widowControl w:val="0"/>
              <w:spacing w:line="240" w:lineRule="auto"/>
              <w:jc w:val="both"/>
              <w:rPr>
                <w:rFonts w:hint="default"/>
                <w:sz w:val="21"/>
                <w:szCs w:val="21"/>
                <w:vertAlign w:val="baseline"/>
                <w:lang w:val="en-US"/>
              </w:rPr>
            </w:pPr>
            <w:r>
              <w:rPr>
                <w:rFonts w:hint="default"/>
                <w:sz w:val="21"/>
                <w:szCs w:val="21"/>
                <w:vertAlign w:val="baseline"/>
                <w:lang w:val="en-US"/>
              </w:rPr>
              <w:t>16-08-22 to 23-08-22</w:t>
            </w:r>
          </w:p>
        </w:tc>
        <w:tc>
          <w:tcPr>
            <w:tcW w:w="1669" w:type="dxa"/>
            <w:vAlign w:val="top"/>
          </w:tcPr>
          <w:p>
            <w:pPr>
              <w:widowControl w:val="0"/>
              <w:spacing w:line="240" w:lineRule="auto"/>
              <w:jc w:val="both"/>
              <w:rPr>
                <w:sz w:val="21"/>
                <w:szCs w:val="21"/>
                <w:vertAlign w:val="baseline"/>
              </w:rPr>
            </w:pPr>
            <w:r>
              <w:rPr>
                <w:rFonts w:hint="default"/>
                <w:sz w:val="21"/>
                <w:szCs w:val="21"/>
                <w:vertAlign w:val="baseline"/>
                <w:lang w:val="en-US"/>
              </w:rPr>
              <w:t>Testing and integration</w:t>
            </w:r>
          </w:p>
        </w:tc>
        <w:tc>
          <w:tcPr>
            <w:tcW w:w="1017" w:type="dxa"/>
            <w:vAlign w:val="top"/>
          </w:tcPr>
          <w:p>
            <w:pPr>
              <w:widowControl w:val="0"/>
              <w:spacing w:line="240" w:lineRule="auto"/>
              <w:jc w:val="both"/>
              <w:rPr>
                <w:rFonts w:hint="default"/>
                <w:sz w:val="21"/>
                <w:szCs w:val="21"/>
                <w:vertAlign w:val="baseline"/>
                <w:lang w:val="en-US"/>
              </w:rPr>
            </w:pPr>
            <w:r>
              <w:rPr>
                <w:rFonts w:hint="default"/>
                <w:sz w:val="21"/>
                <w:szCs w:val="21"/>
                <w:vertAlign w:val="baseline"/>
                <w:lang w:val="en-US"/>
              </w:rPr>
              <w:t>112</w:t>
            </w:r>
          </w:p>
        </w:tc>
        <w:tc>
          <w:tcPr>
            <w:tcW w:w="887" w:type="dxa"/>
            <w:vAlign w:val="top"/>
          </w:tcPr>
          <w:p>
            <w:pPr>
              <w:widowControl w:val="0"/>
              <w:spacing w:line="240" w:lineRule="auto"/>
              <w:jc w:val="both"/>
              <w:rPr>
                <w:rFonts w:hint="default"/>
                <w:sz w:val="21"/>
                <w:szCs w:val="21"/>
                <w:vertAlign w:val="baseline"/>
                <w:lang w:val="en-US"/>
              </w:rPr>
            </w:pPr>
            <w:r>
              <w:rPr>
                <w:rFonts w:hint="default"/>
                <w:sz w:val="21"/>
                <w:szCs w:val="21"/>
                <w:vertAlign w:val="baseline"/>
                <w:lang w:val="en-US"/>
              </w:rPr>
              <w:t>102</w:t>
            </w:r>
          </w:p>
        </w:tc>
        <w:tc>
          <w:tcPr>
            <w:tcW w:w="818" w:type="dxa"/>
            <w:vAlign w:val="top"/>
          </w:tcPr>
          <w:p>
            <w:pPr>
              <w:widowControl w:val="0"/>
              <w:spacing w:line="240" w:lineRule="auto"/>
              <w:jc w:val="both"/>
              <w:rPr>
                <w:rFonts w:hint="default"/>
                <w:sz w:val="21"/>
                <w:szCs w:val="21"/>
                <w:vertAlign w:val="baseline"/>
                <w:lang w:val="en-US"/>
              </w:rPr>
            </w:pPr>
            <w:r>
              <w:rPr>
                <w:rFonts w:hint="default"/>
                <w:sz w:val="21"/>
                <w:szCs w:val="21"/>
                <w:vertAlign w:val="baseline"/>
                <w:lang w:val="en-US"/>
              </w:rPr>
              <w:t>100</w:t>
            </w:r>
          </w:p>
        </w:tc>
        <w:tc>
          <w:tcPr>
            <w:tcW w:w="1623" w:type="dxa"/>
            <w:vAlign w:val="top"/>
          </w:tcPr>
          <w:p>
            <w:pPr>
              <w:widowControl w:val="0"/>
              <w:spacing w:line="240" w:lineRule="auto"/>
              <w:jc w:val="both"/>
              <w:rPr>
                <w:rFonts w:hint="default"/>
                <w:sz w:val="21"/>
                <w:szCs w:val="21"/>
                <w:vertAlign w:val="baseline"/>
                <w:lang w:val="en-US"/>
              </w:rPr>
            </w:pPr>
            <w:r>
              <w:rPr>
                <w:rFonts w:hint="default"/>
                <w:sz w:val="21"/>
                <w:szCs w:val="21"/>
                <w:vertAlign w:val="baseline"/>
                <w:lang w:val="en-US"/>
              </w:rPr>
              <w:t>-8.9%</w:t>
            </w:r>
          </w:p>
        </w:tc>
        <w:tc>
          <w:tcPr>
            <w:tcW w:w="1663" w:type="dxa"/>
            <w:vAlign w:val="top"/>
          </w:tcPr>
          <w:p>
            <w:pPr>
              <w:widowControl w:val="0"/>
              <w:spacing w:line="240" w:lineRule="auto"/>
              <w:jc w:val="both"/>
              <w:rPr>
                <w:rFonts w:hint="default"/>
                <w:sz w:val="21"/>
                <w:szCs w:val="21"/>
                <w:vertAlign w:val="baseline"/>
                <w:lang w:val="en-US"/>
              </w:rPr>
            </w:pPr>
            <w:r>
              <w:rPr>
                <w:rFonts w:hint="default"/>
                <w:sz w:val="21"/>
                <w:szCs w:val="21"/>
                <w:vertAlign w:val="baseline"/>
                <w:lang w:val="en-US"/>
              </w:rPr>
              <w:t>-1.96%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839" w:type="dxa"/>
            <w:vAlign w:val="top"/>
          </w:tcPr>
          <w:p>
            <w:pPr>
              <w:widowControl w:val="0"/>
              <w:spacing w:line="240" w:lineRule="auto"/>
              <w:jc w:val="both"/>
              <w:rPr>
                <w:rFonts w:hint="default"/>
                <w:sz w:val="21"/>
                <w:szCs w:val="21"/>
                <w:vertAlign w:val="baseline"/>
                <w:lang w:val="en-US"/>
              </w:rPr>
            </w:pPr>
            <w:r>
              <w:rPr>
                <w:rFonts w:hint="default"/>
                <w:sz w:val="21"/>
                <w:szCs w:val="21"/>
                <w:vertAlign w:val="baseline"/>
                <w:lang w:val="en-US"/>
              </w:rPr>
              <w:t>6th</w:t>
            </w:r>
          </w:p>
        </w:tc>
        <w:tc>
          <w:tcPr>
            <w:tcW w:w="1420" w:type="dxa"/>
            <w:vAlign w:val="top"/>
          </w:tcPr>
          <w:p>
            <w:pPr>
              <w:widowControl w:val="0"/>
              <w:spacing w:line="240" w:lineRule="auto"/>
              <w:jc w:val="both"/>
              <w:rPr>
                <w:rFonts w:hint="default"/>
                <w:sz w:val="21"/>
                <w:szCs w:val="21"/>
                <w:vertAlign w:val="baseline"/>
                <w:lang w:val="en-US"/>
              </w:rPr>
            </w:pPr>
            <w:r>
              <w:rPr>
                <w:rFonts w:hint="default"/>
                <w:sz w:val="21"/>
                <w:szCs w:val="21"/>
                <w:vertAlign w:val="baseline"/>
                <w:lang w:val="en-US"/>
              </w:rPr>
              <w:t>23-08-22 to 30-08-22</w:t>
            </w:r>
          </w:p>
        </w:tc>
        <w:tc>
          <w:tcPr>
            <w:tcW w:w="1669" w:type="dxa"/>
            <w:vAlign w:val="top"/>
          </w:tcPr>
          <w:p>
            <w:pPr>
              <w:widowControl w:val="0"/>
              <w:spacing w:line="240" w:lineRule="auto"/>
              <w:jc w:val="both"/>
              <w:rPr>
                <w:rFonts w:hint="default"/>
                <w:sz w:val="21"/>
                <w:szCs w:val="21"/>
                <w:vertAlign w:val="baseline"/>
                <w:lang w:val="en-US"/>
              </w:rPr>
            </w:pPr>
            <w:r>
              <w:rPr>
                <w:rFonts w:hint="default"/>
                <w:sz w:val="21"/>
                <w:szCs w:val="21"/>
                <w:vertAlign w:val="baseline"/>
                <w:lang w:val="en-US"/>
              </w:rPr>
              <w:t>Validation Phase , Closure</w:t>
            </w:r>
          </w:p>
        </w:tc>
        <w:tc>
          <w:tcPr>
            <w:tcW w:w="1017" w:type="dxa"/>
            <w:vAlign w:val="top"/>
          </w:tcPr>
          <w:p>
            <w:pPr>
              <w:widowControl w:val="0"/>
              <w:spacing w:line="240" w:lineRule="auto"/>
              <w:jc w:val="both"/>
              <w:rPr>
                <w:rFonts w:hint="default"/>
                <w:sz w:val="21"/>
                <w:szCs w:val="21"/>
                <w:vertAlign w:val="baseline"/>
                <w:lang w:val="en-US"/>
              </w:rPr>
            </w:pPr>
            <w:r>
              <w:rPr>
                <w:rFonts w:hint="default"/>
                <w:sz w:val="21"/>
                <w:szCs w:val="21"/>
                <w:vertAlign w:val="baseline"/>
                <w:lang w:val="en-US"/>
              </w:rPr>
              <w:t>156</w:t>
            </w:r>
          </w:p>
        </w:tc>
        <w:tc>
          <w:tcPr>
            <w:tcW w:w="887" w:type="dxa"/>
            <w:vAlign w:val="top"/>
          </w:tcPr>
          <w:p>
            <w:pPr>
              <w:widowControl w:val="0"/>
              <w:spacing w:line="240" w:lineRule="auto"/>
              <w:jc w:val="both"/>
              <w:rPr>
                <w:rFonts w:hint="default"/>
                <w:sz w:val="21"/>
                <w:szCs w:val="21"/>
                <w:vertAlign w:val="baseline"/>
                <w:lang w:val="en-US"/>
              </w:rPr>
            </w:pPr>
            <w:r>
              <w:rPr>
                <w:rFonts w:hint="default"/>
                <w:sz w:val="21"/>
                <w:szCs w:val="21"/>
                <w:vertAlign w:val="baseline"/>
                <w:lang w:val="en-US"/>
              </w:rPr>
              <w:t>142</w:t>
            </w:r>
          </w:p>
        </w:tc>
        <w:tc>
          <w:tcPr>
            <w:tcW w:w="818" w:type="dxa"/>
            <w:vAlign w:val="top"/>
          </w:tcPr>
          <w:p>
            <w:pPr>
              <w:widowControl w:val="0"/>
              <w:spacing w:line="240" w:lineRule="auto"/>
              <w:jc w:val="both"/>
              <w:rPr>
                <w:rFonts w:hint="default"/>
                <w:sz w:val="21"/>
                <w:szCs w:val="21"/>
                <w:vertAlign w:val="baseline"/>
                <w:lang w:val="en-US"/>
              </w:rPr>
            </w:pPr>
            <w:r>
              <w:rPr>
                <w:rFonts w:hint="default"/>
                <w:sz w:val="21"/>
                <w:szCs w:val="21"/>
                <w:vertAlign w:val="baseline"/>
                <w:lang w:val="en-US"/>
              </w:rPr>
              <w:t>153</w:t>
            </w:r>
          </w:p>
        </w:tc>
        <w:tc>
          <w:tcPr>
            <w:tcW w:w="1623" w:type="dxa"/>
            <w:vAlign w:val="top"/>
          </w:tcPr>
          <w:p>
            <w:pPr>
              <w:widowControl w:val="0"/>
              <w:spacing w:line="240" w:lineRule="auto"/>
              <w:jc w:val="both"/>
              <w:rPr>
                <w:rFonts w:hint="default"/>
                <w:sz w:val="21"/>
                <w:szCs w:val="21"/>
                <w:vertAlign w:val="baseline"/>
                <w:lang w:val="en-US"/>
              </w:rPr>
            </w:pPr>
            <w:r>
              <w:rPr>
                <w:rFonts w:hint="default"/>
                <w:sz w:val="21"/>
                <w:szCs w:val="21"/>
                <w:vertAlign w:val="baseline"/>
                <w:lang w:val="en-US"/>
              </w:rPr>
              <w:t>-8.97%</w:t>
            </w:r>
          </w:p>
        </w:tc>
        <w:tc>
          <w:tcPr>
            <w:tcW w:w="1663" w:type="dxa"/>
            <w:vAlign w:val="top"/>
          </w:tcPr>
          <w:p>
            <w:pPr>
              <w:widowControl w:val="0"/>
              <w:spacing w:line="240" w:lineRule="auto"/>
              <w:jc w:val="both"/>
              <w:rPr>
                <w:rFonts w:hint="default"/>
                <w:sz w:val="21"/>
                <w:szCs w:val="21"/>
                <w:vertAlign w:val="baseline"/>
                <w:lang w:val="en-US"/>
              </w:rPr>
            </w:pPr>
            <w:r>
              <w:rPr>
                <w:rFonts w:hint="default"/>
                <w:sz w:val="21"/>
                <w:szCs w:val="21"/>
                <w:vertAlign w:val="baseline"/>
                <w:lang w:val="en-US"/>
              </w:rPr>
              <w:t>7.74%</w:t>
            </w:r>
          </w:p>
        </w:tc>
      </w:tr>
    </w:tbl>
    <w:p/>
    <w:p>
      <w:pPr>
        <w:rPr>
          <w:rFonts w:hint="default"/>
          <w:lang w:val="en-US"/>
        </w:rPr>
      </w:pPr>
      <w:r>
        <w:rPr>
          <w:rFonts w:hint="default"/>
          <w:b/>
          <w:bCs/>
          <w:sz w:val="28"/>
          <w:szCs w:val="28"/>
          <w:lang w:val="en-US"/>
        </w:rPr>
        <w:t>Schedule and Effort Variance analysis at Weekly time slot with phase wise</w:t>
      </w:r>
    </w:p>
    <w:tbl>
      <w:tblPr>
        <w:tblStyle w:val="22"/>
        <w:tblW w:w="98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9"/>
        <w:gridCol w:w="1416"/>
        <w:gridCol w:w="1742"/>
        <w:gridCol w:w="958"/>
        <w:gridCol w:w="877"/>
        <w:gridCol w:w="819"/>
        <w:gridCol w:w="1615"/>
        <w:gridCol w:w="1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9" w:type="dxa"/>
          </w:tcPr>
          <w:p>
            <w:pPr>
              <w:widowControl w:val="0"/>
              <w:jc w:val="both"/>
              <w:rPr>
                <w:rFonts w:hint="default"/>
                <w:vertAlign w:val="baseline"/>
                <w:lang w:val="en-US"/>
              </w:rPr>
            </w:pPr>
            <w:r>
              <w:rPr>
                <w:rFonts w:hint="default"/>
                <w:vertAlign w:val="baseline"/>
                <w:lang w:val="en-US"/>
              </w:rPr>
              <w:t>Weeks</w:t>
            </w:r>
          </w:p>
        </w:tc>
        <w:tc>
          <w:tcPr>
            <w:tcW w:w="1416" w:type="dxa"/>
          </w:tcPr>
          <w:p>
            <w:pPr>
              <w:widowControl w:val="0"/>
              <w:jc w:val="both"/>
              <w:rPr>
                <w:rFonts w:hint="default"/>
                <w:vertAlign w:val="baseline"/>
                <w:lang w:val="en-US"/>
              </w:rPr>
            </w:pPr>
            <w:r>
              <w:rPr>
                <w:rFonts w:hint="default"/>
                <w:vertAlign w:val="baseline"/>
                <w:lang w:val="en-US"/>
              </w:rPr>
              <w:t>No of Week</w:t>
            </w:r>
          </w:p>
        </w:tc>
        <w:tc>
          <w:tcPr>
            <w:tcW w:w="1742" w:type="dxa"/>
          </w:tcPr>
          <w:p>
            <w:pPr>
              <w:widowControl w:val="0"/>
              <w:jc w:val="both"/>
              <w:rPr>
                <w:rFonts w:hint="default"/>
                <w:vertAlign w:val="baseline"/>
                <w:lang w:val="en-US"/>
              </w:rPr>
            </w:pPr>
            <w:r>
              <w:rPr>
                <w:rFonts w:hint="default"/>
                <w:vertAlign w:val="baseline"/>
                <w:lang w:val="en-US"/>
              </w:rPr>
              <w:t xml:space="preserve">Name of Phase </w:t>
            </w:r>
          </w:p>
        </w:tc>
        <w:tc>
          <w:tcPr>
            <w:tcW w:w="958" w:type="dxa"/>
          </w:tcPr>
          <w:p>
            <w:pPr>
              <w:widowControl w:val="0"/>
              <w:jc w:val="both"/>
              <w:rPr>
                <w:rFonts w:hint="default"/>
                <w:vertAlign w:val="baseline"/>
                <w:lang w:val="en-US"/>
              </w:rPr>
            </w:pPr>
            <w:r>
              <w:rPr>
                <w:rFonts w:hint="default"/>
                <w:vertAlign w:val="baseline"/>
                <w:lang w:val="en-US"/>
              </w:rPr>
              <w:t>Planned Value</w:t>
            </w:r>
          </w:p>
        </w:tc>
        <w:tc>
          <w:tcPr>
            <w:tcW w:w="877" w:type="dxa"/>
          </w:tcPr>
          <w:p>
            <w:pPr>
              <w:widowControl w:val="0"/>
              <w:jc w:val="both"/>
              <w:rPr>
                <w:rFonts w:hint="default"/>
                <w:vertAlign w:val="baseline"/>
                <w:lang w:val="en-US"/>
              </w:rPr>
            </w:pPr>
            <w:r>
              <w:rPr>
                <w:rFonts w:hint="default"/>
                <w:vertAlign w:val="baseline"/>
                <w:lang w:val="en-US"/>
              </w:rPr>
              <w:t>Earned Value</w:t>
            </w:r>
          </w:p>
        </w:tc>
        <w:tc>
          <w:tcPr>
            <w:tcW w:w="819" w:type="dxa"/>
          </w:tcPr>
          <w:p>
            <w:pPr>
              <w:widowControl w:val="0"/>
              <w:jc w:val="both"/>
              <w:rPr>
                <w:rFonts w:hint="default"/>
                <w:vertAlign w:val="baseline"/>
                <w:lang w:val="en-US"/>
              </w:rPr>
            </w:pPr>
            <w:r>
              <w:rPr>
                <w:rFonts w:hint="default"/>
                <w:vertAlign w:val="baseline"/>
                <w:lang w:val="en-US"/>
              </w:rPr>
              <w:t>Actual Cost</w:t>
            </w:r>
          </w:p>
        </w:tc>
        <w:tc>
          <w:tcPr>
            <w:tcW w:w="1615" w:type="dxa"/>
            <w:vAlign w:val="top"/>
          </w:tcPr>
          <w:p>
            <w:pPr>
              <w:widowControl w:val="0"/>
              <w:jc w:val="both"/>
              <w:rPr>
                <w:rFonts w:hint="default"/>
                <w:sz w:val="21"/>
                <w:szCs w:val="21"/>
                <w:vertAlign w:val="baseline"/>
                <w:lang w:val="en-US"/>
              </w:rPr>
            </w:pPr>
            <w:r>
              <w:rPr>
                <w:rFonts w:hint="default"/>
                <w:sz w:val="21"/>
                <w:szCs w:val="21"/>
                <w:vertAlign w:val="baseline"/>
                <w:lang w:val="en-US"/>
              </w:rPr>
              <w:t>Schedule variance</w:t>
            </w:r>
          </w:p>
          <w:p>
            <w:pPr>
              <w:widowControl w:val="0"/>
              <w:jc w:val="both"/>
              <w:rPr>
                <w:rFonts w:hint="default"/>
                <w:vertAlign w:val="baseline"/>
                <w:lang w:val="en-US"/>
              </w:rPr>
            </w:pPr>
            <w:r>
              <w:rPr>
                <w:rFonts w:hint="default"/>
                <w:sz w:val="21"/>
                <w:szCs w:val="21"/>
                <w:vertAlign w:val="baseline"/>
                <w:lang w:val="en-US"/>
              </w:rPr>
              <w:t>(EV-PV/PV)*100</w:t>
            </w:r>
          </w:p>
        </w:tc>
        <w:tc>
          <w:tcPr>
            <w:tcW w:w="1628" w:type="dxa"/>
            <w:vAlign w:val="top"/>
          </w:tcPr>
          <w:p>
            <w:pPr>
              <w:widowControl w:val="0"/>
              <w:jc w:val="both"/>
              <w:rPr>
                <w:rFonts w:hint="default"/>
                <w:sz w:val="21"/>
                <w:szCs w:val="21"/>
                <w:vertAlign w:val="baseline"/>
                <w:lang w:val="en-US"/>
              </w:rPr>
            </w:pPr>
            <w:r>
              <w:rPr>
                <w:rFonts w:hint="default"/>
                <w:sz w:val="21"/>
                <w:szCs w:val="21"/>
                <w:vertAlign w:val="baseline"/>
                <w:lang w:val="en-US"/>
              </w:rPr>
              <w:t>Cost Variance</w:t>
            </w:r>
          </w:p>
          <w:p>
            <w:pPr>
              <w:widowControl w:val="0"/>
              <w:jc w:val="both"/>
              <w:rPr>
                <w:rFonts w:hint="default"/>
                <w:vertAlign w:val="baseline"/>
                <w:lang w:val="en-US"/>
              </w:rPr>
            </w:pPr>
            <w:r>
              <w:rPr>
                <w:rFonts w:hint="default"/>
                <w:sz w:val="21"/>
                <w:szCs w:val="21"/>
                <w:vertAlign w:val="baseline"/>
                <w:lang w:val="en-US"/>
              </w:rPr>
              <w:t>(AC-EV/EV)*100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9" w:type="dxa"/>
          </w:tcPr>
          <w:p>
            <w:pPr>
              <w:widowControl w:val="0"/>
              <w:jc w:val="both"/>
              <w:rPr>
                <w:rFonts w:hint="default"/>
                <w:vertAlign w:val="baseline"/>
                <w:lang w:val="en-US"/>
              </w:rPr>
            </w:pPr>
            <w:r>
              <w:rPr>
                <w:rFonts w:hint="default"/>
                <w:vertAlign w:val="baseline"/>
                <w:lang w:val="en-US"/>
              </w:rPr>
              <w:t>1st</w:t>
            </w:r>
          </w:p>
        </w:tc>
        <w:tc>
          <w:tcPr>
            <w:tcW w:w="1416" w:type="dxa"/>
            <w:vAlign w:val="top"/>
          </w:tcPr>
          <w:p>
            <w:pPr>
              <w:widowControl w:val="0"/>
              <w:jc w:val="both"/>
              <w:rPr>
                <w:rFonts w:hint="default" w:asciiTheme="minorHAnsi" w:hAnsiTheme="minorHAnsi" w:eastAsiaTheme="minorEastAsia" w:cstheme="minorBidi"/>
                <w:sz w:val="22"/>
                <w:szCs w:val="22"/>
                <w:vertAlign w:val="baseline"/>
                <w:lang w:val="en-US" w:eastAsia="en-IN" w:bidi="ar-SA"/>
              </w:rPr>
            </w:pPr>
            <w:r>
              <w:rPr>
                <w:rFonts w:hint="default"/>
                <w:vertAlign w:val="baseline"/>
                <w:lang w:val="en-US"/>
              </w:rPr>
              <w:t>19-07-22 to 26-07-22</w:t>
            </w:r>
          </w:p>
        </w:tc>
        <w:tc>
          <w:tcPr>
            <w:tcW w:w="1742" w:type="dxa"/>
          </w:tcPr>
          <w:p>
            <w:pPr>
              <w:widowControl w:val="0"/>
              <w:jc w:val="both"/>
              <w:rPr>
                <w:rFonts w:hint="default"/>
                <w:vertAlign w:val="baseline"/>
                <w:lang w:val="en-US"/>
              </w:rPr>
            </w:pPr>
            <w:r>
              <w:rPr>
                <w:rFonts w:hint="default"/>
                <w:vertAlign w:val="baseline"/>
                <w:lang w:val="en-US"/>
              </w:rPr>
              <w:t>RD Phase, Planning Phase</w:t>
            </w:r>
          </w:p>
        </w:tc>
        <w:tc>
          <w:tcPr>
            <w:tcW w:w="958" w:type="dxa"/>
          </w:tcPr>
          <w:p>
            <w:pPr>
              <w:widowControl w:val="0"/>
              <w:jc w:val="both"/>
              <w:rPr>
                <w:rFonts w:hint="default"/>
                <w:vertAlign w:val="baseline"/>
                <w:lang w:val="en-US"/>
              </w:rPr>
            </w:pPr>
            <w:r>
              <w:rPr>
                <w:rFonts w:hint="default"/>
                <w:vertAlign w:val="baseline"/>
                <w:lang w:val="en-US"/>
              </w:rPr>
              <w:t>29</w:t>
            </w:r>
          </w:p>
        </w:tc>
        <w:tc>
          <w:tcPr>
            <w:tcW w:w="877" w:type="dxa"/>
          </w:tcPr>
          <w:p>
            <w:pPr>
              <w:widowControl w:val="0"/>
              <w:jc w:val="both"/>
              <w:rPr>
                <w:rFonts w:hint="default"/>
                <w:vertAlign w:val="baseline"/>
                <w:lang w:val="en-US"/>
              </w:rPr>
            </w:pPr>
            <w:r>
              <w:rPr>
                <w:rFonts w:hint="default"/>
                <w:vertAlign w:val="baseline"/>
                <w:lang w:val="en-US"/>
              </w:rPr>
              <w:t>29</w:t>
            </w:r>
          </w:p>
        </w:tc>
        <w:tc>
          <w:tcPr>
            <w:tcW w:w="819" w:type="dxa"/>
          </w:tcPr>
          <w:p>
            <w:pPr>
              <w:widowControl w:val="0"/>
              <w:jc w:val="both"/>
              <w:rPr>
                <w:rFonts w:hint="default"/>
                <w:vertAlign w:val="baseline"/>
                <w:lang w:val="en-US"/>
              </w:rPr>
            </w:pPr>
            <w:r>
              <w:rPr>
                <w:rFonts w:hint="default"/>
                <w:vertAlign w:val="baseline"/>
                <w:lang w:val="en-US"/>
              </w:rPr>
              <w:t>27</w:t>
            </w:r>
          </w:p>
        </w:tc>
        <w:tc>
          <w:tcPr>
            <w:tcW w:w="1615" w:type="dxa"/>
          </w:tcPr>
          <w:p>
            <w:pPr>
              <w:widowControl w:val="0"/>
              <w:jc w:val="both"/>
              <w:rPr>
                <w:rFonts w:hint="default"/>
                <w:vertAlign w:val="baseline"/>
                <w:lang w:val="en-US"/>
              </w:rPr>
            </w:pPr>
            <w:r>
              <w:rPr>
                <w:rFonts w:hint="default"/>
                <w:vertAlign w:val="baseline"/>
                <w:lang w:val="en-US"/>
              </w:rPr>
              <w:t>0%</w:t>
            </w:r>
          </w:p>
        </w:tc>
        <w:tc>
          <w:tcPr>
            <w:tcW w:w="1628" w:type="dxa"/>
          </w:tcPr>
          <w:p>
            <w:pPr>
              <w:widowControl w:val="0"/>
              <w:jc w:val="both"/>
              <w:rPr>
                <w:rFonts w:hint="default"/>
                <w:vertAlign w:val="baseline"/>
                <w:lang w:val="en-US"/>
              </w:rPr>
            </w:pPr>
            <w:r>
              <w:rPr>
                <w:rFonts w:hint="default"/>
                <w:vertAlign w:val="baseline"/>
                <w:lang w:val="en-US"/>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9" w:type="dxa"/>
          </w:tcPr>
          <w:p>
            <w:pPr>
              <w:widowControl w:val="0"/>
              <w:jc w:val="both"/>
              <w:rPr>
                <w:rFonts w:hint="default"/>
                <w:vertAlign w:val="baseline"/>
                <w:lang w:val="en-US"/>
              </w:rPr>
            </w:pPr>
            <w:r>
              <w:rPr>
                <w:rFonts w:hint="default"/>
                <w:vertAlign w:val="baseline"/>
                <w:lang w:val="en-US"/>
              </w:rPr>
              <w:t>2nd</w:t>
            </w:r>
          </w:p>
        </w:tc>
        <w:tc>
          <w:tcPr>
            <w:tcW w:w="1416" w:type="dxa"/>
          </w:tcPr>
          <w:p>
            <w:pPr>
              <w:widowControl w:val="0"/>
              <w:jc w:val="both"/>
              <w:rPr>
                <w:rFonts w:hint="default"/>
                <w:vertAlign w:val="baseline"/>
                <w:lang w:val="en-US"/>
              </w:rPr>
            </w:pPr>
            <w:r>
              <w:rPr>
                <w:rFonts w:hint="default"/>
                <w:vertAlign w:val="baseline"/>
                <w:lang w:val="en-US"/>
              </w:rPr>
              <w:t>26-07-22 to 02-08-22</w:t>
            </w:r>
          </w:p>
        </w:tc>
        <w:tc>
          <w:tcPr>
            <w:tcW w:w="1742" w:type="dxa"/>
          </w:tcPr>
          <w:p>
            <w:pPr>
              <w:widowControl w:val="0"/>
              <w:jc w:val="both"/>
              <w:rPr>
                <w:vertAlign w:val="baseline"/>
              </w:rPr>
            </w:pPr>
            <w:r>
              <w:rPr>
                <w:rFonts w:hint="default"/>
                <w:vertAlign w:val="baseline"/>
                <w:lang w:val="en-US"/>
              </w:rPr>
              <w:t>Planning Phase</w:t>
            </w:r>
          </w:p>
        </w:tc>
        <w:tc>
          <w:tcPr>
            <w:tcW w:w="958" w:type="dxa"/>
          </w:tcPr>
          <w:p>
            <w:pPr>
              <w:widowControl w:val="0"/>
              <w:jc w:val="both"/>
              <w:rPr>
                <w:rFonts w:hint="default"/>
                <w:vertAlign w:val="baseline"/>
                <w:lang w:val="en-US"/>
              </w:rPr>
            </w:pPr>
            <w:r>
              <w:rPr>
                <w:rFonts w:hint="default"/>
                <w:vertAlign w:val="baseline"/>
                <w:lang w:val="en-US"/>
              </w:rPr>
              <w:t>0</w:t>
            </w:r>
          </w:p>
        </w:tc>
        <w:tc>
          <w:tcPr>
            <w:tcW w:w="877" w:type="dxa"/>
          </w:tcPr>
          <w:p>
            <w:pPr>
              <w:widowControl w:val="0"/>
              <w:jc w:val="both"/>
              <w:rPr>
                <w:rFonts w:hint="default"/>
                <w:vertAlign w:val="baseline"/>
                <w:lang w:val="en-US"/>
              </w:rPr>
            </w:pPr>
            <w:r>
              <w:rPr>
                <w:rFonts w:hint="default"/>
                <w:vertAlign w:val="baseline"/>
                <w:lang w:val="en-US"/>
              </w:rPr>
              <w:t>0</w:t>
            </w:r>
          </w:p>
        </w:tc>
        <w:tc>
          <w:tcPr>
            <w:tcW w:w="819" w:type="dxa"/>
          </w:tcPr>
          <w:p>
            <w:pPr>
              <w:widowControl w:val="0"/>
              <w:jc w:val="both"/>
              <w:rPr>
                <w:rFonts w:hint="default"/>
                <w:vertAlign w:val="baseline"/>
                <w:lang w:val="en-US"/>
              </w:rPr>
            </w:pPr>
            <w:r>
              <w:rPr>
                <w:rFonts w:hint="default"/>
                <w:vertAlign w:val="baseline"/>
                <w:lang w:val="en-US"/>
              </w:rPr>
              <w:t>0</w:t>
            </w:r>
          </w:p>
        </w:tc>
        <w:tc>
          <w:tcPr>
            <w:tcW w:w="1615" w:type="dxa"/>
          </w:tcPr>
          <w:p>
            <w:pPr>
              <w:widowControl w:val="0"/>
              <w:jc w:val="both"/>
              <w:rPr>
                <w:rFonts w:hint="default"/>
                <w:vertAlign w:val="baseline"/>
                <w:lang w:val="en-US"/>
              </w:rPr>
            </w:pPr>
            <w:r>
              <w:rPr>
                <w:rFonts w:hint="default"/>
                <w:vertAlign w:val="baseline"/>
                <w:lang w:val="en-US"/>
              </w:rPr>
              <w:t>0%</w:t>
            </w:r>
          </w:p>
        </w:tc>
        <w:tc>
          <w:tcPr>
            <w:tcW w:w="1628" w:type="dxa"/>
          </w:tcPr>
          <w:p>
            <w:pPr>
              <w:widowControl w:val="0"/>
              <w:jc w:val="both"/>
              <w:rPr>
                <w:rFonts w:hint="default"/>
                <w:vertAlign w:val="baseline"/>
                <w:lang w:val="en-US"/>
              </w:rPr>
            </w:pPr>
            <w:r>
              <w:rPr>
                <w:rFonts w:hint="default"/>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839" w:type="dxa"/>
            <w:vAlign w:val="top"/>
          </w:tcPr>
          <w:p>
            <w:pPr>
              <w:widowControl w:val="0"/>
              <w:jc w:val="both"/>
              <w:rPr>
                <w:rFonts w:hint="default"/>
                <w:vertAlign w:val="baseline"/>
                <w:lang w:val="en-US"/>
              </w:rPr>
            </w:pPr>
            <w:r>
              <w:rPr>
                <w:rFonts w:hint="default"/>
                <w:vertAlign w:val="baseline"/>
                <w:lang w:val="en-US"/>
              </w:rPr>
              <w:t>3rd</w:t>
            </w:r>
          </w:p>
        </w:tc>
        <w:tc>
          <w:tcPr>
            <w:tcW w:w="1416" w:type="dxa"/>
            <w:vAlign w:val="top"/>
          </w:tcPr>
          <w:p>
            <w:pPr>
              <w:widowControl w:val="0"/>
              <w:jc w:val="both"/>
              <w:rPr>
                <w:vertAlign w:val="baseline"/>
              </w:rPr>
            </w:pPr>
            <w:r>
              <w:rPr>
                <w:rFonts w:hint="default"/>
                <w:vertAlign w:val="baseline"/>
                <w:lang w:val="en-US"/>
              </w:rPr>
              <w:t>02-08-22 to 09-08-22</w:t>
            </w:r>
          </w:p>
        </w:tc>
        <w:tc>
          <w:tcPr>
            <w:tcW w:w="1742" w:type="dxa"/>
            <w:vAlign w:val="top"/>
          </w:tcPr>
          <w:p>
            <w:pPr>
              <w:widowControl w:val="0"/>
              <w:jc w:val="both"/>
              <w:rPr>
                <w:rFonts w:hint="default"/>
                <w:vertAlign w:val="baseline"/>
                <w:lang w:val="en-US"/>
              </w:rPr>
            </w:pPr>
            <w:r>
              <w:rPr>
                <w:rFonts w:hint="default"/>
                <w:vertAlign w:val="baseline"/>
                <w:lang w:val="en-US"/>
              </w:rPr>
              <w:t>Design and Implementation</w:t>
            </w:r>
          </w:p>
        </w:tc>
        <w:tc>
          <w:tcPr>
            <w:tcW w:w="958" w:type="dxa"/>
            <w:vAlign w:val="top"/>
          </w:tcPr>
          <w:p>
            <w:pPr>
              <w:widowControl w:val="0"/>
              <w:jc w:val="both"/>
              <w:rPr>
                <w:rFonts w:hint="default"/>
                <w:vertAlign w:val="baseline"/>
                <w:lang w:val="en-US"/>
              </w:rPr>
            </w:pPr>
            <w:r>
              <w:rPr>
                <w:rFonts w:hint="default"/>
                <w:vertAlign w:val="baseline"/>
                <w:lang w:val="en-US"/>
              </w:rPr>
              <w:t>43</w:t>
            </w:r>
          </w:p>
        </w:tc>
        <w:tc>
          <w:tcPr>
            <w:tcW w:w="877" w:type="dxa"/>
            <w:vAlign w:val="top"/>
          </w:tcPr>
          <w:p>
            <w:pPr>
              <w:widowControl w:val="0"/>
              <w:jc w:val="both"/>
              <w:rPr>
                <w:rFonts w:hint="default"/>
                <w:vertAlign w:val="baseline"/>
                <w:lang w:val="en-US"/>
              </w:rPr>
            </w:pPr>
            <w:r>
              <w:rPr>
                <w:rFonts w:hint="default"/>
                <w:vertAlign w:val="baseline"/>
                <w:lang w:val="en-US"/>
              </w:rPr>
              <w:t>45</w:t>
            </w:r>
          </w:p>
        </w:tc>
        <w:tc>
          <w:tcPr>
            <w:tcW w:w="819" w:type="dxa"/>
            <w:vAlign w:val="top"/>
          </w:tcPr>
          <w:p>
            <w:pPr>
              <w:widowControl w:val="0"/>
              <w:jc w:val="both"/>
              <w:rPr>
                <w:rFonts w:hint="default"/>
                <w:vertAlign w:val="baseline"/>
                <w:lang w:val="en-US"/>
              </w:rPr>
            </w:pPr>
            <w:r>
              <w:rPr>
                <w:rFonts w:hint="default"/>
                <w:vertAlign w:val="baseline"/>
                <w:lang w:val="en-US"/>
              </w:rPr>
              <w:t>45</w:t>
            </w:r>
          </w:p>
        </w:tc>
        <w:tc>
          <w:tcPr>
            <w:tcW w:w="1615" w:type="dxa"/>
            <w:vAlign w:val="top"/>
          </w:tcPr>
          <w:p>
            <w:pPr>
              <w:widowControl w:val="0"/>
              <w:jc w:val="both"/>
              <w:rPr>
                <w:rFonts w:hint="default"/>
                <w:vertAlign w:val="baseline"/>
                <w:lang w:val="en-US"/>
              </w:rPr>
            </w:pPr>
            <w:r>
              <w:rPr>
                <w:rFonts w:hint="default"/>
                <w:vertAlign w:val="baseline"/>
                <w:lang w:val="en-US"/>
              </w:rPr>
              <w:t>4.65%</w:t>
            </w:r>
          </w:p>
        </w:tc>
        <w:tc>
          <w:tcPr>
            <w:tcW w:w="1628" w:type="dxa"/>
            <w:vAlign w:val="top"/>
          </w:tcPr>
          <w:p>
            <w:pPr>
              <w:widowControl w:val="0"/>
              <w:jc w:val="both"/>
              <w:rPr>
                <w:rFonts w:hint="default"/>
                <w:vertAlign w:val="baseline"/>
                <w:lang w:val="en-US"/>
              </w:rPr>
            </w:pPr>
            <w:r>
              <w:rPr>
                <w:rFonts w:hint="default"/>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9" w:type="dxa"/>
            <w:vAlign w:val="top"/>
          </w:tcPr>
          <w:p>
            <w:pPr>
              <w:widowControl w:val="0"/>
              <w:jc w:val="both"/>
              <w:rPr>
                <w:rFonts w:hint="default"/>
                <w:vertAlign w:val="baseline"/>
                <w:lang w:val="en-US"/>
              </w:rPr>
            </w:pPr>
            <w:r>
              <w:rPr>
                <w:rFonts w:hint="default"/>
                <w:vertAlign w:val="baseline"/>
                <w:lang w:val="en-US"/>
              </w:rPr>
              <w:t>4th</w:t>
            </w:r>
          </w:p>
        </w:tc>
        <w:tc>
          <w:tcPr>
            <w:tcW w:w="1416" w:type="dxa"/>
            <w:vAlign w:val="top"/>
          </w:tcPr>
          <w:p>
            <w:pPr>
              <w:widowControl w:val="0"/>
              <w:jc w:val="both"/>
              <w:rPr>
                <w:rFonts w:hint="default"/>
                <w:vertAlign w:val="baseline"/>
                <w:lang w:val="en-US"/>
              </w:rPr>
            </w:pPr>
            <w:r>
              <w:rPr>
                <w:rFonts w:hint="default"/>
                <w:vertAlign w:val="baseline"/>
                <w:lang w:val="en-US"/>
              </w:rPr>
              <w:t>09-08-22 to 16-08-22</w:t>
            </w:r>
          </w:p>
        </w:tc>
        <w:tc>
          <w:tcPr>
            <w:tcW w:w="1742" w:type="dxa"/>
            <w:vAlign w:val="top"/>
          </w:tcPr>
          <w:p>
            <w:pPr>
              <w:widowControl w:val="0"/>
              <w:jc w:val="both"/>
              <w:rPr>
                <w:rFonts w:hint="default"/>
                <w:vertAlign w:val="baseline"/>
                <w:lang w:val="en-US"/>
              </w:rPr>
            </w:pPr>
            <w:r>
              <w:rPr>
                <w:rFonts w:hint="default"/>
                <w:vertAlign w:val="baseline"/>
                <w:lang w:val="en-US"/>
              </w:rPr>
              <w:t>Testing and integration</w:t>
            </w:r>
          </w:p>
        </w:tc>
        <w:tc>
          <w:tcPr>
            <w:tcW w:w="958" w:type="dxa"/>
            <w:vAlign w:val="top"/>
          </w:tcPr>
          <w:p>
            <w:pPr>
              <w:widowControl w:val="0"/>
              <w:jc w:val="both"/>
              <w:rPr>
                <w:rFonts w:hint="default"/>
                <w:vertAlign w:val="baseline"/>
                <w:lang w:val="en-US"/>
              </w:rPr>
            </w:pPr>
            <w:r>
              <w:rPr>
                <w:rFonts w:hint="default"/>
                <w:vertAlign w:val="baseline"/>
                <w:lang w:val="en-US"/>
              </w:rPr>
              <w:t>4</w:t>
            </w:r>
          </w:p>
        </w:tc>
        <w:tc>
          <w:tcPr>
            <w:tcW w:w="877" w:type="dxa"/>
            <w:vAlign w:val="top"/>
          </w:tcPr>
          <w:p>
            <w:pPr>
              <w:widowControl w:val="0"/>
              <w:jc w:val="both"/>
              <w:rPr>
                <w:rFonts w:hint="default"/>
                <w:vertAlign w:val="baseline"/>
                <w:lang w:val="en-US"/>
              </w:rPr>
            </w:pPr>
            <w:r>
              <w:rPr>
                <w:rFonts w:hint="default"/>
                <w:vertAlign w:val="baseline"/>
                <w:lang w:val="en-US"/>
              </w:rPr>
              <w:t>2</w:t>
            </w:r>
          </w:p>
        </w:tc>
        <w:tc>
          <w:tcPr>
            <w:tcW w:w="819" w:type="dxa"/>
            <w:vAlign w:val="top"/>
          </w:tcPr>
          <w:p>
            <w:pPr>
              <w:widowControl w:val="0"/>
              <w:jc w:val="both"/>
              <w:rPr>
                <w:rFonts w:hint="default"/>
                <w:vertAlign w:val="baseline"/>
                <w:lang w:val="en-US"/>
              </w:rPr>
            </w:pPr>
            <w:r>
              <w:rPr>
                <w:rFonts w:hint="default"/>
                <w:vertAlign w:val="baseline"/>
                <w:lang w:val="en-US"/>
              </w:rPr>
              <w:t>1</w:t>
            </w:r>
          </w:p>
        </w:tc>
        <w:tc>
          <w:tcPr>
            <w:tcW w:w="1615" w:type="dxa"/>
            <w:vAlign w:val="top"/>
          </w:tcPr>
          <w:p>
            <w:pPr>
              <w:widowControl w:val="0"/>
              <w:jc w:val="both"/>
              <w:rPr>
                <w:rFonts w:hint="default"/>
                <w:vertAlign w:val="baseline"/>
                <w:lang w:val="en-US"/>
              </w:rPr>
            </w:pPr>
            <w:r>
              <w:rPr>
                <w:rFonts w:hint="default"/>
                <w:vertAlign w:val="baseline"/>
                <w:lang w:val="en-US"/>
              </w:rPr>
              <w:t>-50%</w:t>
            </w:r>
          </w:p>
        </w:tc>
        <w:tc>
          <w:tcPr>
            <w:tcW w:w="1628" w:type="dxa"/>
            <w:vAlign w:val="top"/>
          </w:tcPr>
          <w:p>
            <w:pPr>
              <w:widowControl w:val="0"/>
              <w:jc w:val="both"/>
              <w:rPr>
                <w:rFonts w:hint="default"/>
                <w:vertAlign w:val="baseline"/>
                <w:lang w:val="en-US"/>
              </w:rPr>
            </w:pPr>
            <w:r>
              <w:rPr>
                <w:rFonts w:hint="default"/>
                <w:vertAlign w:val="baseline"/>
                <w:lang w:val="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9" w:type="dxa"/>
            <w:vAlign w:val="top"/>
          </w:tcPr>
          <w:p>
            <w:pPr>
              <w:widowControl w:val="0"/>
              <w:jc w:val="both"/>
              <w:rPr>
                <w:rFonts w:hint="default"/>
                <w:vertAlign w:val="baseline"/>
                <w:lang w:val="en-US"/>
              </w:rPr>
            </w:pPr>
            <w:r>
              <w:rPr>
                <w:rFonts w:hint="default"/>
                <w:vertAlign w:val="baseline"/>
                <w:lang w:val="en-US"/>
              </w:rPr>
              <w:t>5th</w:t>
            </w:r>
          </w:p>
        </w:tc>
        <w:tc>
          <w:tcPr>
            <w:tcW w:w="1416" w:type="dxa"/>
            <w:vAlign w:val="top"/>
          </w:tcPr>
          <w:p>
            <w:pPr>
              <w:widowControl w:val="0"/>
              <w:jc w:val="both"/>
              <w:rPr>
                <w:rFonts w:hint="default"/>
                <w:vertAlign w:val="baseline"/>
                <w:lang w:val="en-US"/>
              </w:rPr>
            </w:pPr>
            <w:r>
              <w:rPr>
                <w:rFonts w:hint="default"/>
                <w:vertAlign w:val="baseline"/>
                <w:lang w:val="en-US"/>
              </w:rPr>
              <w:t>16-08-22 to 23-08-22</w:t>
            </w:r>
          </w:p>
        </w:tc>
        <w:tc>
          <w:tcPr>
            <w:tcW w:w="1742" w:type="dxa"/>
            <w:vAlign w:val="top"/>
          </w:tcPr>
          <w:p>
            <w:pPr>
              <w:widowControl w:val="0"/>
              <w:jc w:val="both"/>
              <w:rPr>
                <w:vertAlign w:val="baseline"/>
              </w:rPr>
            </w:pPr>
            <w:r>
              <w:rPr>
                <w:rFonts w:hint="default"/>
                <w:vertAlign w:val="baseline"/>
                <w:lang w:val="en-US"/>
              </w:rPr>
              <w:t>Testing and integration</w:t>
            </w:r>
          </w:p>
        </w:tc>
        <w:tc>
          <w:tcPr>
            <w:tcW w:w="958" w:type="dxa"/>
            <w:vAlign w:val="top"/>
          </w:tcPr>
          <w:p>
            <w:pPr>
              <w:widowControl w:val="0"/>
              <w:jc w:val="both"/>
              <w:rPr>
                <w:rFonts w:hint="default"/>
                <w:vertAlign w:val="baseline"/>
                <w:lang w:val="en-US"/>
              </w:rPr>
            </w:pPr>
            <w:r>
              <w:rPr>
                <w:rFonts w:hint="default"/>
                <w:vertAlign w:val="baseline"/>
                <w:lang w:val="en-US"/>
              </w:rPr>
              <w:t>36</w:t>
            </w:r>
          </w:p>
        </w:tc>
        <w:tc>
          <w:tcPr>
            <w:tcW w:w="877" w:type="dxa"/>
            <w:vAlign w:val="top"/>
          </w:tcPr>
          <w:p>
            <w:pPr>
              <w:widowControl w:val="0"/>
              <w:jc w:val="both"/>
              <w:rPr>
                <w:rFonts w:hint="default"/>
                <w:vertAlign w:val="baseline"/>
                <w:lang w:val="en-US"/>
              </w:rPr>
            </w:pPr>
            <w:r>
              <w:rPr>
                <w:rFonts w:hint="default"/>
                <w:vertAlign w:val="baseline"/>
                <w:lang w:val="en-US"/>
              </w:rPr>
              <w:t>26</w:t>
            </w:r>
          </w:p>
        </w:tc>
        <w:tc>
          <w:tcPr>
            <w:tcW w:w="819" w:type="dxa"/>
            <w:vAlign w:val="top"/>
          </w:tcPr>
          <w:p>
            <w:pPr>
              <w:widowControl w:val="0"/>
              <w:jc w:val="both"/>
              <w:rPr>
                <w:rFonts w:hint="default"/>
                <w:vertAlign w:val="baseline"/>
                <w:lang w:val="en-US"/>
              </w:rPr>
            </w:pPr>
            <w:r>
              <w:rPr>
                <w:rFonts w:hint="default"/>
                <w:vertAlign w:val="baseline"/>
                <w:lang w:val="en-US"/>
              </w:rPr>
              <w:t>27</w:t>
            </w:r>
          </w:p>
        </w:tc>
        <w:tc>
          <w:tcPr>
            <w:tcW w:w="1615" w:type="dxa"/>
            <w:vAlign w:val="top"/>
          </w:tcPr>
          <w:p>
            <w:pPr>
              <w:widowControl w:val="0"/>
              <w:jc w:val="both"/>
              <w:rPr>
                <w:rFonts w:hint="default"/>
                <w:vertAlign w:val="baseline"/>
                <w:lang w:val="en-US"/>
              </w:rPr>
            </w:pPr>
            <w:r>
              <w:rPr>
                <w:rFonts w:hint="default"/>
                <w:vertAlign w:val="baseline"/>
                <w:lang w:val="en-US"/>
              </w:rPr>
              <w:t>-27.77%</w:t>
            </w:r>
          </w:p>
        </w:tc>
        <w:tc>
          <w:tcPr>
            <w:tcW w:w="1628" w:type="dxa"/>
            <w:vAlign w:val="top"/>
          </w:tcPr>
          <w:p>
            <w:pPr>
              <w:widowControl w:val="0"/>
              <w:jc w:val="both"/>
              <w:rPr>
                <w:rFonts w:hint="default"/>
                <w:vertAlign w:val="baseline"/>
                <w:lang w:val="en-US"/>
              </w:rPr>
            </w:pPr>
            <w:r>
              <w:rPr>
                <w:rFonts w:hint="default"/>
                <w:vertAlign w:val="baseline"/>
                <w:lang w:val="en-US"/>
              </w:rPr>
              <w:t>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9" w:type="dxa"/>
            <w:vAlign w:val="top"/>
          </w:tcPr>
          <w:p>
            <w:pPr>
              <w:widowControl w:val="0"/>
              <w:jc w:val="both"/>
              <w:rPr>
                <w:rFonts w:hint="default"/>
                <w:vertAlign w:val="baseline"/>
                <w:lang w:val="en-US"/>
              </w:rPr>
            </w:pPr>
            <w:r>
              <w:rPr>
                <w:rFonts w:hint="default"/>
                <w:vertAlign w:val="baseline"/>
                <w:lang w:val="en-US"/>
              </w:rPr>
              <w:t>6th</w:t>
            </w:r>
          </w:p>
        </w:tc>
        <w:tc>
          <w:tcPr>
            <w:tcW w:w="1416" w:type="dxa"/>
            <w:vAlign w:val="top"/>
          </w:tcPr>
          <w:p>
            <w:pPr>
              <w:widowControl w:val="0"/>
              <w:jc w:val="both"/>
              <w:rPr>
                <w:rFonts w:hint="default"/>
                <w:vertAlign w:val="baseline"/>
                <w:lang w:val="en-US"/>
              </w:rPr>
            </w:pPr>
            <w:r>
              <w:rPr>
                <w:rFonts w:hint="default"/>
                <w:vertAlign w:val="baseline"/>
                <w:lang w:val="en-US"/>
              </w:rPr>
              <w:t>23-08-22 to 30-08-22</w:t>
            </w:r>
          </w:p>
        </w:tc>
        <w:tc>
          <w:tcPr>
            <w:tcW w:w="1742" w:type="dxa"/>
            <w:vAlign w:val="top"/>
          </w:tcPr>
          <w:p>
            <w:pPr>
              <w:widowControl w:val="0"/>
              <w:jc w:val="both"/>
              <w:rPr>
                <w:rFonts w:hint="default"/>
                <w:vertAlign w:val="baseline"/>
                <w:lang w:val="en-US"/>
              </w:rPr>
            </w:pPr>
            <w:r>
              <w:rPr>
                <w:rFonts w:hint="default"/>
                <w:vertAlign w:val="baseline"/>
                <w:lang w:val="en-US"/>
              </w:rPr>
              <w:t>Validation Phase , Closure</w:t>
            </w:r>
          </w:p>
        </w:tc>
        <w:tc>
          <w:tcPr>
            <w:tcW w:w="958" w:type="dxa"/>
            <w:vAlign w:val="top"/>
          </w:tcPr>
          <w:p>
            <w:pPr>
              <w:widowControl w:val="0"/>
              <w:jc w:val="both"/>
              <w:rPr>
                <w:rFonts w:hint="default"/>
                <w:vertAlign w:val="baseline"/>
                <w:lang w:val="en-US"/>
              </w:rPr>
            </w:pPr>
            <w:r>
              <w:rPr>
                <w:rFonts w:hint="default"/>
                <w:vertAlign w:val="baseline"/>
                <w:lang w:val="en-US"/>
              </w:rPr>
              <w:t>44</w:t>
            </w:r>
          </w:p>
        </w:tc>
        <w:tc>
          <w:tcPr>
            <w:tcW w:w="877" w:type="dxa"/>
            <w:vAlign w:val="top"/>
          </w:tcPr>
          <w:p>
            <w:pPr>
              <w:widowControl w:val="0"/>
              <w:jc w:val="both"/>
              <w:rPr>
                <w:rFonts w:hint="default"/>
                <w:vertAlign w:val="baseline"/>
                <w:lang w:val="en-US"/>
              </w:rPr>
            </w:pPr>
            <w:r>
              <w:rPr>
                <w:rFonts w:hint="default"/>
                <w:vertAlign w:val="baseline"/>
                <w:lang w:val="en-US"/>
              </w:rPr>
              <w:t>40</w:t>
            </w:r>
          </w:p>
        </w:tc>
        <w:tc>
          <w:tcPr>
            <w:tcW w:w="819" w:type="dxa"/>
            <w:vAlign w:val="top"/>
          </w:tcPr>
          <w:p>
            <w:pPr>
              <w:widowControl w:val="0"/>
              <w:jc w:val="both"/>
              <w:rPr>
                <w:rFonts w:hint="default"/>
                <w:vertAlign w:val="baseline"/>
                <w:lang w:val="en-US"/>
              </w:rPr>
            </w:pPr>
            <w:r>
              <w:rPr>
                <w:rFonts w:hint="default"/>
                <w:vertAlign w:val="baseline"/>
                <w:lang w:val="en-US"/>
              </w:rPr>
              <w:t>53</w:t>
            </w:r>
          </w:p>
        </w:tc>
        <w:tc>
          <w:tcPr>
            <w:tcW w:w="1615" w:type="dxa"/>
            <w:vAlign w:val="top"/>
          </w:tcPr>
          <w:p>
            <w:pPr>
              <w:widowControl w:val="0"/>
              <w:jc w:val="both"/>
              <w:rPr>
                <w:rFonts w:hint="default"/>
                <w:vertAlign w:val="baseline"/>
                <w:lang w:val="en-US"/>
              </w:rPr>
            </w:pPr>
            <w:r>
              <w:rPr>
                <w:rFonts w:hint="default"/>
                <w:vertAlign w:val="baseline"/>
                <w:lang w:val="en-US"/>
              </w:rPr>
              <w:t>-9.09%</w:t>
            </w:r>
          </w:p>
        </w:tc>
        <w:tc>
          <w:tcPr>
            <w:tcW w:w="1628" w:type="dxa"/>
            <w:vAlign w:val="top"/>
          </w:tcPr>
          <w:p>
            <w:pPr>
              <w:widowControl w:val="0"/>
              <w:jc w:val="both"/>
              <w:rPr>
                <w:rFonts w:hint="default"/>
                <w:vertAlign w:val="baseline"/>
                <w:lang w:val="en-US"/>
              </w:rPr>
            </w:pPr>
            <w:r>
              <w:rPr>
                <w:rFonts w:hint="default"/>
                <w:vertAlign w:val="baseline"/>
                <w:lang w:val="en-US"/>
              </w:rPr>
              <w:t>32.5%</w:t>
            </w:r>
          </w:p>
        </w:tc>
      </w:tr>
    </w:tbl>
    <w:p/>
    <w:p>
      <w:pPr>
        <w:pStyle w:val="3"/>
        <w:numPr>
          <w:ilvl w:val="1"/>
          <w:numId w:val="1"/>
        </w:numPr>
      </w:pPr>
      <w:bookmarkStart w:id="4" w:name="_Toc541"/>
      <w:r>
        <w:t>Causal Analysis(Phase wise)</w:t>
      </w:r>
      <w:bookmarkEnd w:id="4"/>
      <w:r>
        <w:t xml:space="preserve"> </w:t>
      </w:r>
    </w:p>
    <w:p>
      <w:pPr>
        <w:rPr>
          <w:rStyle w:val="29"/>
        </w:rPr>
      </w:pPr>
    </w:p>
    <w:p>
      <w:r>
        <w:drawing>
          <wp:inline distT="0" distB="0" distL="114300" distR="114300">
            <wp:extent cx="5938520" cy="2832100"/>
            <wp:effectExtent l="0" t="0" r="5080" b="635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stretch>
                      <a:fillRect/>
                    </a:stretch>
                  </pic:blipFill>
                  <pic:spPr>
                    <a:xfrm>
                      <a:off x="0" y="0"/>
                      <a:ext cx="5938520" cy="2832100"/>
                    </a:xfrm>
                    <a:prstGeom prst="rect">
                      <a:avLst/>
                    </a:prstGeom>
                    <a:noFill/>
                    <a:ln>
                      <a:noFill/>
                    </a:ln>
                  </pic:spPr>
                </pic:pic>
              </a:graphicData>
            </a:graphic>
          </wp:inline>
        </w:drawing>
      </w:r>
    </w:p>
    <w:p>
      <w:r>
        <w:rPr>
          <w:rFonts w:hint="default"/>
          <w:b/>
          <w:bCs/>
          <w:sz w:val="28"/>
          <w:szCs w:val="28"/>
          <w:lang w:val="en-US"/>
        </w:rPr>
        <w:t>Schedule and Effort Variance analysis at project Level</w:t>
      </w:r>
    </w:p>
    <w:tbl>
      <w:tblPr>
        <w:tblStyle w:val="22"/>
        <w:tblW w:w="98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9"/>
        <w:gridCol w:w="1427"/>
        <w:gridCol w:w="1743"/>
        <w:gridCol w:w="946"/>
        <w:gridCol w:w="888"/>
        <w:gridCol w:w="808"/>
        <w:gridCol w:w="1615"/>
        <w:gridCol w:w="1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839" w:type="dxa"/>
          </w:tcPr>
          <w:p>
            <w:pPr>
              <w:widowControl w:val="0"/>
              <w:jc w:val="both"/>
              <w:rPr>
                <w:rFonts w:hint="default"/>
                <w:vertAlign w:val="baseline"/>
                <w:lang w:val="en-US"/>
              </w:rPr>
            </w:pPr>
            <w:r>
              <w:rPr>
                <w:rFonts w:hint="default"/>
                <w:vertAlign w:val="baseline"/>
                <w:lang w:val="en-US"/>
              </w:rPr>
              <w:t>Weeks</w:t>
            </w:r>
          </w:p>
        </w:tc>
        <w:tc>
          <w:tcPr>
            <w:tcW w:w="1427" w:type="dxa"/>
          </w:tcPr>
          <w:p>
            <w:pPr>
              <w:widowControl w:val="0"/>
              <w:jc w:val="both"/>
              <w:rPr>
                <w:rFonts w:hint="default"/>
                <w:vertAlign w:val="baseline"/>
                <w:lang w:val="en-US"/>
              </w:rPr>
            </w:pPr>
            <w:r>
              <w:rPr>
                <w:rFonts w:hint="default"/>
                <w:vertAlign w:val="baseline"/>
                <w:lang w:val="en-US"/>
              </w:rPr>
              <w:t>No of Week</w:t>
            </w:r>
          </w:p>
        </w:tc>
        <w:tc>
          <w:tcPr>
            <w:tcW w:w="1743" w:type="dxa"/>
          </w:tcPr>
          <w:p>
            <w:pPr>
              <w:widowControl w:val="0"/>
              <w:jc w:val="both"/>
              <w:rPr>
                <w:rFonts w:hint="default"/>
                <w:vertAlign w:val="baseline"/>
                <w:lang w:val="en-US"/>
              </w:rPr>
            </w:pPr>
            <w:r>
              <w:rPr>
                <w:rFonts w:hint="default"/>
                <w:vertAlign w:val="baseline"/>
                <w:lang w:val="en-US"/>
              </w:rPr>
              <w:t xml:space="preserve">Name of Phase </w:t>
            </w:r>
          </w:p>
        </w:tc>
        <w:tc>
          <w:tcPr>
            <w:tcW w:w="946" w:type="dxa"/>
            <w:vAlign w:val="top"/>
          </w:tcPr>
          <w:p>
            <w:pPr>
              <w:widowControl w:val="0"/>
              <w:jc w:val="both"/>
              <w:rPr>
                <w:rFonts w:hint="default"/>
                <w:vertAlign w:val="baseline"/>
                <w:lang w:val="en-US"/>
              </w:rPr>
            </w:pPr>
            <w:r>
              <w:rPr>
                <w:rFonts w:hint="default"/>
                <w:sz w:val="21"/>
                <w:szCs w:val="21"/>
                <w:vertAlign w:val="baseline"/>
                <w:lang w:val="en-US"/>
              </w:rPr>
              <w:t>Planned Value</w:t>
            </w:r>
          </w:p>
        </w:tc>
        <w:tc>
          <w:tcPr>
            <w:tcW w:w="888" w:type="dxa"/>
            <w:vAlign w:val="top"/>
          </w:tcPr>
          <w:p>
            <w:pPr>
              <w:widowControl w:val="0"/>
              <w:jc w:val="both"/>
              <w:rPr>
                <w:rFonts w:hint="default"/>
                <w:vertAlign w:val="baseline"/>
                <w:lang w:val="en-US"/>
              </w:rPr>
            </w:pPr>
            <w:r>
              <w:rPr>
                <w:rFonts w:hint="default"/>
                <w:sz w:val="21"/>
                <w:szCs w:val="21"/>
                <w:vertAlign w:val="baseline"/>
                <w:lang w:val="en-US"/>
              </w:rPr>
              <w:t>Earned Value</w:t>
            </w:r>
          </w:p>
        </w:tc>
        <w:tc>
          <w:tcPr>
            <w:tcW w:w="808" w:type="dxa"/>
            <w:vAlign w:val="top"/>
          </w:tcPr>
          <w:p>
            <w:pPr>
              <w:widowControl w:val="0"/>
              <w:jc w:val="both"/>
              <w:rPr>
                <w:rFonts w:hint="default"/>
                <w:vertAlign w:val="baseline"/>
                <w:lang w:val="en-US"/>
              </w:rPr>
            </w:pPr>
            <w:r>
              <w:rPr>
                <w:rFonts w:hint="default"/>
                <w:sz w:val="21"/>
                <w:szCs w:val="21"/>
                <w:vertAlign w:val="baseline"/>
                <w:lang w:val="en-US"/>
              </w:rPr>
              <w:t>Actual Cost</w:t>
            </w:r>
          </w:p>
        </w:tc>
        <w:tc>
          <w:tcPr>
            <w:tcW w:w="1615" w:type="dxa"/>
            <w:vAlign w:val="top"/>
          </w:tcPr>
          <w:p>
            <w:pPr>
              <w:widowControl w:val="0"/>
              <w:jc w:val="both"/>
              <w:rPr>
                <w:rFonts w:hint="default"/>
                <w:sz w:val="21"/>
                <w:szCs w:val="21"/>
                <w:vertAlign w:val="baseline"/>
                <w:lang w:val="en-US"/>
              </w:rPr>
            </w:pPr>
            <w:r>
              <w:rPr>
                <w:rFonts w:hint="default"/>
                <w:sz w:val="21"/>
                <w:szCs w:val="21"/>
                <w:vertAlign w:val="baseline"/>
                <w:lang w:val="en-US"/>
              </w:rPr>
              <w:t>Schedule variance</w:t>
            </w:r>
          </w:p>
          <w:p>
            <w:pPr>
              <w:widowControl w:val="0"/>
              <w:jc w:val="both"/>
              <w:rPr>
                <w:rFonts w:hint="default"/>
                <w:vertAlign w:val="baseline"/>
                <w:lang w:val="en-US"/>
              </w:rPr>
            </w:pPr>
            <w:r>
              <w:rPr>
                <w:rFonts w:hint="default"/>
                <w:sz w:val="21"/>
                <w:szCs w:val="21"/>
                <w:vertAlign w:val="baseline"/>
                <w:lang w:val="en-US"/>
              </w:rPr>
              <w:t>(PV-EV/PV)*100</w:t>
            </w:r>
          </w:p>
        </w:tc>
        <w:tc>
          <w:tcPr>
            <w:tcW w:w="1628" w:type="dxa"/>
            <w:vAlign w:val="top"/>
          </w:tcPr>
          <w:p>
            <w:pPr>
              <w:widowControl w:val="0"/>
              <w:jc w:val="both"/>
              <w:rPr>
                <w:rFonts w:hint="default"/>
                <w:sz w:val="21"/>
                <w:szCs w:val="21"/>
                <w:vertAlign w:val="baseline"/>
                <w:lang w:val="en-US"/>
              </w:rPr>
            </w:pPr>
            <w:r>
              <w:rPr>
                <w:rFonts w:hint="default"/>
                <w:sz w:val="21"/>
                <w:szCs w:val="21"/>
                <w:vertAlign w:val="baseline"/>
                <w:lang w:val="en-US"/>
              </w:rPr>
              <w:t>Cost Variance</w:t>
            </w:r>
          </w:p>
          <w:p>
            <w:pPr>
              <w:widowControl w:val="0"/>
              <w:jc w:val="both"/>
              <w:rPr>
                <w:rFonts w:hint="default"/>
                <w:vertAlign w:val="baseline"/>
                <w:lang w:val="en-US"/>
              </w:rPr>
            </w:pPr>
            <w:r>
              <w:rPr>
                <w:rFonts w:hint="default"/>
                <w:sz w:val="21"/>
                <w:szCs w:val="21"/>
                <w:vertAlign w:val="baseline"/>
                <w:lang w:val="en-US"/>
              </w:rPr>
              <w:t>(EV-AC/EV)*100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9" w:type="dxa"/>
            <w:vAlign w:val="top"/>
          </w:tcPr>
          <w:p>
            <w:pPr>
              <w:widowControl w:val="0"/>
              <w:spacing w:line="240" w:lineRule="auto"/>
              <w:jc w:val="both"/>
              <w:rPr>
                <w:rFonts w:hint="default"/>
                <w:vertAlign w:val="baseline"/>
                <w:lang w:val="en-US"/>
              </w:rPr>
            </w:pPr>
            <w:r>
              <w:rPr>
                <w:rFonts w:hint="default"/>
                <w:sz w:val="21"/>
                <w:szCs w:val="21"/>
                <w:vertAlign w:val="baseline"/>
                <w:lang w:val="en-US"/>
              </w:rPr>
              <w:t>1st</w:t>
            </w:r>
          </w:p>
        </w:tc>
        <w:tc>
          <w:tcPr>
            <w:tcW w:w="1427" w:type="dxa"/>
            <w:vAlign w:val="top"/>
          </w:tcPr>
          <w:p>
            <w:pPr>
              <w:widowControl w:val="0"/>
              <w:spacing w:line="240" w:lineRule="auto"/>
              <w:jc w:val="both"/>
              <w:rPr>
                <w:rFonts w:hint="default" w:asciiTheme="minorHAnsi" w:hAnsiTheme="minorHAnsi" w:eastAsiaTheme="minorEastAsia" w:cstheme="minorBidi"/>
                <w:sz w:val="22"/>
                <w:szCs w:val="22"/>
                <w:vertAlign w:val="baseline"/>
                <w:lang w:val="en-US" w:eastAsia="en-IN" w:bidi="ar-SA"/>
              </w:rPr>
            </w:pPr>
            <w:r>
              <w:rPr>
                <w:rFonts w:hint="default"/>
                <w:sz w:val="21"/>
                <w:szCs w:val="21"/>
                <w:vertAlign w:val="baseline"/>
                <w:lang w:val="en-US"/>
              </w:rPr>
              <w:t>19-07-22 to 26-07-22</w:t>
            </w:r>
          </w:p>
        </w:tc>
        <w:tc>
          <w:tcPr>
            <w:tcW w:w="1743" w:type="dxa"/>
            <w:vAlign w:val="top"/>
          </w:tcPr>
          <w:p>
            <w:pPr>
              <w:widowControl w:val="0"/>
              <w:spacing w:line="240" w:lineRule="auto"/>
              <w:jc w:val="both"/>
              <w:rPr>
                <w:rFonts w:hint="default"/>
                <w:vertAlign w:val="baseline"/>
                <w:lang w:val="en-US"/>
              </w:rPr>
            </w:pPr>
            <w:r>
              <w:rPr>
                <w:rFonts w:hint="default"/>
                <w:sz w:val="21"/>
                <w:szCs w:val="21"/>
                <w:vertAlign w:val="baseline"/>
                <w:lang w:val="en-US"/>
              </w:rPr>
              <w:t>RD Phase, Planning Phase</w:t>
            </w:r>
          </w:p>
        </w:tc>
        <w:tc>
          <w:tcPr>
            <w:tcW w:w="946" w:type="dxa"/>
            <w:vAlign w:val="top"/>
          </w:tcPr>
          <w:p>
            <w:pPr>
              <w:widowControl w:val="0"/>
              <w:spacing w:line="240" w:lineRule="auto"/>
              <w:jc w:val="both"/>
              <w:rPr>
                <w:rFonts w:hint="default"/>
                <w:vertAlign w:val="baseline"/>
                <w:lang w:val="en-US"/>
              </w:rPr>
            </w:pPr>
            <w:r>
              <w:rPr>
                <w:rFonts w:hint="default"/>
                <w:sz w:val="21"/>
                <w:szCs w:val="21"/>
                <w:vertAlign w:val="baseline"/>
                <w:lang w:val="en-US"/>
              </w:rPr>
              <w:t>29</w:t>
            </w:r>
          </w:p>
        </w:tc>
        <w:tc>
          <w:tcPr>
            <w:tcW w:w="888" w:type="dxa"/>
            <w:vAlign w:val="top"/>
          </w:tcPr>
          <w:p>
            <w:pPr>
              <w:widowControl w:val="0"/>
              <w:spacing w:line="240" w:lineRule="auto"/>
              <w:jc w:val="both"/>
              <w:rPr>
                <w:rFonts w:hint="default"/>
                <w:vertAlign w:val="baseline"/>
                <w:lang w:val="en-US"/>
              </w:rPr>
            </w:pPr>
            <w:r>
              <w:rPr>
                <w:rFonts w:hint="default"/>
                <w:sz w:val="21"/>
                <w:szCs w:val="21"/>
                <w:vertAlign w:val="baseline"/>
                <w:lang w:val="en-US"/>
              </w:rPr>
              <w:t>29</w:t>
            </w:r>
          </w:p>
        </w:tc>
        <w:tc>
          <w:tcPr>
            <w:tcW w:w="808" w:type="dxa"/>
            <w:vAlign w:val="top"/>
          </w:tcPr>
          <w:p>
            <w:pPr>
              <w:widowControl w:val="0"/>
              <w:spacing w:line="240" w:lineRule="auto"/>
              <w:jc w:val="both"/>
              <w:rPr>
                <w:rFonts w:hint="default"/>
                <w:vertAlign w:val="baseline"/>
                <w:lang w:val="en-US"/>
              </w:rPr>
            </w:pPr>
            <w:r>
              <w:rPr>
                <w:rFonts w:hint="default"/>
                <w:sz w:val="21"/>
                <w:szCs w:val="21"/>
                <w:vertAlign w:val="baseline"/>
                <w:lang w:val="en-US"/>
              </w:rPr>
              <w:t>27</w:t>
            </w:r>
          </w:p>
        </w:tc>
        <w:tc>
          <w:tcPr>
            <w:tcW w:w="1615" w:type="dxa"/>
            <w:vAlign w:val="top"/>
          </w:tcPr>
          <w:p>
            <w:pPr>
              <w:widowControl w:val="0"/>
              <w:spacing w:line="240" w:lineRule="auto"/>
              <w:jc w:val="both"/>
              <w:rPr>
                <w:rFonts w:hint="default"/>
                <w:vertAlign w:val="baseline"/>
                <w:lang w:val="en-US"/>
              </w:rPr>
            </w:pPr>
            <w:r>
              <w:rPr>
                <w:rFonts w:hint="default"/>
                <w:sz w:val="21"/>
                <w:szCs w:val="21"/>
                <w:vertAlign w:val="baseline"/>
                <w:lang w:val="en-US"/>
              </w:rPr>
              <w:t>0%</w:t>
            </w:r>
          </w:p>
        </w:tc>
        <w:tc>
          <w:tcPr>
            <w:tcW w:w="1628" w:type="dxa"/>
            <w:vAlign w:val="top"/>
          </w:tcPr>
          <w:p>
            <w:pPr>
              <w:widowControl w:val="0"/>
              <w:spacing w:line="240" w:lineRule="auto"/>
              <w:jc w:val="both"/>
              <w:rPr>
                <w:rFonts w:hint="default"/>
                <w:vertAlign w:val="baseline"/>
                <w:lang w:val="en-US"/>
              </w:rPr>
            </w:pPr>
            <w:r>
              <w:rPr>
                <w:rFonts w:hint="default"/>
                <w:sz w:val="21"/>
                <w:szCs w:val="21"/>
                <w:vertAlign w:val="baseline"/>
                <w:lang w:val="en-US"/>
              </w:rPr>
              <w:t>-6.89%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9" w:type="dxa"/>
            <w:vAlign w:val="top"/>
          </w:tcPr>
          <w:p>
            <w:pPr>
              <w:widowControl w:val="0"/>
              <w:spacing w:line="240" w:lineRule="auto"/>
              <w:jc w:val="both"/>
              <w:rPr>
                <w:rFonts w:hint="default"/>
                <w:vertAlign w:val="baseline"/>
                <w:lang w:val="en-US"/>
              </w:rPr>
            </w:pPr>
            <w:r>
              <w:rPr>
                <w:rFonts w:hint="default"/>
                <w:sz w:val="21"/>
                <w:szCs w:val="21"/>
                <w:vertAlign w:val="baseline"/>
                <w:lang w:val="en-US"/>
              </w:rPr>
              <w:t>2nd</w:t>
            </w:r>
          </w:p>
        </w:tc>
        <w:tc>
          <w:tcPr>
            <w:tcW w:w="1427" w:type="dxa"/>
            <w:vAlign w:val="top"/>
          </w:tcPr>
          <w:p>
            <w:pPr>
              <w:widowControl w:val="0"/>
              <w:spacing w:line="240" w:lineRule="auto"/>
              <w:jc w:val="both"/>
              <w:rPr>
                <w:rFonts w:hint="default"/>
                <w:vertAlign w:val="baseline"/>
                <w:lang w:val="en-US"/>
              </w:rPr>
            </w:pPr>
            <w:r>
              <w:rPr>
                <w:rFonts w:hint="default"/>
                <w:sz w:val="21"/>
                <w:szCs w:val="21"/>
                <w:vertAlign w:val="baseline"/>
                <w:lang w:val="en-US"/>
              </w:rPr>
              <w:t>26-07-22 to 02-08-22</w:t>
            </w:r>
          </w:p>
        </w:tc>
        <w:tc>
          <w:tcPr>
            <w:tcW w:w="1743" w:type="dxa"/>
            <w:vAlign w:val="top"/>
          </w:tcPr>
          <w:p>
            <w:pPr>
              <w:widowControl w:val="0"/>
              <w:spacing w:line="240" w:lineRule="auto"/>
              <w:jc w:val="both"/>
              <w:rPr>
                <w:vertAlign w:val="baseline"/>
              </w:rPr>
            </w:pPr>
            <w:r>
              <w:rPr>
                <w:rFonts w:hint="default"/>
                <w:sz w:val="21"/>
                <w:szCs w:val="21"/>
                <w:vertAlign w:val="baseline"/>
                <w:lang w:val="en-US"/>
              </w:rPr>
              <w:t>Planning Phase</w:t>
            </w:r>
          </w:p>
        </w:tc>
        <w:tc>
          <w:tcPr>
            <w:tcW w:w="946" w:type="dxa"/>
            <w:vAlign w:val="top"/>
          </w:tcPr>
          <w:p>
            <w:pPr>
              <w:widowControl w:val="0"/>
              <w:spacing w:line="240" w:lineRule="auto"/>
              <w:jc w:val="both"/>
              <w:rPr>
                <w:rFonts w:hint="default"/>
                <w:vertAlign w:val="baseline"/>
                <w:lang w:val="en-US"/>
              </w:rPr>
            </w:pPr>
            <w:r>
              <w:rPr>
                <w:rFonts w:hint="default"/>
                <w:sz w:val="21"/>
                <w:szCs w:val="21"/>
                <w:vertAlign w:val="baseline"/>
                <w:lang w:val="en-US"/>
              </w:rPr>
              <w:t>29</w:t>
            </w:r>
          </w:p>
        </w:tc>
        <w:tc>
          <w:tcPr>
            <w:tcW w:w="888" w:type="dxa"/>
            <w:vAlign w:val="top"/>
          </w:tcPr>
          <w:p>
            <w:pPr>
              <w:widowControl w:val="0"/>
              <w:spacing w:line="240" w:lineRule="auto"/>
              <w:jc w:val="both"/>
              <w:rPr>
                <w:rFonts w:hint="default"/>
                <w:vertAlign w:val="baseline"/>
                <w:lang w:val="en-US"/>
              </w:rPr>
            </w:pPr>
            <w:r>
              <w:rPr>
                <w:rFonts w:hint="default"/>
                <w:sz w:val="21"/>
                <w:szCs w:val="21"/>
                <w:vertAlign w:val="baseline"/>
                <w:lang w:val="en-US"/>
              </w:rPr>
              <w:t>29</w:t>
            </w:r>
          </w:p>
        </w:tc>
        <w:tc>
          <w:tcPr>
            <w:tcW w:w="808" w:type="dxa"/>
            <w:vAlign w:val="top"/>
          </w:tcPr>
          <w:p>
            <w:pPr>
              <w:widowControl w:val="0"/>
              <w:spacing w:line="240" w:lineRule="auto"/>
              <w:jc w:val="both"/>
              <w:rPr>
                <w:rFonts w:hint="default"/>
                <w:vertAlign w:val="baseline"/>
                <w:lang w:val="en-US"/>
              </w:rPr>
            </w:pPr>
            <w:r>
              <w:rPr>
                <w:rFonts w:hint="default"/>
                <w:sz w:val="21"/>
                <w:szCs w:val="21"/>
                <w:vertAlign w:val="baseline"/>
                <w:lang w:val="en-US"/>
              </w:rPr>
              <w:t>27</w:t>
            </w:r>
          </w:p>
        </w:tc>
        <w:tc>
          <w:tcPr>
            <w:tcW w:w="1615" w:type="dxa"/>
            <w:vAlign w:val="top"/>
          </w:tcPr>
          <w:p>
            <w:pPr>
              <w:widowControl w:val="0"/>
              <w:spacing w:line="240" w:lineRule="auto"/>
              <w:jc w:val="both"/>
              <w:rPr>
                <w:rFonts w:hint="default"/>
                <w:vertAlign w:val="baseline"/>
                <w:lang w:val="en-US"/>
              </w:rPr>
            </w:pPr>
            <w:r>
              <w:rPr>
                <w:rFonts w:hint="default"/>
                <w:sz w:val="21"/>
                <w:szCs w:val="21"/>
                <w:vertAlign w:val="baseline"/>
                <w:lang w:val="en-US"/>
              </w:rPr>
              <w:t>0%</w:t>
            </w:r>
          </w:p>
        </w:tc>
        <w:tc>
          <w:tcPr>
            <w:tcW w:w="1628" w:type="dxa"/>
            <w:vAlign w:val="top"/>
          </w:tcPr>
          <w:p>
            <w:pPr>
              <w:widowControl w:val="0"/>
              <w:spacing w:line="240" w:lineRule="auto"/>
              <w:jc w:val="both"/>
              <w:rPr>
                <w:rFonts w:hint="default"/>
                <w:vertAlign w:val="baseline"/>
                <w:lang w:val="en-US"/>
              </w:rPr>
            </w:pPr>
            <w:r>
              <w:rPr>
                <w:rFonts w:hint="default"/>
                <w:sz w:val="21"/>
                <w:szCs w:val="21"/>
                <w:vertAlign w:val="baseline"/>
                <w:lang w:val="en-US"/>
              </w:rPr>
              <w:t>-6.89%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839" w:type="dxa"/>
            <w:vAlign w:val="top"/>
          </w:tcPr>
          <w:p>
            <w:pPr>
              <w:widowControl w:val="0"/>
              <w:spacing w:line="240" w:lineRule="auto"/>
              <w:jc w:val="both"/>
              <w:rPr>
                <w:rFonts w:hint="default"/>
                <w:vertAlign w:val="baseline"/>
                <w:lang w:val="en-US"/>
              </w:rPr>
            </w:pPr>
            <w:r>
              <w:rPr>
                <w:rFonts w:hint="default"/>
                <w:sz w:val="21"/>
                <w:szCs w:val="21"/>
                <w:vertAlign w:val="baseline"/>
                <w:lang w:val="en-US"/>
              </w:rPr>
              <w:t>3rd</w:t>
            </w:r>
          </w:p>
        </w:tc>
        <w:tc>
          <w:tcPr>
            <w:tcW w:w="1427" w:type="dxa"/>
            <w:vAlign w:val="top"/>
          </w:tcPr>
          <w:p>
            <w:pPr>
              <w:widowControl w:val="0"/>
              <w:spacing w:line="240" w:lineRule="auto"/>
              <w:jc w:val="both"/>
              <w:rPr>
                <w:vertAlign w:val="baseline"/>
              </w:rPr>
            </w:pPr>
            <w:r>
              <w:rPr>
                <w:rFonts w:hint="default"/>
                <w:sz w:val="21"/>
                <w:szCs w:val="21"/>
                <w:vertAlign w:val="baseline"/>
                <w:lang w:val="en-US"/>
              </w:rPr>
              <w:t>02-08-22 to 09-08-22</w:t>
            </w:r>
          </w:p>
        </w:tc>
        <w:tc>
          <w:tcPr>
            <w:tcW w:w="1743" w:type="dxa"/>
            <w:vAlign w:val="top"/>
          </w:tcPr>
          <w:p>
            <w:pPr>
              <w:widowControl w:val="0"/>
              <w:spacing w:line="240" w:lineRule="auto"/>
              <w:jc w:val="both"/>
              <w:rPr>
                <w:rFonts w:hint="default"/>
                <w:vertAlign w:val="baseline"/>
                <w:lang w:val="en-US"/>
              </w:rPr>
            </w:pPr>
            <w:r>
              <w:rPr>
                <w:rFonts w:hint="default"/>
                <w:sz w:val="21"/>
                <w:szCs w:val="21"/>
                <w:vertAlign w:val="baseline"/>
                <w:lang w:val="en-US"/>
              </w:rPr>
              <w:t>Design and Implementation</w:t>
            </w:r>
          </w:p>
        </w:tc>
        <w:tc>
          <w:tcPr>
            <w:tcW w:w="946" w:type="dxa"/>
            <w:vAlign w:val="top"/>
          </w:tcPr>
          <w:p>
            <w:pPr>
              <w:widowControl w:val="0"/>
              <w:spacing w:line="240" w:lineRule="auto"/>
              <w:jc w:val="both"/>
              <w:rPr>
                <w:rFonts w:hint="default"/>
                <w:vertAlign w:val="baseline"/>
                <w:lang w:val="en-US"/>
              </w:rPr>
            </w:pPr>
            <w:r>
              <w:rPr>
                <w:rFonts w:hint="default"/>
                <w:sz w:val="21"/>
                <w:szCs w:val="21"/>
                <w:vertAlign w:val="baseline"/>
                <w:lang w:val="en-US"/>
              </w:rPr>
              <w:t>72</w:t>
            </w:r>
          </w:p>
        </w:tc>
        <w:tc>
          <w:tcPr>
            <w:tcW w:w="888" w:type="dxa"/>
            <w:vAlign w:val="top"/>
          </w:tcPr>
          <w:p>
            <w:pPr>
              <w:widowControl w:val="0"/>
              <w:spacing w:line="240" w:lineRule="auto"/>
              <w:jc w:val="both"/>
              <w:rPr>
                <w:rFonts w:hint="default"/>
                <w:vertAlign w:val="baseline"/>
                <w:lang w:val="en-US"/>
              </w:rPr>
            </w:pPr>
            <w:r>
              <w:rPr>
                <w:rFonts w:hint="default"/>
                <w:sz w:val="21"/>
                <w:szCs w:val="21"/>
                <w:vertAlign w:val="baseline"/>
                <w:lang w:val="en-US"/>
              </w:rPr>
              <w:t>74</w:t>
            </w:r>
          </w:p>
        </w:tc>
        <w:tc>
          <w:tcPr>
            <w:tcW w:w="808" w:type="dxa"/>
            <w:vAlign w:val="top"/>
          </w:tcPr>
          <w:p>
            <w:pPr>
              <w:widowControl w:val="0"/>
              <w:spacing w:line="240" w:lineRule="auto"/>
              <w:jc w:val="both"/>
              <w:rPr>
                <w:rFonts w:hint="default"/>
                <w:vertAlign w:val="baseline"/>
                <w:lang w:val="en-US"/>
              </w:rPr>
            </w:pPr>
            <w:r>
              <w:rPr>
                <w:rFonts w:hint="default"/>
                <w:sz w:val="21"/>
                <w:szCs w:val="21"/>
                <w:vertAlign w:val="baseline"/>
                <w:lang w:val="en-US"/>
              </w:rPr>
              <w:t>72</w:t>
            </w:r>
          </w:p>
        </w:tc>
        <w:tc>
          <w:tcPr>
            <w:tcW w:w="1615" w:type="dxa"/>
            <w:vAlign w:val="top"/>
          </w:tcPr>
          <w:p>
            <w:pPr>
              <w:widowControl w:val="0"/>
              <w:spacing w:line="240" w:lineRule="auto"/>
              <w:jc w:val="both"/>
              <w:rPr>
                <w:rFonts w:hint="default"/>
                <w:vertAlign w:val="baseline"/>
                <w:lang w:val="en-US"/>
              </w:rPr>
            </w:pPr>
            <w:r>
              <w:rPr>
                <w:rFonts w:hint="default"/>
                <w:sz w:val="21"/>
                <w:szCs w:val="21"/>
                <w:vertAlign w:val="baseline"/>
                <w:lang w:val="en-US"/>
              </w:rPr>
              <w:t>2.77%</w:t>
            </w:r>
          </w:p>
        </w:tc>
        <w:tc>
          <w:tcPr>
            <w:tcW w:w="1628" w:type="dxa"/>
            <w:vAlign w:val="top"/>
          </w:tcPr>
          <w:p>
            <w:pPr>
              <w:widowControl w:val="0"/>
              <w:spacing w:line="240" w:lineRule="auto"/>
              <w:jc w:val="both"/>
              <w:rPr>
                <w:rFonts w:hint="default"/>
                <w:vertAlign w:val="baseline"/>
                <w:lang w:val="en-US"/>
              </w:rPr>
            </w:pPr>
            <w:r>
              <w:rPr>
                <w:rFonts w:hint="default"/>
                <w:sz w:val="21"/>
                <w:szCs w:val="21"/>
                <w:vertAlign w:val="baseline"/>
                <w:lang w:val="en-US"/>
              </w:rP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9" w:type="dxa"/>
            <w:vAlign w:val="top"/>
          </w:tcPr>
          <w:p>
            <w:pPr>
              <w:widowControl w:val="0"/>
              <w:spacing w:line="240" w:lineRule="auto"/>
              <w:jc w:val="both"/>
              <w:rPr>
                <w:rFonts w:hint="default"/>
                <w:vertAlign w:val="baseline"/>
                <w:lang w:val="en-US"/>
              </w:rPr>
            </w:pPr>
            <w:r>
              <w:rPr>
                <w:rFonts w:hint="default"/>
                <w:sz w:val="21"/>
                <w:szCs w:val="21"/>
                <w:vertAlign w:val="baseline"/>
                <w:lang w:val="en-US"/>
              </w:rPr>
              <w:t>4th</w:t>
            </w:r>
          </w:p>
        </w:tc>
        <w:tc>
          <w:tcPr>
            <w:tcW w:w="1427" w:type="dxa"/>
            <w:vAlign w:val="top"/>
          </w:tcPr>
          <w:p>
            <w:pPr>
              <w:widowControl w:val="0"/>
              <w:spacing w:line="240" w:lineRule="auto"/>
              <w:jc w:val="both"/>
              <w:rPr>
                <w:rFonts w:hint="default"/>
                <w:vertAlign w:val="baseline"/>
                <w:lang w:val="en-US"/>
              </w:rPr>
            </w:pPr>
            <w:r>
              <w:rPr>
                <w:rFonts w:hint="default"/>
                <w:sz w:val="21"/>
                <w:szCs w:val="21"/>
                <w:vertAlign w:val="baseline"/>
                <w:lang w:val="en-US"/>
              </w:rPr>
              <w:t>09-08-22 to 16-08-22</w:t>
            </w:r>
          </w:p>
        </w:tc>
        <w:tc>
          <w:tcPr>
            <w:tcW w:w="1743" w:type="dxa"/>
            <w:vAlign w:val="top"/>
          </w:tcPr>
          <w:p>
            <w:pPr>
              <w:widowControl w:val="0"/>
              <w:spacing w:line="240" w:lineRule="auto"/>
              <w:jc w:val="both"/>
              <w:rPr>
                <w:rFonts w:hint="default"/>
                <w:vertAlign w:val="baseline"/>
                <w:lang w:val="en-US"/>
              </w:rPr>
            </w:pPr>
            <w:r>
              <w:rPr>
                <w:rFonts w:hint="default"/>
                <w:sz w:val="21"/>
                <w:szCs w:val="21"/>
                <w:vertAlign w:val="baseline"/>
                <w:lang w:val="en-US"/>
              </w:rPr>
              <w:t>Testing and integration</w:t>
            </w:r>
          </w:p>
        </w:tc>
        <w:tc>
          <w:tcPr>
            <w:tcW w:w="946" w:type="dxa"/>
            <w:vAlign w:val="top"/>
          </w:tcPr>
          <w:p>
            <w:pPr>
              <w:widowControl w:val="0"/>
              <w:spacing w:line="240" w:lineRule="auto"/>
              <w:jc w:val="both"/>
              <w:rPr>
                <w:rFonts w:hint="default"/>
                <w:vertAlign w:val="baseline"/>
                <w:lang w:val="en-US"/>
              </w:rPr>
            </w:pPr>
            <w:r>
              <w:rPr>
                <w:rFonts w:hint="default"/>
                <w:sz w:val="21"/>
                <w:szCs w:val="21"/>
                <w:vertAlign w:val="baseline"/>
                <w:lang w:val="en-US"/>
              </w:rPr>
              <w:t>76</w:t>
            </w:r>
          </w:p>
        </w:tc>
        <w:tc>
          <w:tcPr>
            <w:tcW w:w="888" w:type="dxa"/>
            <w:vAlign w:val="top"/>
          </w:tcPr>
          <w:p>
            <w:pPr>
              <w:widowControl w:val="0"/>
              <w:spacing w:line="240" w:lineRule="auto"/>
              <w:jc w:val="both"/>
              <w:rPr>
                <w:rFonts w:hint="default"/>
                <w:vertAlign w:val="baseline"/>
                <w:lang w:val="en-US"/>
              </w:rPr>
            </w:pPr>
            <w:r>
              <w:rPr>
                <w:rFonts w:hint="default"/>
                <w:sz w:val="21"/>
                <w:szCs w:val="21"/>
                <w:vertAlign w:val="baseline"/>
                <w:lang w:val="en-US"/>
              </w:rPr>
              <w:t>76</w:t>
            </w:r>
          </w:p>
        </w:tc>
        <w:tc>
          <w:tcPr>
            <w:tcW w:w="808" w:type="dxa"/>
            <w:vAlign w:val="top"/>
          </w:tcPr>
          <w:p>
            <w:pPr>
              <w:widowControl w:val="0"/>
              <w:spacing w:line="240" w:lineRule="auto"/>
              <w:jc w:val="both"/>
              <w:rPr>
                <w:rFonts w:hint="default"/>
                <w:vertAlign w:val="baseline"/>
                <w:lang w:val="en-US"/>
              </w:rPr>
            </w:pPr>
            <w:r>
              <w:rPr>
                <w:rFonts w:hint="default"/>
                <w:sz w:val="21"/>
                <w:szCs w:val="21"/>
                <w:vertAlign w:val="baseline"/>
                <w:lang w:val="en-US"/>
              </w:rPr>
              <w:t>73</w:t>
            </w:r>
          </w:p>
        </w:tc>
        <w:tc>
          <w:tcPr>
            <w:tcW w:w="1615" w:type="dxa"/>
            <w:vAlign w:val="top"/>
          </w:tcPr>
          <w:p>
            <w:pPr>
              <w:widowControl w:val="0"/>
              <w:spacing w:line="240" w:lineRule="auto"/>
              <w:jc w:val="both"/>
              <w:rPr>
                <w:rFonts w:hint="default"/>
                <w:vertAlign w:val="baseline"/>
                <w:lang w:val="en-US"/>
              </w:rPr>
            </w:pPr>
            <w:r>
              <w:rPr>
                <w:rFonts w:hint="default"/>
                <w:sz w:val="21"/>
                <w:szCs w:val="21"/>
                <w:vertAlign w:val="baseline"/>
                <w:lang w:val="en-US"/>
              </w:rPr>
              <w:t>0%</w:t>
            </w:r>
          </w:p>
        </w:tc>
        <w:tc>
          <w:tcPr>
            <w:tcW w:w="1628" w:type="dxa"/>
            <w:vAlign w:val="top"/>
          </w:tcPr>
          <w:p>
            <w:pPr>
              <w:widowControl w:val="0"/>
              <w:spacing w:line="240" w:lineRule="auto"/>
              <w:jc w:val="both"/>
              <w:rPr>
                <w:rFonts w:hint="default"/>
                <w:vertAlign w:val="baseline"/>
                <w:lang w:val="en-US"/>
              </w:rPr>
            </w:pPr>
            <w:r>
              <w:rPr>
                <w:rFonts w:hint="default"/>
                <w:sz w:val="21"/>
                <w:szCs w:val="21"/>
                <w:vertAlign w:val="baseline"/>
                <w:lang w:val="en-US"/>
              </w:rPr>
              <w:t>-3.94%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9" w:type="dxa"/>
            <w:vAlign w:val="top"/>
          </w:tcPr>
          <w:p>
            <w:pPr>
              <w:widowControl w:val="0"/>
              <w:spacing w:line="240" w:lineRule="auto"/>
              <w:jc w:val="both"/>
              <w:rPr>
                <w:rFonts w:hint="default"/>
                <w:vertAlign w:val="baseline"/>
                <w:lang w:val="en-US"/>
              </w:rPr>
            </w:pPr>
            <w:r>
              <w:rPr>
                <w:rFonts w:hint="default"/>
                <w:sz w:val="21"/>
                <w:szCs w:val="21"/>
                <w:vertAlign w:val="baseline"/>
                <w:lang w:val="en-US"/>
              </w:rPr>
              <w:t>5th</w:t>
            </w:r>
          </w:p>
        </w:tc>
        <w:tc>
          <w:tcPr>
            <w:tcW w:w="1427" w:type="dxa"/>
            <w:vAlign w:val="top"/>
          </w:tcPr>
          <w:p>
            <w:pPr>
              <w:widowControl w:val="0"/>
              <w:spacing w:line="240" w:lineRule="auto"/>
              <w:jc w:val="both"/>
              <w:rPr>
                <w:rFonts w:hint="default"/>
                <w:vertAlign w:val="baseline"/>
                <w:lang w:val="en-US"/>
              </w:rPr>
            </w:pPr>
            <w:r>
              <w:rPr>
                <w:rFonts w:hint="default"/>
                <w:sz w:val="21"/>
                <w:szCs w:val="21"/>
                <w:vertAlign w:val="baseline"/>
                <w:lang w:val="en-US"/>
              </w:rPr>
              <w:t>16-08-22 to 23-08-22</w:t>
            </w:r>
          </w:p>
        </w:tc>
        <w:tc>
          <w:tcPr>
            <w:tcW w:w="1743" w:type="dxa"/>
            <w:vAlign w:val="top"/>
          </w:tcPr>
          <w:p>
            <w:pPr>
              <w:widowControl w:val="0"/>
              <w:spacing w:line="240" w:lineRule="auto"/>
              <w:jc w:val="both"/>
              <w:rPr>
                <w:vertAlign w:val="baseline"/>
              </w:rPr>
            </w:pPr>
            <w:r>
              <w:rPr>
                <w:rFonts w:hint="default"/>
                <w:sz w:val="21"/>
                <w:szCs w:val="21"/>
                <w:vertAlign w:val="baseline"/>
                <w:lang w:val="en-US"/>
              </w:rPr>
              <w:t>Testing and integration</w:t>
            </w:r>
          </w:p>
        </w:tc>
        <w:tc>
          <w:tcPr>
            <w:tcW w:w="946" w:type="dxa"/>
            <w:vAlign w:val="top"/>
          </w:tcPr>
          <w:p>
            <w:pPr>
              <w:widowControl w:val="0"/>
              <w:spacing w:line="240" w:lineRule="auto"/>
              <w:jc w:val="both"/>
              <w:rPr>
                <w:rFonts w:hint="default"/>
                <w:vertAlign w:val="baseline"/>
                <w:lang w:val="en-US"/>
              </w:rPr>
            </w:pPr>
            <w:r>
              <w:rPr>
                <w:rFonts w:hint="default"/>
                <w:sz w:val="21"/>
                <w:szCs w:val="21"/>
                <w:vertAlign w:val="baseline"/>
                <w:lang w:val="en-US"/>
              </w:rPr>
              <w:t>112</w:t>
            </w:r>
          </w:p>
        </w:tc>
        <w:tc>
          <w:tcPr>
            <w:tcW w:w="888" w:type="dxa"/>
            <w:vAlign w:val="top"/>
          </w:tcPr>
          <w:p>
            <w:pPr>
              <w:widowControl w:val="0"/>
              <w:spacing w:line="240" w:lineRule="auto"/>
              <w:jc w:val="both"/>
              <w:rPr>
                <w:rFonts w:hint="default"/>
                <w:vertAlign w:val="baseline"/>
                <w:lang w:val="en-US"/>
              </w:rPr>
            </w:pPr>
            <w:r>
              <w:rPr>
                <w:rFonts w:hint="default"/>
                <w:sz w:val="21"/>
                <w:szCs w:val="21"/>
                <w:vertAlign w:val="baseline"/>
                <w:lang w:val="en-US"/>
              </w:rPr>
              <w:t>102</w:t>
            </w:r>
          </w:p>
        </w:tc>
        <w:tc>
          <w:tcPr>
            <w:tcW w:w="808" w:type="dxa"/>
            <w:vAlign w:val="top"/>
          </w:tcPr>
          <w:p>
            <w:pPr>
              <w:widowControl w:val="0"/>
              <w:spacing w:line="240" w:lineRule="auto"/>
              <w:jc w:val="both"/>
              <w:rPr>
                <w:rFonts w:hint="default"/>
                <w:vertAlign w:val="baseline"/>
                <w:lang w:val="en-US"/>
              </w:rPr>
            </w:pPr>
            <w:r>
              <w:rPr>
                <w:rFonts w:hint="default"/>
                <w:sz w:val="21"/>
                <w:szCs w:val="21"/>
                <w:vertAlign w:val="baseline"/>
                <w:lang w:val="en-US"/>
              </w:rPr>
              <w:t>100</w:t>
            </w:r>
          </w:p>
        </w:tc>
        <w:tc>
          <w:tcPr>
            <w:tcW w:w="1615" w:type="dxa"/>
            <w:vAlign w:val="top"/>
          </w:tcPr>
          <w:p>
            <w:pPr>
              <w:widowControl w:val="0"/>
              <w:spacing w:line="240" w:lineRule="auto"/>
              <w:jc w:val="both"/>
              <w:rPr>
                <w:rFonts w:hint="default"/>
                <w:vertAlign w:val="baseline"/>
                <w:lang w:val="en-US"/>
              </w:rPr>
            </w:pPr>
            <w:r>
              <w:rPr>
                <w:rFonts w:hint="default"/>
                <w:sz w:val="21"/>
                <w:szCs w:val="21"/>
                <w:vertAlign w:val="baseline"/>
                <w:lang w:val="en-US"/>
              </w:rPr>
              <w:t>-8.9%</w:t>
            </w:r>
          </w:p>
        </w:tc>
        <w:tc>
          <w:tcPr>
            <w:tcW w:w="1628" w:type="dxa"/>
            <w:vAlign w:val="top"/>
          </w:tcPr>
          <w:p>
            <w:pPr>
              <w:widowControl w:val="0"/>
              <w:spacing w:line="240" w:lineRule="auto"/>
              <w:jc w:val="both"/>
              <w:rPr>
                <w:rFonts w:hint="default"/>
                <w:vertAlign w:val="baseline"/>
                <w:lang w:val="en-US"/>
              </w:rPr>
            </w:pPr>
            <w:r>
              <w:rPr>
                <w:rFonts w:hint="default"/>
                <w:sz w:val="21"/>
                <w:szCs w:val="21"/>
                <w:vertAlign w:val="baseline"/>
                <w:lang w:val="en-US"/>
              </w:rPr>
              <w:t>-1.96%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9" w:type="dxa"/>
            <w:vAlign w:val="top"/>
          </w:tcPr>
          <w:p>
            <w:pPr>
              <w:widowControl w:val="0"/>
              <w:spacing w:line="240" w:lineRule="auto"/>
              <w:jc w:val="both"/>
              <w:rPr>
                <w:rFonts w:hint="default"/>
                <w:vertAlign w:val="baseline"/>
                <w:lang w:val="en-US"/>
              </w:rPr>
            </w:pPr>
            <w:r>
              <w:rPr>
                <w:rFonts w:hint="default"/>
                <w:sz w:val="21"/>
                <w:szCs w:val="21"/>
                <w:vertAlign w:val="baseline"/>
                <w:lang w:val="en-US"/>
              </w:rPr>
              <w:t>6th</w:t>
            </w:r>
          </w:p>
        </w:tc>
        <w:tc>
          <w:tcPr>
            <w:tcW w:w="1427" w:type="dxa"/>
            <w:vAlign w:val="top"/>
          </w:tcPr>
          <w:p>
            <w:pPr>
              <w:widowControl w:val="0"/>
              <w:spacing w:line="240" w:lineRule="auto"/>
              <w:jc w:val="both"/>
              <w:rPr>
                <w:rFonts w:hint="default"/>
                <w:vertAlign w:val="baseline"/>
                <w:lang w:val="en-US"/>
              </w:rPr>
            </w:pPr>
            <w:r>
              <w:rPr>
                <w:rFonts w:hint="default"/>
                <w:sz w:val="21"/>
                <w:szCs w:val="21"/>
                <w:vertAlign w:val="baseline"/>
                <w:lang w:val="en-US"/>
              </w:rPr>
              <w:t>23-08-22 to 30-08-22</w:t>
            </w:r>
          </w:p>
        </w:tc>
        <w:tc>
          <w:tcPr>
            <w:tcW w:w="1743" w:type="dxa"/>
            <w:vAlign w:val="top"/>
          </w:tcPr>
          <w:p>
            <w:pPr>
              <w:widowControl w:val="0"/>
              <w:spacing w:line="240" w:lineRule="auto"/>
              <w:jc w:val="both"/>
              <w:rPr>
                <w:rFonts w:hint="default"/>
                <w:vertAlign w:val="baseline"/>
                <w:lang w:val="en-US"/>
              </w:rPr>
            </w:pPr>
            <w:r>
              <w:rPr>
                <w:rFonts w:hint="default"/>
                <w:sz w:val="21"/>
                <w:szCs w:val="21"/>
                <w:vertAlign w:val="baseline"/>
                <w:lang w:val="en-US"/>
              </w:rPr>
              <w:t>Validation Phase , Closure</w:t>
            </w:r>
          </w:p>
        </w:tc>
        <w:tc>
          <w:tcPr>
            <w:tcW w:w="946" w:type="dxa"/>
            <w:vAlign w:val="top"/>
          </w:tcPr>
          <w:p>
            <w:pPr>
              <w:widowControl w:val="0"/>
              <w:spacing w:line="240" w:lineRule="auto"/>
              <w:jc w:val="both"/>
              <w:rPr>
                <w:rFonts w:hint="default"/>
                <w:vertAlign w:val="baseline"/>
                <w:lang w:val="en-US"/>
              </w:rPr>
            </w:pPr>
            <w:r>
              <w:rPr>
                <w:rFonts w:hint="default"/>
                <w:sz w:val="21"/>
                <w:szCs w:val="21"/>
                <w:vertAlign w:val="baseline"/>
                <w:lang w:val="en-US"/>
              </w:rPr>
              <w:t>156</w:t>
            </w:r>
          </w:p>
        </w:tc>
        <w:tc>
          <w:tcPr>
            <w:tcW w:w="888" w:type="dxa"/>
            <w:vAlign w:val="top"/>
          </w:tcPr>
          <w:p>
            <w:pPr>
              <w:widowControl w:val="0"/>
              <w:spacing w:line="240" w:lineRule="auto"/>
              <w:jc w:val="both"/>
              <w:rPr>
                <w:rFonts w:hint="default"/>
                <w:vertAlign w:val="baseline"/>
                <w:lang w:val="en-US"/>
              </w:rPr>
            </w:pPr>
            <w:r>
              <w:rPr>
                <w:rFonts w:hint="default"/>
                <w:sz w:val="21"/>
                <w:szCs w:val="21"/>
                <w:vertAlign w:val="baseline"/>
                <w:lang w:val="en-US"/>
              </w:rPr>
              <w:t>142</w:t>
            </w:r>
          </w:p>
        </w:tc>
        <w:tc>
          <w:tcPr>
            <w:tcW w:w="808" w:type="dxa"/>
            <w:vAlign w:val="top"/>
          </w:tcPr>
          <w:p>
            <w:pPr>
              <w:widowControl w:val="0"/>
              <w:spacing w:line="240" w:lineRule="auto"/>
              <w:jc w:val="both"/>
              <w:rPr>
                <w:rFonts w:hint="default"/>
                <w:vertAlign w:val="baseline"/>
                <w:lang w:val="en-US"/>
              </w:rPr>
            </w:pPr>
            <w:r>
              <w:rPr>
                <w:rFonts w:hint="default"/>
                <w:sz w:val="21"/>
                <w:szCs w:val="21"/>
                <w:vertAlign w:val="baseline"/>
                <w:lang w:val="en-US"/>
              </w:rPr>
              <w:t>153</w:t>
            </w:r>
          </w:p>
        </w:tc>
        <w:tc>
          <w:tcPr>
            <w:tcW w:w="1615" w:type="dxa"/>
            <w:vAlign w:val="top"/>
          </w:tcPr>
          <w:p>
            <w:pPr>
              <w:widowControl w:val="0"/>
              <w:spacing w:line="240" w:lineRule="auto"/>
              <w:jc w:val="both"/>
              <w:rPr>
                <w:rFonts w:hint="default"/>
                <w:vertAlign w:val="baseline"/>
                <w:lang w:val="en-US"/>
              </w:rPr>
            </w:pPr>
            <w:r>
              <w:rPr>
                <w:rFonts w:hint="default"/>
                <w:sz w:val="21"/>
                <w:szCs w:val="21"/>
                <w:vertAlign w:val="baseline"/>
                <w:lang w:val="en-US"/>
              </w:rPr>
              <w:t>-8.97%</w:t>
            </w:r>
          </w:p>
        </w:tc>
        <w:tc>
          <w:tcPr>
            <w:tcW w:w="1628" w:type="dxa"/>
            <w:vAlign w:val="top"/>
          </w:tcPr>
          <w:p>
            <w:pPr>
              <w:widowControl w:val="0"/>
              <w:spacing w:line="240" w:lineRule="auto"/>
              <w:jc w:val="both"/>
              <w:rPr>
                <w:rFonts w:hint="default"/>
                <w:vertAlign w:val="baseline"/>
                <w:lang w:val="en-US"/>
              </w:rPr>
            </w:pPr>
            <w:r>
              <w:rPr>
                <w:rFonts w:hint="default"/>
                <w:sz w:val="21"/>
                <w:szCs w:val="21"/>
                <w:vertAlign w:val="baseline"/>
                <w:lang w:val="en-US"/>
              </w:rPr>
              <w:t>7.74%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9" w:type="dxa"/>
            <w:vAlign w:val="top"/>
          </w:tcPr>
          <w:p>
            <w:pPr>
              <w:widowControl w:val="0"/>
              <w:jc w:val="both"/>
              <w:rPr>
                <w:rFonts w:hint="default"/>
                <w:color w:val="FF0000"/>
                <w:vertAlign w:val="baseline"/>
                <w:lang w:val="en-US"/>
              </w:rPr>
            </w:pPr>
            <w:r>
              <w:rPr>
                <w:rFonts w:hint="default"/>
                <w:color w:val="FF0000"/>
                <w:vertAlign w:val="baseline"/>
                <w:lang w:val="en-US"/>
              </w:rPr>
              <w:t>7th</w:t>
            </w:r>
          </w:p>
        </w:tc>
        <w:tc>
          <w:tcPr>
            <w:tcW w:w="1427" w:type="dxa"/>
            <w:vAlign w:val="top"/>
          </w:tcPr>
          <w:p>
            <w:pPr>
              <w:widowControl w:val="0"/>
              <w:jc w:val="both"/>
              <w:rPr>
                <w:rFonts w:hint="default"/>
                <w:color w:val="FF0000"/>
                <w:vertAlign w:val="baseline"/>
                <w:lang w:val="en-US"/>
              </w:rPr>
            </w:pPr>
            <w:r>
              <w:rPr>
                <w:rFonts w:hint="default"/>
                <w:color w:val="FF0000"/>
                <w:vertAlign w:val="baseline"/>
                <w:lang w:val="en-US"/>
              </w:rPr>
              <w:t>30-8-22 to 3-09-22</w:t>
            </w:r>
          </w:p>
        </w:tc>
        <w:tc>
          <w:tcPr>
            <w:tcW w:w="1743" w:type="dxa"/>
            <w:vAlign w:val="top"/>
          </w:tcPr>
          <w:p>
            <w:pPr>
              <w:widowControl w:val="0"/>
              <w:jc w:val="both"/>
              <w:rPr>
                <w:rFonts w:hint="default"/>
                <w:color w:val="FF0000"/>
                <w:vertAlign w:val="baseline"/>
                <w:lang w:val="en-US"/>
              </w:rPr>
            </w:pPr>
            <w:r>
              <w:rPr>
                <w:rFonts w:hint="default"/>
                <w:color w:val="FF0000"/>
                <w:vertAlign w:val="baseline"/>
                <w:lang w:val="en-US"/>
              </w:rPr>
              <w:t>Closure</w:t>
            </w:r>
          </w:p>
        </w:tc>
        <w:tc>
          <w:tcPr>
            <w:tcW w:w="946" w:type="dxa"/>
            <w:vAlign w:val="top"/>
          </w:tcPr>
          <w:p>
            <w:pPr>
              <w:widowControl w:val="0"/>
              <w:jc w:val="both"/>
              <w:rPr>
                <w:rFonts w:hint="default"/>
                <w:color w:val="FF0000"/>
                <w:vertAlign w:val="baseline"/>
                <w:lang w:val="en-US"/>
              </w:rPr>
            </w:pPr>
            <w:r>
              <w:rPr>
                <w:rFonts w:hint="default"/>
                <w:color w:val="FF0000"/>
                <w:vertAlign w:val="baseline"/>
                <w:lang w:val="en-US"/>
              </w:rPr>
              <w:t>156</w:t>
            </w:r>
          </w:p>
        </w:tc>
        <w:tc>
          <w:tcPr>
            <w:tcW w:w="888" w:type="dxa"/>
            <w:vAlign w:val="top"/>
          </w:tcPr>
          <w:p>
            <w:pPr>
              <w:widowControl w:val="0"/>
              <w:jc w:val="both"/>
              <w:rPr>
                <w:rFonts w:hint="default"/>
                <w:color w:val="FF0000"/>
                <w:vertAlign w:val="baseline"/>
                <w:lang w:val="en-US"/>
              </w:rPr>
            </w:pPr>
            <w:r>
              <w:rPr>
                <w:rFonts w:hint="default"/>
                <w:color w:val="FF0000"/>
                <w:vertAlign w:val="baseline"/>
                <w:lang w:val="en-US"/>
              </w:rPr>
              <w:t>156</w:t>
            </w:r>
          </w:p>
        </w:tc>
        <w:tc>
          <w:tcPr>
            <w:tcW w:w="808" w:type="dxa"/>
            <w:vAlign w:val="top"/>
          </w:tcPr>
          <w:p>
            <w:pPr>
              <w:widowControl w:val="0"/>
              <w:jc w:val="both"/>
              <w:rPr>
                <w:rFonts w:hint="default"/>
                <w:color w:val="FF0000"/>
                <w:vertAlign w:val="baseline"/>
                <w:lang w:val="en-US"/>
              </w:rPr>
            </w:pPr>
            <w:r>
              <w:rPr>
                <w:rFonts w:hint="default"/>
                <w:color w:val="FF0000"/>
                <w:vertAlign w:val="baseline"/>
                <w:lang w:val="en-US"/>
              </w:rPr>
              <w:t>175</w:t>
            </w:r>
          </w:p>
        </w:tc>
        <w:tc>
          <w:tcPr>
            <w:tcW w:w="1615" w:type="dxa"/>
            <w:vAlign w:val="top"/>
          </w:tcPr>
          <w:p>
            <w:pPr>
              <w:widowControl w:val="0"/>
              <w:jc w:val="both"/>
              <w:rPr>
                <w:rFonts w:hint="default"/>
                <w:color w:val="FF0000"/>
                <w:vertAlign w:val="baseline"/>
                <w:lang w:val="en-US"/>
              </w:rPr>
            </w:pPr>
            <w:r>
              <w:rPr>
                <w:rFonts w:hint="default"/>
                <w:color w:val="FF0000"/>
                <w:vertAlign w:val="baseline"/>
                <w:lang w:val="en-US"/>
              </w:rPr>
              <w:t>0%</w:t>
            </w:r>
          </w:p>
        </w:tc>
        <w:tc>
          <w:tcPr>
            <w:tcW w:w="1628" w:type="dxa"/>
            <w:vAlign w:val="top"/>
          </w:tcPr>
          <w:p>
            <w:pPr>
              <w:widowControl w:val="0"/>
              <w:jc w:val="both"/>
              <w:rPr>
                <w:rFonts w:hint="default"/>
                <w:color w:val="FF0000"/>
                <w:vertAlign w:val="baseline"/>
                <w:lang w:val="en-US"/>
              </w:rPr>
            </w:pPr>
            <w:r>
              <w:rPr>
                <w:rFonts w:hint="default"/>
                <w:color w:val="FF0000"/>
                <w:vertAlign w:val="baseline"/>
                <w:lang w:val="en-US"/>
              </w:rPr>
              <w:t>12.17%</w:t>
            </w:r>
          </w:p>
        </w:tc>
      </w:tr>
    </w:tbl>
    <w:p/>
    <w:p>
      <w:r>
        <w:rPr>
          <w:rFonts w:hint="default"/>
          <w:lang w:val="en-US"/>
        </w:rPr>
        <w:tab/>
      </w:r>
      <w:r>
        <w:t xml:space="preserve">The schedule variance found </w:t>
      </w:r>
      <w:r>
        <w:rPr>
          <w:rFonts w:hint="default"/>
          <w:lang w:val="en-US"/>
        </w:rPr>
        <w:t>-8.97</w:t>
      </w:r>
      <w:r>
        <w:t xml:space="preserve">% in negative side , we </w:t>
      </w:r>
      <w:r>
        <w:rPr>
          <w:rFonts w:hint="default"/>
          <w:lang w:val="en-US"/>
        </w:rPr>
        <w:t xml:space="preserve">will </w:t>
      </w:r>
      <w:r>
        <w:t xml:space="preserve">achieve target of this phase </w:t>
      </w:r>
      <w:r>
        <w:rPr>
          <w:rFonts w:hint="default"/>
          <w:lang w:val="en-US"/>
        </w:rPr>
        <w:t xml:space="preserve">after </w:t>
      </w:r>
      <w:r>
        <w:t>time and got variance in under limit.</w:t>
      </w:r>
    </w:p>
    <w:p>
      <w:pPr>
        <w:ind w:firstLine="720" w:firstLineChars="0"/>
        <w:rPr>
          <w:rFonts w:hint="default"/>
          <w:lang w:val="en-US"/>
        </w:rPr>
      </w:pPr>
      <w:r>
        <w:t xml:space="preserve">The </w:t>
      </w:r>
      <w:r>
        <w:rPr>
          <w:rFonts w:hint="default"/>
          <w:lang w:val="en-US"/>
        </w:rPr>
        <w:t>Cost</w:t>
      </w:r>
      <w:r>
        <w:t xml:space="preserve"> variance found </w:t>
      </w:r>
      <w:r>
        <w:rPr>
          <w:rFonts w:hint="default"/>
          <w:lang w:val="en-US"/>
        </w:rPr>
        <w:t>12.1</w:t>
      </w:r>
      <w:r>
        <w:t xml:space="preserve">% in </w:t>
      </w:r>
      <w:r>
        <w:rPr>
          <w:rFonts w:hint="default"/>
          <w:lang w:val="en-US"/>
        </w:rPr>
        <w:t>positive</w:t>
      </w:r>
      <w:r>
        <w:t xml:space="preserve"> side , we </w:t>
      </w:r>
      <w:r>
        <w:rPr>
          <w:rFonts w:hint="default"/>
          <w:lang w:val="en-US"/>
        </w:rPr>
        <w:t xml:space="preserve">will </w:t>
      </w:r>
      <w:r>
        <w:t xml:space="preserve">achieve target </w:t>
      </w:r>
      <w:r>
        <w:rPr>
          <w:rFonts w:hint="default"/>
          <w:lang w:val="en-US"/>
        </w:rPr>
        <w:t xml:space="preserve">in 175 person hours </w:t>
      </w:r>
      <w:r>
        <w:t xml:space="preserve"> </w:t>
      </w:r>
      <w:r>
        <w:rPr>
          <w:rFonts w:hint="default"/>
          <w:lang w:val="en-US"/>
        </w:rPr>
        <w:t>after the schedule time</w:t>
      </w:r>
      <w:r>
        <w:t xml:space="preserve"> and got variance in under limit.</w:t>
      </w:r>
    </w:p>
    <w:p>
      <w:pPr>
        <w:pStyle w:val="3"/>
        <w:numPr>
          <w:ilvl w:val="1"/>
          <w:numId w:val="1"/>
        </w:numPr>
      </w:pPr>
      <w:bookmarkStart w:id="5" w:name="_Toc24328"/>
      <w:r>
        <w:t>Corrective Actions</w:t>
      </w:r>
      <w:bookmarkEnd w:id="5"/>
    </w:p>
    <w:p>
      <w:r>
        <w:t>Not Required.</w:t>
      </w:r>
    </w:p>
    <w:p/>
    <w:p>
      <w:pPr>
        <w:rPr>
          <w:b/>
        </w:rPr>
      </w:pPr>
      <w:r>
        <w:rPr>
          <w:b/>
        </w:rPr>
        <w:t xml:space="preserve">The overall schedule variance : As total planned </w:t>
      </w:r>
      <w:r>
        <w:rPr>
          <w:rFonts w:hint="default"/>
          <w:b/>
          <w:lang w:val="en-US"/>
        </w:rPr>
        <w:t>value</w:t>
      </w:r>
      <w:r>
        <w:rPr>
          <w:b/>
        </w:rPr>
        <w:t xml:space="preserve"> was </w:t>
      </w:r>
      <w:r>
        <w:rPr>
          <w:rFonts w:hint="default"/>
          <w:b/>
          <w:lang w:val="en-US"/>
        </w:rPr>
        <w:t xml:space="preserve">156 at on date 31 Aug 2022 </w:t>
      </w:r>
      <w:r>
        <w:rPr>
          <w:b/>
        </w:rPr>
        <w:t xml:space="preserve"> and we </w:t>
      </w:r>
      <w:r>
        <w:rPr>
          <w:rFonts w:hint="default"/>
          <w:b/>
          <w:lang w:val="en-US"/>
        </w:rPr>
        <w:t>will</w:t>
      </w:r>
      <w:r>
        <w:rPr>
          <w:b/>
        </w:rPr>
        <w:t xml:space="preserve"> </w:t>
      </w:r>
      <w:r>
        <w:rPr>
          <w:rFonts w:hint="default"/>
          <w:b/>
          <w:lang w:val="en-US"/>
        </w:rPr>
        <w:t>cover up to 2 Sep.</w:t>
      </w:r>
      <w:r>
        <w:rPr>
          <w:b/>
        </w:rPr>
        <w:t xml:space="preserve"> so overall schedule variance is -</w:t>
      </w:r>
      <w:r>
        <w:rPr>
          <w:rFonts w:hint="default"/>
          <w:b/>
          <w:lang w:val="en-US"/>
        </w:rPr>
        <w:t>8.97%</w:t>
      </w:r>
      <w:r>
        <w:rPr>
          <w:b/>
        </w:rPr>
        <w:t>%, which is under limit of our measurement goal.</w:t>
      </w:r>
    </w:p>
    <w:p>
      <w:r>
        <w:rPr>
          <w:b/>
        </w:rPr>
        <w:t xml:space="preserve">The overall </w:t>
      </w:r>
      <w:r>
        <w:rPr>
          <w:rFonts w:hint="default"/>
          <w:b/>
          <w:lang w:val="en-US"/>
        </w:rPr>
        <w:t>cost</w:t>
      </w:r>
      <w:r>
        <w:rPr>
          <w:b/>
        </w:rPr>
        <w:t xml:space="preserve"> variance : As total planned </w:t>
      </w:r>
      <w:r>
        <w:rPr>
          <w:rFonts w:hint="default"/>
          <w:b/>
          <w:lang w:val="en-US"/>
        </w:rPr>
        <w:t>value</w:t>
      </w:r>
      <w:r>
        <w:rPr>
          <w:b/>
        </w:rPr>
        <w:t xml:space="preserve"> was </w:t>
      </w:r>
      <w:r>
        <w:rPr>
          <w:rFonts w:hint="default"/>
          <w:b/>
          <w:lang w:val="en-US"/>
        </w:rPr>
        <w:t>156</w:t>
      </w:r>
      <w:r>
        <w:rPr>
          <w:b/>
        </w:rPr>
        <w:t xml:space="preserve"> </w:t>
      </w:r>
      <w:r>
        <w:rPr>
          <w:rFonts w:hint="default"/>
          <w:b/>
          <w:lang w:val="en-US"/>
        </w:rPr>
        <w:t xml:space="preserve"> at on date 31 Aug 2022 </w:t>
      </w:r>
      <w:r>
        <w:rPr>
          <w:b/>
        </w:rPr>
        <w:t xml:space="preserve"> and we </w:t>
      </w:r>
      <w:r>
        <w:rPr>
          <w:rFonts w:hint="default"/>
          <w:b/>
          <w:lang w:val="en-US"/>
        </w:rPr>
        <w:t>will</w:t>
      </w:r>
      <w:r>
        <w:rPr>
          <w:b/>
        </w:rPr>
        <w:t xml:space="preserve"> </w:t>
      </w:r>
      <w:r>
        <w:rPr>
          <w:rFonts w:hint="default"/>
          <w:b/>
          <w:lang w:val="en-US"/>
        </w:rPr>
        <w:t>cover it up to 175.</w:t>
      </w:r>
      <w:r>
        <w:rPr>
          <w:b/>
        </w:rPr>
        <w:t xml:space="preserve"> so overall </w:t>
      </w:r>
      <w:r>
        <w:rPr>
          <w:rFonts w:hint="default"/>
          <w:b/>
          <w:lang w:val="en-US"/>
        </w:rPr>
        <w:t>cost</w:t>
      </w:r>
      <w:r>
        <w:rPr>
          <w:b/>
        </w:rPr>
        <w:t xml:space="preserve"> variance is </w:t>
      </w:r>
      <w:r>
        <w:rPr>
          <w:rFonts w:hint="default"/>
          <w:b/>
          <w:lang w:val="en-US"/>
        </w:rPr>
        <w:t>12.17</w:t>
      </w:r>
      <w:r>
        <w:rPr>
          <w:b/>
        </w:rPr>
        <w:t>%, which is under limit of our measurement goal.</w:t>
      </w:r>
    </w:p>
    <w:p>
      <w:pPr>
        <w:pStyle w:val="2"/>
        <w:numPr>
          <w:ilvl w:val="0"/>
          <w:numId w:val="1"/>
        </w:numPr>
      </w:pPr>
      <w:bookmarkStart w:id="6" w:name="_Toc449713654"/>
      <w:bookmarkStart w:id="7" w:name="_Toc8155"/>
      <w:r>
        <w:t>Product Defect Density</w:t>
      </w:r>
      <w:bookmarkEnd w:id="6"/>
      <w:bookmarkEnd w:id="7"/>
    </w:p>
    <w:p>
      <w:pPr>
        <w:rPr>
          <w:rStyle w:val="29"/>
          <w:i w:val="0"/>
          <w:color w:val="auto"/>
        </w:rPr>
      </w:pPr>
      <w:r>
        <w:rPr>
          <w:rStyle w:val="29"/>
          <w:i w:val="0"/>
          <w:color w:val="000000" w:themeColor="text1"/>
          <w:lang w:val="en-US"/>
        </w:rPr>
        <w:t>The product defect density found 0.</w:t>
      </w:r>
      <w:r>
        <w:rPr>
          <w:rStyle w:val="29"/>
          <w:rFonts w:hint="default"/>
          <w:i w:val="0"/>
          <w:color w:val="000000" w:themeColor="text1"/>
          <w:lang w:val="en-US"/>
        </w:rPr>
        <w:t>038</w:t>
      </w:r>
      <w:r>
        <w:rPr>
          <w:rStyle w:val="29"/>
          <w:i w:val="0"/>
          <w:color w:val="000000" w:themeColor="text1"/>
          <w:lang w:val="en-US"/>
        </w:rPr>
        <w:t xml:space="preserve">, whereas measurement goal was </w:t>
      </w:r>
      <w:r>
        <w:rPr>
          <w:rStyle w:val="29"/>
          <w:i w:val="0"/>
          <w:color w:val="auto"/>
        </w:rPr>
        <w:t>0.</w:t>
      </w:r>
      <w:r>
        <w:rPr>
          <w:rStyle w:val="29"/>
          <w:rFonts w:hint="default"/>
          <w:i w:val="0"/>
          <w:color w:val="auto"/>
          <w:lang w:val="en-US"/>
        </w:rPr>
        <w:t>10</w:t>
      </w:r>
      <w:r>
        <w:rPr>
          <w:rStyle w:val="29"/>
          <w:rFonts w:cstheme="minorHAnsi"/>
          <w:i w:val="0"/>
          <w:color w:val="auto"/>
        </w:rPr>
        <w:t>±0.0</w:t>
      </w:r>
      <w:r>
        <w:rPr>
          <w:rStyle w:val="29"/>
          <w:rFonts w:hint="default" w:cstheme="minorHAnsi"/>
          <w:i w:val="0"/>
          <w:color w:val="auto"/>
          <w:lang w:val="en-US"/>
        </w:rPr>
        <w:t>2</w:t>
      </w:r>
      <w:r>
        <w:rPr>
          <w:rStyle w:val="29"/>
          <w:rFonts w:cstheme="minorHAnsi"/>
          <w:i w:val="0"/>
          <w:color w:val="auto"/>
        </w:rPr>
        <w:t xml:space="preserve">. So it is little bit out of limit in lower side. The total efforts expended on this project  is </w:t>
      </w:r>
      <w:r>
        <w:rPr>
          <w:rStyle w:val="29"/>
          <w:rFonts w:hint="default" w:cstheme="minorHAnsi"/>
          <w:i w:val="0"/>
          <w:color w:val="auto"/>
          <w:lang w:val="en-US"/>
        </w:rPr>
        <w:t>157</w:t>
      </w:r>
      <w:r>
        <w:rPr>
          <w:rStyle w:val="29"/>
          <w:rFonts w:cstheme="minorHAnsi"/>
          <w:i w:val="0"/>
          <w:color w:val="auto"/>
        </w:rPr>
        <w:t xml:space="preserve"> person hrs. This means that in every </w:t>
      </w:r>
      <w:r>
        <w:rPr>
          <w:rStyle w:val="29"/>
          <w:rFonts w:hint="default" w:cstheme="minorHAnsi"/>
          <w:i w:val="0"/>
          <w:color w:val="auto"/>
          <w:lang w:val="en-US"/>
        </w:rPr>
        <w:t>26</w:t>
      </w:r>
      <w:r>
        <w:rPr>
          <w:rStyle w:val="29"/>
          <w:rFonts w:cstheme="minorHAnsi"/>
          <w:i w:val="0"/>
          <w:color w:val="auto"/>
        </w:rPr>
        <w:t xml:space="preserve"> person hrs one functional defect came in this project.</w:t>
      </w:r>
    </w:p>
    <w:p/>
    <w:p>
      <w:pPr>
        <w:pStyle w:val="3"/>
        <w:numPr>
          <w:ilvl w:val="1"/>
          <w:numId w:val="1"/>
        </w:numPr>
      </w:pPr>
      <w:bookmarkStart w:id="8" w:name="_Toc18584"/>
      <w:bookmarkStart w:id="9" w:name="_Toc449713655"/>
      <w:r>
        <w:t>Corrective Actions</w:t>
      </w:r>
      <w:bookmarkEnd w:id="8"/>
    </w:p>
    <w:p>
      <w:r>
        <w:t xml:space="preserve">As this defect density documented during closure after validation so correction actions not applicable for this particular </w:t>
      </w:r>
      <w:r>
        <w:rPr>
          <w:lang w:val="en-US"/>
        </w:rPr>
        <w:t>project</w:t>
      </w:r>
      <w:r>
        <w:t xml:space="preserve">, but may help to future projects. But I monitored the defect density during </w:t>
      </w:r>
      <w:r>
        <w:rPr>
          <w:lang w:val="en-US"/>
        </w:rPr>
        <w:t>thorough</w:t>
      </w:r>
      <w:r>
        <w:t xml:space="preserve"> life cycle, and did defect analysis 2 times, as after  validation, most of the defects observed during </w:t>
      </w:r>
      <w:r>
        <w:rPr>
          <w:rFonts w:hint="default"/>
          <w:lang w:val="en-US"/>
        </w:rPr>
        <w:t xml:space="preserve">Testing </w:t>
      </w:r>
      <w:r>
        <w:t xml:space="preserve">. And also previous project </w:t>
      </w:r>
      <w:r>
        <w:rPr>
          <w:lang w:val="en-US"/>
        </w:rPr>
        <w:t>learning</w:t>
      </w:r>
      <w:r>
        <w:t xml:space="preserve"> helped in this project. Now as organization goal decided for product defect density as </w:t>
      </w:r>
      <w:r>
        <w:rPr>
          <w:rStyle w:val="29"/>
          <w:i w:val="0"/>
          <w:color w:val="auto"/>
        </w:rPr>
        <w:t>0.1</w:t>
      </w:r>
      <w:r>
        <w:rPr>
          <w:rStyle w:val="29"/>
          <w:rFonts w:hint="default"/>
          <w:i w:val="0"/>
          <w:color w:val="auto"/>
          <w:lang w:val="en-US"/>
        </w:rPr>
        <w:t>0</w:t>
      </w:r>
      <w:r>
        <w:rPr>
          <w:rStyle w:val="29"/>
          <w:rFonts w:cstheme="minorHAnsi"/>
          <w:i w:val="0"/>
          <w:color w:val="auto"/>
        </w:rPr>
        <w:t>±0.02, and my product defect density came in this range, so I’ll continue this in next projects also.</w:t>
      </w:r>
    </w:p>
    <w:p>
      <w:pPr>
        <w:pStyle w:val="3"/>
        <w:numPr>
          <w:ilvl w:val="1"/>
          <w:numId w:val="1"/>
        </w:numPr>
      </w:pPr>
      <w:bookmarkStart w:id="10" w:name="_Toc449713656"/>
      <w:bookmarkStart w:id="11" w:name="_Toc30452"/>
      <w:r>
        <w:t>Root Cause Analysis</w:t>
      </w:r>
      <w:bookmarkEnd w:id="10"/>
      <w:bookmarkEnd w:id="11"/>
    </w:p>
    <w:p>
      <w:pPr>
        <w:rPr>
          <w:rFonts w:hint="default"/>
          <w:lang w:val="en-US"/>
        </w:rPr>
      </w:pPr>
      <w:r>
        <w:t xml:space="preserve">The most defects observed during review of work products like functional specification, project plan, system test cases etc. The root cause analysis done for that refer below </w:t>
      </w:r>
      <w:r>
        <w:rPr>
          <w:rFonts w:hint="default"/>
          <w:lang w:val="en-US"/>
        </w:rPr>
        <w:t>table</w:t>
      </w:r>
    </w:p>
    <w:p>
      <w:pPr>
        <w:rPr>
          <w:rFonts w:hint="default"/>
          <w:lang w:val="en-US"/>
        </w:rPr>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2"/>
        <w:gridCol w:w="1661"/>
        <w:gridCol w:w="1795"/>
        <w:gridCol w:w="1596"/>
        <w:gridCol w:w="1596"/>
        <w:gridCol w:w="1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dxa"/>
          </w:tcPr>
          <w:p>
            <w:pPr>
              <w:widowControl w:val="0"/>
              <w:jc w:val="both"/>
              <w:rPr>
                <w:rFonts w:hint="default"/>
                <w:vertAlign w:val="baseline"/>
                <w:lang w:val="en-US"/>
              </w:rPr>
            </w:pPr>
            <w:r>
              <w:rPr>
                <w:rFonts w:hint="default"/>
                <w:vertAlign w:val="baseline"/>
                <w:lang w:val="en-US"/>
              </w:rPr>
              <w:t>Defect Found using</w:t>
            </w:r>
          </w:p>
        </w:tc>
        <w:tc>
          <w:tcPr>
            <w:tcW w:w="1661" w:type="dxa"/>
          </w:tcPr>
          <w:p>
            <w:pPr>
              <w:widowControl w:val="0"/>
              <w:jc w:val="both"/>
              <w:rPr>
                <w:rFonts w:hint="default"/>
                <w:vertAlign w:val="baseline"/>
                <w:lang w:val="en-US"/>
              </w:rPr>
            </w:pPr>
            <w:r>
              <w:rPr>
                <w:rFonts w:hint="default"/>
                <w:vertAlign w:val="baseline"/>
                <w:lang w:val="en-US"/>
              </w:rPr>
              <w:t>Artefact / Work Product &amp; Version Number</w:t>
            </w:r>
          </w:p>
        </w:tc>
        <w:tc>
          <w:tcPr>
            <w:tcW w:w="1795" w:type="dxa"/>
          </w:tcPr>
          <w:p>
            <w:pPr>
              <w:widowControl w:val="0"/>
              <w:jc w:val="both"/>
              <w:rPr>
                <w:rFonts w:hint="default"/>
                <w:vertAlign w:val="baseline"/>
                <w:lang w:val="en-US"/>
              </w:rPr>
            </w:pPr>
            <w:r>
              <w:rPr>
                <w:rFonts w:hint="default"/>
                <w:vertAlign w:val="baseline"/>
                <w:lang w:val="en-US"/>
              </w:rPr>
              <w:t>Description of Defect</w:t>
            </w:r>
          </w:p>
        </w:tc>
        <w:tc>
          <w:tcPr>
            <w:tcW w:w="1596" w:type="dxa"/>
          </w:tcPr>
          <w:p>
            <w:pPr>
              <w:widowControl w:val="0"/>
              <w:jc w:val="both"/>
              <w:rPr>
                <w:rFonts w:hint="default"/>
                <w:vertAlign w:val="baseline"/>
                <w:lang w:val="en-US"/>
              </w:rPr>
            </w:pPr>
            <w:r>
              <w:rPr>
                <w:rFonts w:hint="default"/>
                <w:vertAlign w:val="baseline"/>
                <w:lang w:val="en-US"/>
              </w:rPr>
              <w:t>Summary of Resolution Steps</w:t>
            </w:r>
          </w:p>
        </w:tc>
        <w:tc>
          <w:tcPr>
            <w:tcW w:w="1596" w:type="dxa"/>
          </w:tcPr>
          <w:p>
            <w:pPr>
              <w:widowControl w:val="0"/>
              <w:jc w:val="both"/>
              <w:rPr>
                <w:rFonts w:hint="default"/>
                <w:vertAlign w:val="baseline"/>
                <w:lang w:val="en-US"/>
              </w:rPr>
            </w:pPr>
            <w:r>
              <w:rPr>
                <w:rFonts w:hint="default"/>
                <w:vertAlign w:val="baseline"/>
                <w:lang w:val="en-US"/>
              </w:rPr>
              <w:t>Analysis</w:t>
            </w:r>
          </w:p>
        </w:tc>
        <w:tc>
          <w:tcPr>
            <w:tcW w:w="1596" w:type="dxa"/>
          </w:tcPr>
          <w:p>
            <w:pPr>
              <w:widowControl w:val="0"/>
              <w:jc w:val="both"/>
              <w:rPr>
                <w:rFonts w:hint="default"/>
                <w:vertAlign w:val="baseline"/>
                <w:lang w:val="en-US"/>
              </w:rPr>
            </w:pPr>
            <w:r>
              <w:rPr>
                <w:rFonts w:hint="default"/>
                <w:vertAlign w:val="baseline"/>
                <w:lang w:val="en-US"/>
              </w:rPr>
              <w:t>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dxa"/>
            <w:vAlign w:val="bottom"/>
          </w:tcPr>
          <w:p>
            <w:pPr>
              <w:widowControl w:val="0"/>
              <w:jc w:val="both"/>
              <w:rPr>
                <w:rFonts w:hint="default" w:ascii="Arial" w:hAnsi="Arial" w:eastAsia="SimSun" w:cs="Arial"/>
                <w:i w:val="0"/>
                <w:iCs w:val="0"/>
                <w:color w:val="000000"/>
                <w:kern w:val="0"/>
                <w:sz w:val="18"/>
                <w:szCs w:val="18"/>
                <w:u w:val="none"/>
                <w:lang w:val="en-US" w:eastAsia="zh-CN" w:bidi="ar"/>
              </w:rPr>
            </w:pPr>
            <w:r>
              <w:rPr>
                <w:rFonts w:hint="default" w:ascii="Arial" w:hAnsi="Arial" w:eastAsia="SimSun" w:cs="Arial"/>
                <w:i w:val="0"/>
                <w:iCs w:val="0"/>
                <w:color w:val="000000"/>
                <w:kern w:val="0"/>
                <w:sz w:val="18"/>
                <w:szCs w:val="18"/>
                <w:u w:val="none"/>
                <w:lang w:val="en-US" w:eastAsia="zh-CN" w:bidi="ar"/>
              </w:rPr>
              <w:t>Validation</w:t>
            </w:r>
          </w:p>
        </w:tc>
        <w:tc>
          <w:tcPr>
            <w:tcW w:w="1661" w:type="dxa"/>
            <w:vAlign w:val="bottom"/>
          </w:tcPr>
          <w:p>
            <w:pPr>
              <w:widowControl w:val="0"/>
              <w:jc w:val="both"/>
              <w:rPr>
                <w:rFonts w:hint="default" w:ascii="Arial" w:hAnsi="Arial" w:eastAsia="SimSun" w:cs="Arial"/>
                <w:i w:val="0"/>
                <w:iCs w:val="0"/>
                <w:color w:val="000000"/>
                <w:kern w:val="0"/>
                <w:sz w:val="18"/>
                <w:szCs w:val="18"/>
                <w:u w:val="none"/>
                <w:lang w:val="en-US" w:eastAsia="zh-CN" w:bidi="ar"/>
              </w:rPr>
            </w:pPr>
            <w:r>
              <w:rPr>
                <w:rFonts w:hint="default" w:ascii="Arial" w:hAnsi="Arial" w:eastAsia="SimSun" w:cs="Arial"/>
                <w:i w:val="0"/>
                <w:iCs w:val="0"/>
                <w:color w:val="000000"/>
                <w:kern w:val="0"/>
                <w:sz w:val="18"/>
                <w:szCs w:val="18"/>
                <w:u w:val="none"/>
                <w:lang w:val="en-US" w:eastAsia="zh-CN" w:bidi="ar"/>
              </w:rPr>
              <w:t xml:space="preserve"> System test case ID 6 and 11</w:t>
            </w:r>
          </w:p>
        </w:tc>
        <w:tc>
          <w:tcPr>
            <w:tcW w:w="1795" w:type="dxa"/>
            <w:vAlign w:val="bottom"/>
          </w:tcPr>
          <w:p>
            <w:pPr>
              <w:widowControl w:val="0"/>
              <w:jc w:val="both"/>
              <w:rPr>
                <w:rFonts w:hint="default" w:ascii="Arial" w:hAnsi="Arial" w:eastAsia="SimSun" w:cs="Arial"/>
                <w:i w:val="0"/>
                <w:iCs w:val="0"/>
                <w:color w:val="000000"/>
                <w:kern w:val="0"/>
                <w:sz w:val="18"/>
                <w:szCs w:val="18"/>
                <w:u w:val="none"/>
                <w:lang w:val="en-US" w:eastAsia="zh-CN" w:bidi="ar"/>
              </w:rPr>
            </w:pPr>
            <w:r>
              <w:rPr>
                <w:rFonts w:hint="default" w:ascii="Arial" w:hAnsi="Arial" w:eastAsia="SimSun" w:cs="Arial"/>
                <w:i w:val="0"/>
                <w:iCs w:val="0"/>
                <w:color w:val="000000"/>
                <w:kern w:val="0"/>
                <w:sz w:val="18"/>
                <w:szCs w:val="18"/>
                <w:u w:val="none"/>
                <w:lang w:val="en-US" w:eastAsia="zh-CN" w:bidi="ar"/>
              </w:rPr>
              <w:t>Supply series diode getting very hot and burnt</w:t>
            </w:r>
          </w:p>
        </w:tc>
        <w:tc>
          <w:tcPr>
            <w:tcW w:w="1596" w:type="dxa"/>
            <w:vAlign w:val="bottom"/>
          </w:tcPr>
          <w:p>
            <w:pPr>
              <w:keepNext w:val="0"/>
              <w:keepLines w:val="0"/>
              <w:widowControl/>
              <w:suppressLineNumbers w:val="0"/>
              <w:jc w:val="left"/>
              <w:textAlignment w:val="bottom"/>
              <w:rPr>
                <w:rFonts w:hint="default" w:asciiTheme="minorHAnsi" w:hAnsiTheme="minorHAnsi" w:eastAsiaTheme="minorEastAsia" w:cstheme="minorBidi"/>
                <w:sz w:val="22"/>
                <w:szCs w:val="22"/>
                <w:lang w:val="en-US" w:eastAsia="en-IN" w:bidi="ar-SA"/>
              </w:rPr>
            </w:pPr>
            <w:r>
              <w:rPr>
                <w:rFonts w:ascii="Segoe UI" w:hAnsi="Segoe UI" w:eastAsia="Segoe UI" w:cs="Segoe UI"/>
                <w:i w:val="0"/>
                <w:iCs w:val="0"/>
                <w:caps w:val="0"/>
                <w:color w:val="212529"/>
                <w:spacing w:val="0"/>
                <w:sz w:val="21"/>
                <w:szCs w:val="21"/>
                <w:shd w:val="clear" w:fill="FFFFFF"/>
              </w:rPr>
              <w:t>Diode is getting hot due to use of 1000V in Place of 100V so drop voltage is higher side. so diode is replaced by 100 SMB package whose PIV is100V and current rating is 1A</w:t>
            </w:r>
          </w:p>
        </w:tc>
        <w:tc>
          <w:tcPr>
            <w:tcW w:w="1596" w:type="dxa"/>
            <w:vAlign w:val="center"/>
          </w:tcPr>
          <w:p>
            <w:pPr>
              <w:keepNext w:val="0"/>
              <w:keepLines w:val="0"/>
              <w:widowControl/>
              <w:suppressLineNumbers w:val="0"/>
              <w:jc w:val="left"/>
              <w:textAlignment w:val="center"/>
              <w:rPr>
                <w:rFonts w:hint="default"/>
                <w:vertAlign w:val="baseline"/>
                <w:lang w:val="en-US"/>
              </w:rPr>
            </w:pPr>
            <w:r>
              <w:rPr>
                <w:rFonts w:ascii="Segoe UI" w:hAnsi="Segoe UI" w:eastAsia="Segoe UI" w:cs="Segoe UI"/>
                <w:i w:val="0"/>
                <w:iCs w:val="0"/>
                <w:caps w:val="0"/>
                <w:color w:val="212529"/>
                <w:spacing w:val="0"/>
                <w:sz w:val="21"/>
                <w:szCs w:val="21"/>
                <w:shd w:val="clear" w:fill="FFFFFF"/>
              </w:rPr>
              <w:t>Diode is getting hot due to use of 1000V in Place of 100V so drop voltage is higher side. so diode is replaced by 100 SMB package whose PIV is100V and current rating is 1A</w:t>
            </w:r>
          </w:p>
        </w:tc>
        <w:tc>
          <w:tcPr>
            <w:tcW w:w="1596" w:type="dxa"/>
            <w:vAlign w:val="center"/>
          </w:tcPr>
          <w:p>
            <w:pPr>
              <w:keepNext w:val="0"/>
              <w:keepLines w:val="0"/>
              <w:widowControl/>
              <w:suppressLineNumbers w:val="0"/>
              <w:jc w:val="left"/>
              <w:textAlignment w:val="center"/>
              <w:rPr>
                <w:rFonts w:hint="default"/>
                <w:vertAlign w:val="baseline"/>
                <w:lang w:val="en-US"/>
              </w:rPr>
            </w:pPr>
            <w:r>
              <w:rPr>
                <w:rFonts w:ascii="Segoe UI" w:hAnsi="Segoe UI" w:eastAsia="Segoe UI" w:cs="Segoe UI"/>
                <w:i w:val="0"/>
                <w:iCs w:val="0"/>
                <w:caps w:val="0"/>
                <w:color w:val="212529"/>
                <w:spacing w:val="0"/>
                <w:sz w:val="21"/>
                <w:szCs w:val="21"/>
              </w:rPr>
              <w:t>always choose the diode ration approx. maximum absolute value with 25% 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dxa"/>
          </w:tcPr>
          <w:p>
            <w:pPr>
              <w:widowControl w:val="0"/>
              <w:jc w:val="both"/>
              <w:rPr>
                <w:rFonts w:hint="default"/>
                <w:vertAlign w:val="baseline"/>
                <w:lang w:val="en-US"/>
              </w:rPr>
            </w:pPr>
            <w:r>
              <w:rPr>
                <w:rFonts w:hint="default" w:ascii="Arial" w:hAnsi="Arial" w:eastAsia="SimSun" w:cs="Arial"/>
                <w:i w:val="0"/>
                <w:iCs w:val="0"/>
                <w:color w:val="000000"/>
                <w:kern w:val="0"/>
                <w:sz w:val="18"/>
                <w:szCs w:val="18"/>
                <w:u w:val="none"/>
                <w:lang w:val="en-US" w:eastAsia="zh-CN" w:bidi="ar"/>
              </w:rPr>
              <w:t>Validation</w:t>
            </w:r>
          </w:p>
        </w:tc>
        <w:tc>
          <w:tcPr>
            <w:tcW w:w="1661" w:type="dxa"/>
          </w:tcPr>
          <w:p>
            <w:pPr>
              <w:widowControl w:val="0"/>
              <w:jc w:val="both"/>
              <w:rPr>
                <w:rFonts w:hint="default"/>
                <w:vertAlign w:val="baseline"/>
                <w:lang w:val="en-US"/>
              </w:rPr>
            </w:pPr>
            <w:r>
              <w:rPr>
                <w:rFonts w:hint="default" w:ascii="Arial" w:hAnsi="Arial" w:eastAsia="SimSun" w:cs="Arial"/>
                <w:i w:val="0"/>
                <w:iCs w:val="0"/>
                <w:color w:val="000000"/>
                <w:kern w:val="0"/>
                <w:sz w:val="18"/>
                <w:szCs w:val="18"/>
                <w:u w:val="none"/>
                <w:lang w:val="en-US" w:eastAsia="zh-CN" w:bidi="ar"/>
              </w:rPr>
              <w:t>System test case ID 6 and 11</w:t>
            </w:r>
          </w:p>
        </w:tc>
        <w:tc>
          <w:tcPr>
            <w:tcW w:w="1795" w:type="dxa"/>
          </w:tcPr>
          <w:p>
            <w:pPr>
              <w:widowControl w:val="0"/>
              <w:jc w:val="both"/>
              <w:rPr>
                <w:rFonts w:hint="default"/>
                <w:vertAlign w:val="baseline"/>
                <w:lang w:val="en-US"/>
              </w:rPr>
            </w:pPr>
            <w:r>
              <w:rPr>
                <w:rFonts w:ascii="Segoe UI" w:hAnsi="Segoe UI" w:eastAsia="Segoe UI" w:cs="Segoe UI"/>
                <w:i w:val="0"/>
                <w:iCs w:val="0"/>
                <w:caps w:val="0"/>
                <w:color w:val="212529"/>
                <w:spacing w:val="0"/>
                <w:sz w:val="21"/>
                <w:szCs w:val="21"/>
              </w:rPr>
              <w:t>at full capacity load 10 A Encloser getting hot and reach up to 80 Deg C</w:t>
            </w:r>
          </w:p>
        </w:tc>
        <w:tc>
          <w:tcPr>
            <w:tcW w:w="1596" w:type="dxa"/>
          </w:tcPr>
          <w:p>
            <w:pPr>
              <w:widowControl w:val="0"/>
              <w:jc w:val="both"/>
              <w:rPr>
                <w:rFonts w:hint="default"/>
                <w:vertAlign w:val="baseline"/>
                <w:lang w:val="en-US"/>
              </w:rPr>
            </w:pPr>
            <w:r>
              <w:rPr>
                <w:rFonts w:ascii="Segoe UI" w:hAnsi="Segoe UI" w:eastAsia="Segoe UI" w:cs="Segoe UI"/>
                <w:i w:val="0"/>
                <w:iCs w:val="0"/>
                <w:caps w:val="0"/>
                <w:color w:val="212529"/>
                <w:spacing w:val="0"/>
                <w:sz w:val="21"/>
                <w:szCs w:val="21"/>
              </w:rPr>
              <w:t>Asynchronous type DC-Dc converter always have issues with the diode drop heating . we have to use this topology with proper heat management and with use of Schottky type diode.</w:t>
            </w:r>
          </w:p>
        </w:tc>
        <w:tc>
          <w:tcPr>
            <w:tcW w:w="1596" w:type="dxa"/>
          </w:tcPr>
          <w:p>
            <w:pPr>
              <w:widowControl w:val="0"/>
              <w:jc w:val="both"/>
              <w:rPr>
                <w:rFonts w:hint="default"/>
                <w:vertAlign w:val="baseline"/>
                <w:lang w:val="en-US"/>
              </w:rPr>
            </w:pPr>
            <w:r>
              <w:rPr>
                <w:rFonts w:ascii="Segoe UI" w:hAnsi="Segoe UI" w:eastAsia="Segoe UI" w:cs="Segoe UI"/>
                <w:i w:val="0"/>
                <w:iCs w:val="0"/>
                <w:caps w:val="0"/>
                <w:color w:val="212529"/>
                <w:spacing w:val="0"/>
                <w:sz w:val="21"/>
                <w:szCs w:val="21"/>
              </w:rPr>
              <w:t>Asynchronous type DC-Dc converter always have issues with the diode drop heating . we have to use this topology with proper heat management and with use of Schottky type diode.</w:t>
            </w:r>
          </w:p>
        </w:tc>
        <w:tc>
          <w:tcPr>
            <w:tcW w:w="1596" w:type="dxa"/>
          </w:tcPr>
          <w:p>
            <w:pPr>
              <w:widowControl w:val="0"/>
              <w:jc w:val="both"/>
              <w:rPr>
                <w:rFonts w:hint="default"/>
                <w:vertAlign w:val="baseline"/>
                <w:lang w:val="en-US"/>
              </w:rPr>
            </w:pPr>
            <w:r>
              <w:rPr>
                <w:rFonts w:ascii="Segoe UI" w:hAnsi="Segoe UI" w:eastAsia="Segoe UI" w:cs="Segoe UI"/>
                <w:i w:val="0"/>
                <w:iCs w:val="0"/>
                <w:caps w:val="0"/>
                <w:color w:val="212529"/>
                <w:spacing w:val="0"/>
                <w:sz w:val="21"/>
                <w:szCs w:val="21"/>
              </w:rPr>
              <w:t>Asynchronous type Buck always have issues with the diode heating due to voltage drop . so its very compulsory during design to check the diode selection criteria</w:t>
            </w:r>
          </w:p>
        </w:tc>
      </w:tr>
    </w:tbl>
    <w:p>
      <w:pPr>
        <w:pStyle w:val="3"/>
        <w:numPr>
          <w:ilvl w:val="0"/>
          <w:numId w:val="0"/>
        </w:numPr>
      </w:pPr>
    </w:p>
    <w:bookmarkEnd w:id="9"/>
    <w:p>
      <w:pPr>
        <w:pStyle w:val="2"/>
        <w:numPr>
          <w:ilvl w:val="0"/>
          <w:numId w:val="1"/>
        </w:numPr>
      </w:pPr>
      <w:r>
        <w:rPr>
          <w:rFonts w:hint="default"/>
          <w:lang w:val="en-US"/>
        </w:rPr>
        <w:t xml:space="preserve">  </w:t>
      </w:r>
      <w:bookmarkStart w:id="12" w:name="_Toc449713657"/>
      <w:bookmarkStart w:id="13" w:name="_Toc29594"/>
      <w:r>
        <w:t>Project’s Process Defect Density</w:t>
      </w:r>
      <w:bookmarkEnd w:id="12"/>
      <w:bookmarkEnd w:id="13"/>
    </w:p>
    <w:p>
      <w:r>
        <w:rPr>
          <w:rStyle w:val="29"/>
          <w:i w:val="0"/>
          <w:color w:val="000000" w:themeColor="text1"/>
          <w:lang w:val="en-US"/>
        </w:rPr>
        <w:t>The process defect density found 0.</w:t>
      </w:r>
      <w:r>
        <w:rPr>
          <w:rStyle w:val="29"/>
          <w:rFonts w:hint="default"/>
          <w:i w:val="0"/>
          <w:color w:val="000000" w:themeColor="text1"/>
          <w:lang w:val="en-US"/>
        </w:rPr>
        <w:t>22</w:t>
      </w:r>
      <w:r>
        <w:rPr>
          <w:rStyle w:val="29"/>
          <w:i w:val="0"/>
          <w:color w:val="000000" w:themeColor="text1"/>
          <w:lang w:val="en-US"/>
        </w:rPr>
        <w:t xml:space="preserve">, whereas measurement goal was </w:t>
      </w:r>
      <w:r>
        <w:rPr>
          <w:rStyle w:val="29"/>
          <w:i w:val="0"/>
          <w:color w:val="auto"/>
        </w:rPr>
        <w:t>0.</w:t>
      </w:r>
      <w:r>
        <w:rPr>
          <w:rStyle w:val="29"/>
          <w:rFonts w:hint="default"/>
          <w:i w:val="0"/>
          <w:color w:val="auto"/>
          <w:lang w:val="en-US"/>
        </w:rPr>
        <w:t>20</w:t>
      </w:r>
      <w:r>
        <w:rPr>
          <w:rStyle w:val="29"/>
          <w:rFonts w:cstheme="minorHAnsi"/>
          <w:i w:val="0"/>
          <w:color w:val="auto"/>
        </w:rPr>
        <w:t>±0.</w:t>
      </w:r>
      <w:r>
        <w:rPr>
          <w:rStyle w:val="29"/>
          <w:rFonts w:hint="default" w:cstheme="minorHAnsi"/>
          <w:i w:val="0"/>
          <w:color w:val="auto"/>
          <w:lang w:val="en-US"/>
        </w:rPr>
        <w:t>03</w:t>
      </w:r>
      <w:r>
        <w:rPr>
          <w:rStyle w:val="29"/>
          <w:rFonts w:cstheme="minorHAnsi"/>
          <w:i w:val="0"/>
          <w:color w:val="auto"/>
        </w:rPr>
        <w:t xml:space="preserve">. So it is </w:t>
      </w:r>
      <w:r>
        <w:rPr>
          <w:rStyle w:val="29"/>
          <w:rFonts w:hint="default" w:cstheme="minorHAnsi"/>
          <w:i w:val="0"/>
          <w:color w:val="auto"/>
          <w:lang w:val="en-US"/>
        </w:rPr>
        <w:t>equal to</w:t>
      </w:r>
      <w:r>
        <w:rPr>
          <w:rStyle w:val="29"/>
          <w:rFonts w:cstheme="minorHAnsi"/>
          <w:i w:val="0"/>
          <w:color w:val="auto"/>
        </w:rPr>
        <w:t xml:space="preserve"> limit. The total efforts expended on this project  is 1</w:t>
      </w:r>
      <w:r>
        <w:rPr>
          <w:rStyle w:val="29"/>
          <w:rFonts w:hint="default" w:cstheme="minorHAnsi"/>
          <w:i w:val="0"/>
          <w:color w:val="auto"/>
          <w:lang w:val="en-US"/>
        </w:rPr>
        <w:t>57</w:t>
      </w:r>
      <w:r>
        <w:rPr>
          <w:rStyle w:val="29"/>
          <w:rFonts w:cstheme="minorHAnsi"/>
          <w:i w:val="0"/>
          <w:color w:val="auto"/>
        </w:rPr>
        <w:t xml:space="preserve"> persons hrs. This means that in every </w:t>
      </w:r>
      <w:r>
        <w:rPr>
          <w:rStyle w:val="29"/>
          <w:rFonts w:hint="default" w:cstheme="minorHAnsi"/>
          <w:i w:val="0"/>
          <w:color w:val="auto"/>
          <w:lang w:val="en-US"/>
        </w:rPr>
        <w:t>4.48</w:t>
      </w:r>
      <w:r>
        <w:rPr>
          <w:rStyle w:val="29"/>
          <w:rFonts w:cstheme="minorHAnsi"/>
          <w:i w:val="0"/>
          <w:color w:val="auto"/>
        </w:rPr>
        <w:t xml:space="preserve"> person hrs one major non conformance came in this project. That is</w:t>
      </w:r>
      <w:r>
        <w:rPr>
          <w:rStyle w:val="29"/>
          <w:rFonts w:hint="default" w:cstheme="minorHAnsi"/>
          <w:i w:val="0"/>
          <w:color w:val="auto"/>
          <w:lang w:val="en-US"/>
        </w:rPr>
        <w:t xml:space="preserve"> equal to </w:t>
      </w:r>
      <w:r>
        <w:rPr>
          <w:rStyle w:val="29"/>
          <w:rFonts w:cstheme="minorHAnsi"/>
          <w:i w:val="0"/>
          <w:color w:val="auto"/>
        </w:rPr>
        <w:t xml:space="preserve">  expected.</w:t>
      </w:r>
    </w:p>
    <w:p>
      <w:pPr>
        <w:pStyle w:val="3"/>
        <w:numPr>
          <w:ilvl w:val="1"/>
          <w:numId w:val="1"/>
        </w:numPr>
        <w:ind w:left="1092" w:leftChars="0" w:firstLineChars="0"/>
      </w:pPr>
      <w:bookmarkStart w:id="14" w:name="_Toc449713658"/>
      <w:bookmarkStart w:id="15" w:name="_Toc8743"/>
      <w:r>
        <w:t>Corrective Actions</w:t>
      </w:r>
      <w:bookmarkEnd w:id="14"/>
      <w:bookmarkEnd w:id="15"/>
    </w:p>
    <w:p>
      <w:r>
        <w:t xml:space="preserve">As this defect density documented during closure so corrective actions not applicable for this particular </w:t>
      </w:r>
      <w:r>
        <w:rPr>
          <w:lang w:val="en-US"/>
        </w:rPr>
        <w:t>project</w:t>
      </w:r>
      <w:r>
        <w:t xml:space="preserve">, but may help to future projects. But in this project I monitored the process defect density, and try to not leave any blunder in process point of view, as previous project </w:t>
      </w:r>
      <w:r>
        <w:rPr>
          <w:lang w:val="en-US"/>
        </w:rPr>
        <w:t>leanings</w:t>
      </w:r>
      <w:r>
        <w:t xml:space="preserve"> also </w:t>
      </w:r>
      <w:r>
        <w:rPr>
          <w:lang w:val="en-US"/>
        </w:rPr>
        <w:t>use full</w:t>
      </w:r>
      <w:r>
        <w:t xml:space="preserve">. During updation of RTT ensure that each and every needs track by something in design, implementation, testing, no any system test case id missing to link with needs. Now as organization goal decided for process defect density as </w:t>
      </w:r>
      <w:r>
        <w:rPr>
          <w:rStyle w:val="29"/>
          <w:i w:val="0"/>
          <w:color w:val="auto"/>
        </w:rPr>
        <w:t>0.2</w:t>
      </w:r>
      <w:r>
        <w:rPr>
          <w:rStyle w:val="29"/>
          <w:rFonts w:hint="default"/>
          <w:i w:val="0"/>
          <w:color w:val="auto"/>
          <w:lang w:val="en-US"/>
        </w:rPr>
        <w:t>0</w:t>
      </w:r>
      <w:r>
        <w:rPr>
          <w:rStyle w:val="29"/>
          <w:rFonts w:cstheme="minorHAnsi"/>
          <w:i w:val="0"/>
          <w:color w:val="auto"/>
        </w:rPr>
        <w:t>±0.02, so in next project will plan accordingly.</w:t>
      </w:r>
    </w:p>
    <w:p>
      <w:pPr>
        <w:pStyle w:val="3"/>
        <w:numPr>
          <w:ilvl w:val="1"/>
          <w:numId w:val="1"/>
        </w:numPr>
        <w:ind w:left="1092" w:leftChars="0" w:firstLineChars="0"/>
      </w:pPr>
      <w:bookmarkStart w:id="16" w:name="_Toc449713659"/>
      <w:bookmarkStart w:id="17" w:name="_Toc13812"/>
      <w:r>
        <w:t>Root Cause Analysis</w:t>
      </w:r>
      <w:bookmarkEnd w:id="16"/>
      <w:bookmarkEnd w:id="17"/>
    </w:p>
    <w:p>
      <w:r>
        <w:t xml:space="preserve">Most of </w:t>
      </w:r>
      <w:r>
        <w:rPr>
          <w:lang w:val="en-US"/>
        </w:rPr>
        <w:t>NC</w:t>
      </w:r>
      <w:r>
        <w:rPr>
          <w:rFonts w:hint="default"/>
          <w:lang w:val="en-US"/>
        </w:rPr>
        <w:t xml:space="preserve">s </w:t>
      </w:r>
      <w:r>
        <w:t xml:space="preserve">  main cause observed is negligence during planning </w:t>
      </w:r>
      <w:r>
        <w:rPr>
          <w:lang w:val="en-US"/>
        </w:rPr>
        <w:t>upgradation</w:t>
      </w:r>
      <w:r>
        <w:t xml:space="preserve">, </w:t>
      </w:r>
      <w:r>
        <w:rPr>
          <w:lang w:val="en-US"/>
        </w:rPr>
        <w:t>time sheet</w:t>
      </w:r>
      <w:r>
        <w:t xml:space="preserve"> missing, negligence during RTT </w:t>
      </w:r>
      <w:r>
        <w:rPr>
          <w:lang w:val="en-US"/>
        </w:rPr>
        <w:t>upgradation</w:t>
      </w:r>
      <w:r>
        <w:t>, so some of silly mistakes done, which actually effects more.</w:t>
      </w:r>
    </w:p>
    <w:p>
      <w:pPr>
        <w:rPr>
          <w:rFonts w:hint="default"/>
          <w:lang w:val="en-US"/>
        </w:rPr>
      </w:pPr>
    </w:p>
    <w:p/>
    <w:p>
      <w:pPr>
        <w:rPr>
          <w:b/>
          <w:color w:val="548DD4" w:themeColor="text2" w:themeTint="99"/>
          <w:sz w:val="28"/>
        </w:rPr>
      </w:pPr>
      <w:r>
        <w:rPr>
          <w:b/>
          <w:color w:val="548DD4" w:themeColor="text2" w:themeTint="99"/>
          <w:sz w:val="28"/>
        </w:rPr>
        <w:t>Date :</w:t>
      </w:r>
    </w:p>
    <w:p>
      <w:r>
        <w:t>[</w:t>
      </w:r>
      <w:r>
        <w:rPr>
          <w:rFonts w:hint="default"/>
          <w:lang w:val="en-US"/>
        </w:rPr>
        <w:t>31</w:t>
      </w:r>
      <w:r>
        <w:t>/</w:t>
      </w:r>
      <w:r>
        <w:rPr>
          <w:rFonts w:hint="default"/>
          <w:lang w:val="en-US"/>
        </w:rPr>
        <w:t>08</w:t>
      </w:r>
      <w:r>
        <w:t>/</w:t>
      </w:r>
      <w:r>
        <w:rPr>
          <w:rFonts w:hint="default"/>
          <w:lang w:val="en-US"/>
        </w:rPr>
        <w:t>2022</w:t>
      </w:r>
      <w:r>
        <w:t>]</w:t>
      </w:r>
    </w:p>
    <w:p>
      <w:pPr>
        <w:ind w:firstLine="720"/>
      </w:pPr>
      <w:bookmarkStart w:id="18" w:name="_GoBack"/>
      <w:bookmarkEnd w:id="18"/>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Genus Innovation Limited                                                              Template version number - 3</w:t>
    </w:r>
  </w:p>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fldChar w:fldCharType="begin"/>
    </w:r>
    <w:r>
      <w:instrText xml:space="preserve"> FILENAME   \* MERGEFORMAT </w:instrText>
    </w:r>
    <w:r>
      <w:fldChar w:fldCharType="separate"/>
    </w:r>
    <w:r>
      <w:rPr>
        <w:rFonts w:hint="default"/>
        <w:lang w:val="en-US"/>
      </w:rPr>
      <w:t>GGE295</w:t>
    </w:r>
    <w:r>
      <w:t>_MESRPT.docx</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DD16DC"/>
    <w:multiLevelType w:val="multilevel"/>
    <w:tmpl w:val="7BDD16DC"/>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9457F7"/>
    <w:rsid w:val="0000167A"/>
    <w:rsid w:val="00002F0C"/>
    <w:rsid w:val="000067C4"/>
    <w:rsid w:val="00014312"/>
    <w:rsid w:val="0002400D"/>
    <w:rsid w:val="00026149"/>
    <w:rsid w:val="0002797F"/>
    <w:rsid w:val="00030918"/>
    <w:rsid w:val="00031502"/>
    <w:rsid w:val="00040FC6"/>
    <w:rsid w:val="00045912"/>
    <w:rsid w:val="00046FFD"/>
    <w:rsid w:val="00052C47"/>
    <w:rsid w:val="00053B65"/>
    <w:rsid w:val="00053CF0"/>
    <w:rsid w:val="0005555A"/>
    <w:rsid w:val="00057321"/>
    <w:rsid w:val="00060FEC"/>
    <w:rsid w:val="00071380"/>
    <w:rsid w:val="00077875"/>
    <w:rsid w:val="000779B1"/>
    <w:rsid w:val="00081E9D"/>
    <w:rsid w:val="00082EC9"/>
    <w:rsid w:val="00087D44"/>
    <w:rsid w:val="0009053B"/>
    <w:rsid w:val="00091527"/>
    <w:rsid w:val="000916DD"/>
    <w:rsid w:val="000958BE"/>
    <w:rsid w:val="00097177"/>
    <w:rsid w:val="000A179B"/>
    <w:rsid w:val="000A52AE"/>
    <w:rsid w:val="000A601F"/>
    <w:rsid w:val="000B0368"/>
    <w:rsid w:val="000B4AFF"/>
    <w:rsid w:val="000C74CF"/>
    <w:rsid w:val="000D1551"/>
    <w:rsid w:val="000D4048"/>
    <w:rsid w:val="000D58E9"/>
    <w:rsid w:val="000D62AD"/>
    <w:rsid w:val="000D732B"/>
    <w:rsid w:val="000E0FB2"/>
    <w:rsid w:val="000F0C5E"/>
    <w:rsid w:val="000F173F"/>
    <w:rsid w:val="000F1E77"/>
    <w:rsid w:val="000F24C3"/>
    <w:rsid w:val="000F3266"/>
    <w:rsid w:val="000F5C18"/>
    <w:rsid w:val="000F5C75"/>
    <w:rsid w:val="000F5E72"/>
    <w:rsid w:val="00103515"/>
    <w:rsid w:val="0010563B"/>
    <w:rsid w:val="001165E5"/>
    <w:rsid w:val="00117168"/>
    <w:rsid w:val="0012213A"/>
    <w:rsid w:val="0012297E"/>
    <w:rsid w:val="00127332"/>
    <w:rsid w:val="00131D6E"/>
    <w:rsid w:val="00134F12"/>
    <w:rsid w:val="0013611C"/>
    <w:rsid w:val="00136B38"/>
    <w:rsid w:val="00141DA0"/>
    <w:rsid w:val="00145529"/>
    <w:rsid w:val="00145679"/>
    <w:rsid w:val="00150456"/>
    <w:rsid w:val="001552B0"/>
    <w:rsid w:val="001727A2"/>
    <w:rsid w:val="001755F9"/>
    <w:rsid w:val="0018539C"/>
    <w:rsid w:val="001855B5"/>
    <w:rsid w:val="001872AF"/>
    <w:rsid w:val="00191716"/>
    <w:rsid w:val="00191868"/>
    <w:rsid w:val="00192227"/>
    <w:rsid w:val="0019543F"/>
    <w:rsid w:val="00197D86"/>
    <w:rsid w:val="001A29BA"/>
    <w:rsid w:val="001A35B1"/>
    <w:rsid w:val="001B38B6"/>
    <w:rsid w:val="001B3A23"/>
    <w:rsid w:val="001B45C7"/>
    <w:rsid w:val="001C0C32"/>
    <w:rsid w:val="001C30E3"/>
    <w:rsid w:val="001C4255"/>
    <w:rsid w:val="001D17E1"/>
    <w:rsid w:val="001D2F62"/>
    <w:rsid w:val="001D568C"/>
    <w:rsid w:val="001E34E6"/>
    <w:rsid w:val="001E431F"/>
    <w:rsid w:val="001E5EC4"/>
    <w:rsid w:val="001E67B1"/>
    <w:rsid w:val="001F1C62"/>
    <w:rsid w:val="001F4190"/>
    <w:rsid w:val="001F4417"/>
    <w:rsid w:val="001F6062"/>
    <w:rsid w:val="001F6BA4"/>
    <w:rsid w:val="001F7B48"/>
    <w:rsid w:val="00202F54"/>
    <w:rsid w:val="00205569"/>
    <w:rsid w:val="002055D5"/>
    <w:rsid w:val="00206792"/>
    <w:rsid w:val="00207D75"/>
    <w:rsid w:val="0021317F"/>
    <w:rsid w:val="00213535"/>
    <w:rsid w:val="0021373D"/>
    <w:rsid w:val="00213E04"/>
    <w:rsid w:val="002145D5"/>
    <w:rsid w:val="002238D2"/>
    <w:rsid w:val="00225FA2"/>
    <w:rsid w:val="002262C0"/>
    <w:rsid w:val="00227BB7"/>
    <w:rsid w:val="002300E7"/>
    <w:rsid w:val="00236CA3"/>
    <w:rsid w:val="00240324"/>
    <w:rsid w:val="002410BE"/>
    <w:rsid w:val="002432C1"/>
    <w:rsid w:val="00253765"/>
    <w:rsid w:val="002538CE"/>
    <w:rsid w:val="002551DA"/>
    <w:rsid w:val="00261030"/>
    <w:rsid w:val="00262901"/>
    <w:rsid w:val="00275159"/>
    <w:rsid w:val="0029398F"/>
    <w:rsid w:val="0029452C"/>
    <w:rsid w:val="002955BC"/>
    <w:rsid w:val="00295871"/>
    <w:rsid w:val="002A16AC"/>
    <w:rsid w:val="002A183C"/>
    <w:rsid w:val="002A2C8D"/>
    <w:rsid w:val="002A46E4"/>
    <w:rsid w:val="002B2700"/>
    <w:rsid w:val="002D1CC6"/>
    <w:rsid w:val="002D1D89"/>
    <w:rsid w:val="002D56DA"/>
    <w:rsid w:val="002F091D"/>
    <w:rsid w:val="002F5464"/>
    <w:rsid w:val="002F619C"/>
    <w:rsid w:val="00304556"/>
    <w:rsid w:val="003053CD"/>
    <w:rsid w:val="00306761"/>
    <w:rsid w:val="0031754F"/>
    <w:rsid w:val="00323F99"/>
    <w:rsid w:val="00323FC4"/>
    <w:rsid w:val="00324AA1"/>
    <w:rsid w:val="00325D43"/>
    <w:rsid w:val="00334A5D"/>
    <w:rsid w:val="0033691F"/>
    <w:rsid w:val="003424BB"/>
    <w:rsid w:val="00342758"/>
    <w:rsid w:val="00343203"/>
    <w:rsid w:val="00344EAB"/>
    <w:rsid w:val="00346ECF"/>
    <w:rsid w:val="00350FB3"/>
    <w:rsid w:val="003539B8"/>
    <w:rsid w:val="00353AED"/>
    <w:rsid w:val="00353CB3"/>
    <w:rsid w:val="00362045"/>
    <w:rsid w:val="003630C1"/>
    <w:rsid w:val="00364871"/>
    <w:rsid w:val="00366DEF"/>
    <w:rsid w:val="00370B4A"/>
    <w:rsid w:val="003865B6"/>
    <w:rsid w:val="00387699"/>
    <w:rsid w:val="003A04B8"/>
    <w:rsid w:val="003A293A"/>
    <w:rsid w:val="003B1F2E"/>
    <w:rsid w:val="003B2106"/>
    <w:rsid w:val="003B4AA7"/>
    <w:rsid w:val="003B4C16"/>
    <w:rsid w:val="003B5763"/>
    <w:rsid w:val="003B5A08"/>
    <w:rsid w:val="003C4F26"/>
    <w:rsid w:val="003D351C"/>
    <w:rsid w:val="003E228D"/>
    <w:rsid w:val="003E2C43"/>
    <w:rsid w:val="003E70F6"/>
    <w:rsid w:val="003F0201"/>
    <w:rsid w:val="003F1D4C"/>
    <w:rsid w:val="003F7AEE"/>
    <w:rsid w:val="003F7C0E"/>
    <w:rsid w:val="00402DE8"/>
    <w:rsid w:val="00406D9C"/>
    <w:rsid w:val="0042024D"/>
    <w:rsid w:val="0042140D"/>
    <w:rsid w:val="004216EA"/>
    <w:rsid w:val="0042736F"/>
    <w:rsid w:val="00430258"/>
    <w:rsid w:val="00431EE0"/>
    <w:rsid w:val="004329CC"/>
    <w:rsid w:val="00433C4A"/>
    <w:rsid w:val="00441BC1"/>
    <w:rsid w:val="00443579"/>
    <w:rsid w:val="00443928"/>
    <w:rsid w:val="00453432"/>
    <w:rsid w:val="00453463"/>
    <w:rsid w:val="00457ACF"/>
    <w:rsid w:val="004650C7"/>
    <w:rsid w:val="0046792A"/>
    <w:rsid w:val="00467985"/>
    <w:rsid w:val="00470B9E"/>
    <w:rsid w:val="00472092"/>
    <w:rsid w:val="00473E5B"/>
    <w:rsid w:val="00487BDF"/>
    <w:rsid w:val="0049035E"/>
    <w:rsid w:val="004926F8"/>
    <w:rsid w:val="004957D9"/>
    <w:rsid w:val="00496035"/>
    <w:rsid w:val="00496B59"/>
    <w:rsid w:val="00496D2E"/>
    <w:rsid w:val="004979C9"/>
    <w:rsid w:val="004B1FAA"/>
    <w:rsid w:val="004B4EE3"/>
    <w:rsid w:val="004C07F6"/>
    <w:rsid w:val="004C0F98"/>
    <w:rsid w:val="004D1053"/>
    <w:rsid w:val="004D3696"/>
    <w:rsid w:val="004D3707"/>
    <w:rsid w:val="004D3732"/>
    <w:rsid w:val="004D45F0"/>
    <w:rsid w:val="004D6E83"/>
    <w:rsid w:val="004E06B6"/>
    <w:rsid w:val="004E5572"/>
    <w:rsid w:val="004E5F86"/>
    <w:rsid w:val="004E7DB3"/>
    <w:rsid w:val="004F27D4"/>
    <w:rsid w:val="004F4194"/>
    <w:rsid w:val="00507BD4"/>
    <w:rsid w:val="00513A2A"/>
    <w:rsid w:val="00527005"/>
    <w:rsid w:val="00530C55"/>
    <w:rsid w:val="005529CB"/>
    <w:rsid w:val="005634FE"/>
    <w:rsid w:val="005649B3"/>
    <w:rsid w:val="00573D9B"/>
    <w:rsid w:val="00574A5D"/>
    <w:rsid w:val="00576E95"/>
    <w:rsid w:val="00582D2D"/>
    <w:rsid w:val="0058575D"/>
    <w:rsid w:val="00585EA8"/>
    <w:rsid w:val="00587DED"/>
    <w:rsid w:val="00590A57"/>
    <w:rsid w:val="00592ACA"/>
    <w:rsid w:val="0059772D"/>
    <w:rsid w:val="005A4F2E"/>
    <w:rsid w:val="005B79AC"/>
    <w:rsid w:val="005C086A"/>
    <w:rsid w:val="005C2153"/>
    <w:rsid w:val="005C3278"/>
    <w:rsid w:val="005C757B"/>
    <w:rsid w:val="005C7AAD"/>
    <w:rsid w:val="005D598B"/>
    <w:rsid w:val="005D602A"/>
    <w:rsid w:val="005F1434"/>
    <w:rsid w:val="005F1634"/>
    <w:rsid w:val="005F31D4"/>
    <w:rsid w:val="005F3A53"/>
    <w:rsid w:val="006006C7"/>
    <w:rsid w:val="00602868"/>
    <w:rsid w:val="00603E75"/>
    <w:rsid w:val="00604D30"/>
    <w:rsid w:val="006068EE"/>
    <w:rsid w:val="00614ACF"/>
    <w:rsid w:val="006152B4"/>
    <w:rsid w:val="00617A31"/>
    <w:rsid w:val="00636641"/>
    <w:rsid w:val="00636B76"/>
    <w:rsid w:val="006410AB"/>
    <w:rsid w:val="00642F01"/>
    <w:rsid w:val="006517B2"/>
    <w:rsid w:val="00651E52"/>
    <w:rsid w:val="00653BE7"/>
    <w:rsid w:val="00657901"/>
    <w:rsid w:val="006640E5"/>
    <w:rsid w:val="00664186"/>
    <w:rsid w:val="0068299E"/>
    <w:rsid w:val="0068421B"/>
    <w:rsid w:val="00685054"/>
    <w:rsid w:val="006917CD"/>
    <w:rsid w:val="006940B7"/>
    <w:rsid w:val="006A1A7D"/>
    <w:rsid w:val="006A2090"/>
    <w:rsid w:val="006A46D7"/>
    <w:rsid w:val="006B1D52"/>
    <w:rsid w:val="006B6280"/>
    <w:rsid w:val="006C37ED"/>
    <w:rsid w:val="006C6B70"/>
    <w:rsid w:val="006D2F53"/>
    <w:rsid w:val="006D34EE"/>
    <w:rsid w:val="006E251A"/>
    <w:rsid w:val="006E4A36"/>
    <w:rsid w:val="006E6E7C"/>
    <w:rsid w:val="006F1981"/>
    <w:rsid w:val="006F25CC"/>
    <w:rsid w:val="006F52DE"/>
    <w:rsid w:val="006F540E"/>
    <w:rsid w:val="006F5F15"/>
    <w:rsid w:val="006F7103"/>
    <w:rsid w:val="00700DE5"/>
    <w:rsid w:val="00703B9E"/>
    <w:rsid w:val="007103BC"/>
    <w:rsid w:val="007109F8"/>
    <w:rsid w:val="007170D9"/>
    <w:rsid w:val="007172FF"/>
    <w:rsid w:val="00717A12"/>
    <w:rsid w:val="0072068C"/>
    <w:rsid w:val="007207AE"/>
    <w:rsid w:val="007241DD"/>
    <w:rsid w:val="007308B6"/>
    <w:rsid w:val="00732F94"/>
    <w:rsid w:val="00734601"/>
    <w:rsid w:val="00742DB0"/>
    <w:rsid w:val="00743263"/>
    <w:rsid w:val="007467DA"/>
    <w:rsid w:val="007474BD"/>
    <w:rsid w:val="00747BD0"/>
    <w:rsid w:val="00752633"/>
    <w:rsid w:val="00763662"/>
    <w:rsid w:val="007674ED"/>
    <w:rsid w:val="00770542"/>
    <w:rsid w:val="007726F3"/>
    <w:rsid w:val="00775A95"/>
    <w:rsid w:val="007817EC"/>
    <w:rsid w:val="00782000"/>
    <w:rsid w:val="00783393"/>
    <w:rsid w:val="00786C8D"/>
    <w:rsid w:val="00791E39"/>
    <w:rsid w:val="007938C4"/>
    <w:rsid w:val="0079394A"/>
    <w:rsid w:val="00795392"/>
    <w:rsid w:val="00795F51"/>
    <w:rsid w:val="007961C9"/>
    <w:rsid w:val="007A33F9"/>
    <w:rsid w:val="007A7523"/>
    <w:rsid w:val="007B1745"/>
    <w:rsid w:val="007B3C9A"/>
    <w:rsid w:val="007B3EB6"/>
    <w:rsid w:val="007B78C1"/>
    <w:rsid w:val="007C19FA"/>
    <w:rsid w:val="007C2A3F"/>
    <w:rsid w:val="007C50D7"/>
    <w:rsid w:val="007C5471"/>
    <w:rsid w:val="007D0115"/>
    <w:rsid w:val="007D3145"/>
    <w:rsid w:val="007E37F8"/>
    <w:rsid w:val="007E45B9"/>
    <w:rsid w:val="007E60AA"/>
    <w:rsid w:val="007F20AD"/>
    <w:rsid w:val="007F45AB"/>
    <w:rsid w:val="007F4D66"/>
    <w:rsid w:val="007F6F88"/>
    <w:rsid w:val="007F7E81"/>
    <w:rsid w:val="00801773"/>
    <w:rsid w:val="00801DF6"/>
    <w:rsid w:val="00803DD0"/>
    <w:rsid w:val="0080597E"/>
    <w:rsid w:val="00805A66"/>
    <w:rsid w:val="00806287"/>
    <w:rsid w:val="00811A02"/>
    <w:rsid w:val="0081349D"/>
    <w:rsid w:val="008167FB"/>
    <w:rsid w:val="0081733B"/>
    <w:rsid w:val="00817780"/>
    <w:rsid w:val="00817D53"/>
    <w:rsid w:val="00824356"/>
    <w:rsid w:val="008269E0"/>
    <w:rsid w:val="00830739"/>
    <w:rsid w:val="008322E1"/>
    <w:rsid w:val="00841D78"/>
    <w:rsid w:val="00845700"/>
    <w:rsid w:val="00851222"/>
    <w:rsid w:val="00853DB8"/>
    <w:rsid w:val="008551C4"/>
    <w:rsid w:val="008623EA"/>
    <w:rsid w:val="008650D2"/>
    <w:rsid w:val="008655AA"/>
    <w:rsid w:val="00871F62"/>
    <w:rsid w:val="00872FFC"/>
    <w:rsid w:val="008743BD"/>
    <w:rsid w:val="0087754E"/>
    <w:rsid w:val="00880352"/>
    <w:rsid w:val="00880471"/>
    <w:rsid w:val="00880B9D"/>
    <w:rsid w:val="0088284F"/>
    <w:rsid w:val="00883C0B"/>
    <w:rsid w:val="00892BE6"/>
    <w:rsid w:val="008A2FD4"/>
    <w:rsid w:val="008A37C6"/>
    <w:rsid w:val="008B34D4"/>
    <w:rsid w:val="008B3C6D"/>
    <w:rsid w:val="008B3D0F"/>
    <w:rsid w:val="008B4F4F"/>
    <w:rsid w:val="008B508D"/>
    <w:rsid w:val="008B59BC"/>
    <w:rsid w:val="008C1112"/>
    <w:rsid w:val="008C37F9"/>
    <w:rsid w:val="008D547D"/>
    <w:rsid w:val="008D6D6A"/>
    <w:rsid w:val="008D7D80"/>
    <w:rsid w:val="008E6993"/>
    <w:rsid w:val="008E72F6"/>
    <w:rsid w:val="008F43D0"/>
    <w:rsid w:val="00902DEA"/>
    <w:rsid w:val="009065ED"/>
    <w:rsid w:val="00910C07"/>
    <w:rsid w:val="00913968"/>
    <w:rsid w:val="0091538E"/>
    <w:rsid w:val="009156AD"/>
    <w:rsid w:val="0091672E"/>
    <w:rsid w:val="0093570A"/>
    <w:rsid w:val="009362DE"/>
    <w:rsid w:val="0094112B"/>
    <w:rsid w:val="0094349C"/>
    <w:rsid w:val="009457F7"/>
    <w:rsid w:val="00946CB7"/>
    <w:rsid w:val="00951DC7"/>
    <w:rsid w:val="00963E80"/>
    <w:rsid w:val="00971596"/>
    <w:rsid w:val="00976E03"/>
    <w:rsid w:val="00990515"/>
    <w:rsid w:val="00995CE7"/>
    <w:rsid w:val="009A265C"/>
    <w:rsid w:val="009A69C0"/>
    <w:rsid w:val="009B24E4"/>
    <w:rsid w:val="009C2BAB"/>
    <w:rsid w:val="009C546A"/>
    <w:rsid w:val="009C7987"/>
    <w:rsid w:val="009F3EF9"/>
    <w:rsid w:val="00A004BB"/>
    <w:rsid w:val="00A00F8A"/>
    <w:rsid w:val="00A0296B"/>
    <w:rsid w:val="00A034A6"/>
    <w:rsid w:val="00A034B0"/>
    <w:rsid w:val="00A120EC"/>
    <w:rsid w:val="00A17FFA"/>
    <w:rsid w:val="00A205AA"/>
    <w:rsid w:val="00A22D81"/>
    <w:rsid w:val="00A25B11"/>
    <w:rsid w:val="00A33545"/>
    <w:rsid w:val="00A365C5"/>
    <w:rsid w:val="00A367D5"/>
    <w:rsid w:val="00A42CAF"/>
    <w:rsid w:val="00A474E7"/>
    <w:rsid w:val="00A47863"/>
    <w:rsid w:val="00A509EA"/>
    <w:rsid w:val="00A50E58"/>
    <w:rsid w:val="00A51609"/>
    <w:rsid w:val="00A51B91"/>
    <w:rsid w:val="00A5273A"/>
    <w:rsid w:val="00A533D3"/>
    <w:rsid w:val="00A542E2"/>
    <w:rsid w:val="00A570B8"/>
    <w:rsid w:val="00A64CBC"/>
    <w:rsid w:val="00A651D2"/>
    <w:rsid w:val="00A6573C"/>
    <w:rsid w:val="00A668CC"/>
    <w:rsid w:val="00A67FDF"/>
    <w:rsid w:val="00A80EFE"/>
    <w:rsid w:val="00A81117"/>
    <w:rsid w:val="00A9367E"/>
    <w:rsid w:val="00A94C33"/>
    <w:rsid w:val="00A971FC"/>
    <w:rsid w:val="00AA0045"/>
    <w:rsid w:val="00AA26FF"/>
    <w:rsid w:val="00AB1188"/>
    <w:rsid w:val="00AB26C9"/>
    <w:rsid w:val="00AB4E27"/>
    <w:rsid w:val="00AB6834"/>
    <w:rsid w:val="00AB6974"/>
    <w:rsid w:val="00AC1C29"/>
    <w:rsid w:val="00AC3D0D"/>
    <w:rsid w:val="00AC7ADA"/>
    <w:rsid w:val="00AD27B2"/>
    <w:rsid w:val="00AF3CF0"/>
    <w:rsid w:val="00AF49D0"/>
    <w:rsid w:val="00AF4B2B"/>
    <w:rsid w:val="00AF6AA2"/>
    <w:rsid w:val="00AF6D5B"/>
    <w:rsid w:val="00B11C4A"/>
    <w:rsid w:val="00B1298B"/>
    <w:rsid w:val="00B15C7B"/>
    <w:rsid w:val="00B176B7"/>
    <w:rsid w:val="00B2344D"/>
    <w:rsid w:val="00B35EEA"/>
    <w:rsid w:val="00B454AC"/>
    <w:rsid w:val="00B50D37"/>
    <w:rsid w:val="00B520FF"/>
    <w:rsid w:val="00B6084C"/>
    <w:rsid w:val="00B61A11"/>
    <w:rsid w:val="00B6324D"/>
    <w:rsid w:val="00B635AF"/>
    <w:rsid w:val="00B6419C"/>
    <w:rsid w:val="00B65337"/>
    <w:rsid w:val="00B67AC1"/>
    <w:rsid w:val="00B74218"/>
    <w:rsid w:val="00B74DCD"/>
    <w:rsid w:val="00B76981"/>
    <w:rsid w:val="00B76A13"/>
    <w:rsid w:val="00B82DE6"/>
    <w:rsid w:val="00B95840"/>
    <w:rsid w:val="00BB0900"/>
    <w:rsid w:val="00BB21DA"/>
    <w:rsid w:val="00BB22B3"/>
    <w:rsid w:val="00BB314E"/>
    <w:rsid w:val="00BB433B"/>
    <w:rsid w:val="00BB6F5E"/>
    <w:rsid w:val="00BC075E"/>
    <w:rsid w:val="00BC497D"/>
    <w:rsid w:val="00BC4C7F"/>
    <w:rsid w:val="00BD7FC6"/>
    <w:rsid w:val="00BE1AC1"/>
    <w:rsid w:val="00BF213A"/>
    <w:rsid w:val="00BF2456"/>
    <w:rsid w:val="00BF67B7"/>
    <w:rsid w:val="00BF76AA"/>
    <w:rsid w:val="00C07BF6"/>
    <w:rsid w:val="00C160E1"/>
    <w:rsid w:val="00C20D11"/>
    <w:rsid w:val="00C21CAC"/>
    <w:rsid w:val="00C23A96"/>
    <w:rsid w:val="00C243F3"/>
    <w:rsid w:val="00C261D6"/>
    <w:rsid w:val="00C306FE"/>
    <w:rsid w:val="00C3648A"/>
    <w:rsid w:val="00C46008"/>
    <w:rsid w:val="00C4678E"/>
    <w:rsid w:val="00C47432"/>
    <w:rsid w:val="00C53129"/>
    <w:rsid w:val="00C531C9"/>
    <w:rsid w:val="00C55386"/>
    <w:rsid w:val="00C6074D"/>
    <w:rsid w:val="00C60817"/>
    <w:rsid w:val="00C66025"/>
    <w:rsid w:val="00C6608E"/>
    <w:rsid w:val="00C70F15"/>
    <w:rsid w:val="00C8483F"/>
    <w:rsid w:val="00C86685"/>
    <w:rsid w:val="00C87C7C"/>
    <w:rsid w:val="00C9027C"/>
    <w:rsid w:val="00C92116"/>
    <w:rsid w:val="00C92DA6"/>
    <w:rsid w:val="00CA3025"/>
    <w:rsid w:val="00CB7B2F"/>
    <w:rsid w:val="00CC08C6"/>
    <w:rsid w:val="00CD35CC"/>
    <w:rsid w:val="00CD7DD4"/>
    <w:rsid w:val="00CE427E"/>
    <w:rsid w:val="00CF1979"/>
    <w:rsid w:val="00D02559"/>
    <w:rsid w:val="00D103EB"/>
    <w:rsid w:val="00D155A8"/>
    <w:rsid w:val="00D22434"/>
    <w:rsid w:val="00D22751"/>
    <w:rsid w:val="00D264A9"/>
    <w:rsid w:val="00D278C8"/>
    <w:rsid w:val="00D32E11"/>
    <w:rsid w:val="00D33A52"/>
    <w:rsid w:val="00D354A1"/>
    <w:rsid w:val="00D372D5"/>
    <w:rsid w:val="00D37816"/>
    <w:rsid w:val="00D37B37"/>
    <w:rsid w:val="00D40F3D"/>
    <w:rsid w:val="00D42839"/>
    <w:rsid w:val="00D43CF5"/>
    <w:rsid w:val="00D46411"/>
    <w:rsid w:val="00D46422"/>
    <w:rsid w:val="00D46EB7"/>
    <w:rsid w:val="00D501FD"/>
    <w:rsid w:val="00D5724A"/>
    <w:rsid w:val="00D576D2"/>
    <w:rsid w:val="00D66BF6"/>
    <w:rsid w:val="00D703AD"/>
    <w:rsid w:val="00D7154C"/>
    <w:rsid w:val="00D71C0C"/>
    <w:rsid w:val="00D720AE"/>
    <w:rsid w:val="00D7335B"/>
    <w:rsid w:val="00D80EDC"/>
    <w:rsid w:val="00D8162E"/>
    <w:rsid w:val="00D92142"/>
    <w:rsid w:val="00DA5DAC"/>
    <w:rsid w:val="00DA75FE"/>
    <w:rsid w:val="00DB0D37"/>
    <w:rsid w:val="00DB2E40"/>
    <w:rsid w:val="00DB5ED6"/>
    <w:rsid w:val="00DC0D1C"/>
    <w:rsid w:val="00DD22CC"/>
    <w:rsid w:val="00DD24F6"/>
    <w:rsid w:val="00DD4A9C"/>
    <w:rsid w:val="00DD554B"/>
    <w:rsid w:val="00DE18F6"/>
    <w:rsid w:val="00DE2CBD"/>
    <w:rsid w:val="00DE5832"/>
    <w:rsid w:val="00DE68BB"/>
    <w:rsid w:val="00DF16EA"/>
    <w:rsid w:val="00E00D1D"/>
    <w:rsid w:val="00E00D7A"/>
    <w:rsid w:val="00E043A6"/>
    <w:rsid w:val="00E163C4"/>
    <w:rsid w:val="00E16C9D"/>
    <w:rsid w:val="00E17620"/>
    <w:rsid w:val="00E17E85"/>
    <w:rsid w:val="00E27208"/>
    <w:rsid w:val="00E30245"/>
    <w:rsid w:val="00E3412A"/>
    <w:rsid w:val="00E36B5F"/>
    <w:rsid w:val="00E412D6"/>
    <w:rsid w:val="00E461BE"/>
    <w:rsid w:val="00E46898"/>
    <w:rsid w:val="00E46B6B"/>
    <w:rsid w:val="00E55334"/>
    <w:rsid w:val="00E56317"/>
    <w:rsid w:val="00E61E2F"/>
    <w:rsid w:val="00E65365"/>
    <w:rsid w:val="00E668FD"/>
    <w:rsid w:val="00E7598F"/>
    <w:rsid w:val="00E76144"/>
    <w:rsid w:val="00E82B95"/>
    <w:rsid w:val="00E839DC"/>
    <w:rsid w:val="00E83E08"/>
    <w:rsid w:val="00E842E0"/>
    <w:rsid w:val="00E851A0"/>
    <w:rsid w:val="00E85E6A"/>
    <w:rsid w:val="00E85FDD"/>
    <w:rsid w:val="00E922BE"/>
    <w:rsid w:val="00EA5FA9"/>
    <w:rsid w:val="00EB0E17"/>
    <w:rsid w:val="00EB39F9"/>
    <w:rsid w:val="00EB4B99"/>
    <w:rsid w:val="00EB7D88"/>
    <w:rsid w:val="00EC6EFD"/>
    <w:rsid w:val="00ED41F5"/>
    <w:rsid w:val="00EE1E93"/>
    <w:rsid w:val="00EE3798"/>
    <w:rsid w:val="00EE65E9"/>
    <w:rsid w:val="00EE726D"/>
    <w:rsid w:val="00EF3892"/>
    <w:rsid w:val="00EF5691"/>
    <w:rsid w:val="00EF5EC9"/>
    <w:rsid w:val="00F022BC"/>
    <w:rsid w:val="00F128CE"/>
    <w:rsid w:val="00F2132A"/>
    <w:rsid w:val="00F2379E"/>
    <w:rsid w:val="00F248AF"/>
    <w:rsid w:val="00F3079D"/>
    <w:rsid w:val="00F31421"/>
    <w:rsid w:val="00F36E88"/>
    <w:rsid w:val="00F41C58"/>
    <w:rsid w:val="00F44F9C"/>
    <w:rsid w:val="00F46702"/>
    <w:rsid w:val="00F54631"/>
    <w:rsid w:val="00F54C11"/>
    <w:rsid w:val="00F5501E"/>
    <w:rsid w:val="00F55D67"/>
    <w:rsid w:val="00F624E9"/>
    <w:rsid w:val="00F64CAE"/>
    <w:rsid w:val="00F668D3"/>
    <w:rsid w:val="00F66A62"/>
    <w:rsid w:val="00F67CEA"/>
    <w:rsid w:val="00F7304F"/>
    <w:rsid w:val="00F75A1F"/>
    <w:rsid w:val="00F75FCD"/>
    <w:rsid w:val="00F81EC9"/>
    <w:rsid w:val="00F867E2"/>
    <w:rsid w:val="00F908A1"/>
    <w:rsid w:val="00FA0D79"/>
    <w:rsid w:val="00FA3866"/>
    <w:rsid w:val="00FA3AF6"/>
    <w:rsid w:val="00FA4E2E"/>
    <w:rsid w:val="00FB3249"/>
    <w:rsid w:val="00FB3AB3"/>
    <w:rsid w:val="00FC3FFF"/>
    <w:rsid w:val="00FC79DA"/>
    <w:rsid w:val="00FD00AD"/>
    <w:rsid w:val="00FE0D83"/>
    <w:rsid w:val="00FF7526"/>
    <w:rsid w:val="0DB5511E"/>
    <w:rsid w:val="16744C88"/>
    <w:rsid w:val="1AA44549"/>
    <w:rsid w:val="1F5B07A9"/>
    <w:rsid w:val="276177BD"/>
    <w:rsid w:val="28331949"/>
    <w:rsid w:val="2ACB3D02"/>
    <w:rsid w:val="2B173E22"/>
    <w:rsid w:val="2C2B7542"/>
    <w:rsid w:val="3893447C"/>
    <w:rsid w:val="425A3F23"/>
    <w:rsid w:val="42C00146"/>
    <w:rsid w:val="46DD7549"/>
    <w:rsid w:val="48F906CC"/>
    <w:rsid w:val="49B370FF"/>
    <w:rsid w:val="4CDF2794"/>
    <w:rsid w:val="4D8E28F7"/>
    <w:rsid w:val="4F595EC2"/>
    <w:rsid w:val="512C46FA"/>
    <w:rsid w:val="55675971"/>
    <w:rsid w:val="5A8D16D5"/>
    <w:rsid w:val="5C21315A"/>
    <w:rsid w:val="5C266CA3"/>
    <w:rsid w:val="625E6DB2"/>
    <w:rsid w:val="730A690E"/>
    <w:rsid w:val="784D46E8"/>
    <w:rsid w:val="7E972F9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ar-SA"/>
    </w:rPr>
  </w:style>
  <w:style w:type="paragraph" w:styleId="2">
    <w:name w:val="heading 1"/>
    <w:basedOn w:val="1"/>
    <w:next w:val="1"/>
    <w:link w:val="26"/>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27"/>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30"/>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38"/>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39"/>
    <w:semiHidden/>
    <w:unhideWhenUsed/>
    <w:qFormat/>
    <w:uiPriority w:val="9"/>
    <w:pPr>
      <w:keepNext/>
      <w:keepLines/>
      <w:spacing w:before="200" w:after="0"/>
      <w:outlineLvl w:val="4"/>
    </w:pPr>
    <w:rPr>
      <w:rFonts w:asciiTheme="majorHAnsi" w:hAnsiTheme="majorHAnsi" w:eastAsiaTheme="majorEastAsia" w:cstheme="majorBidi"/>
      <w:color w:val="243F61" w:themeColor="accent1" w:themeShade="7F"/>
    </w:rPr>
  </w:style>
  <w:style w:type="paragraph" w:styleId="7">
    <w:name w:val="heading 6"/>
    <w:basedOn w:val="1"/>
    <w:next w:val="1"/>
    <w:link w:val="40"/>
    <w:semiHidden/>
    <w:unhideWhenUsed/>
    <w:qFormat/>
    <w:uiPriority w:val="9"/>
    <w:pPr>
      <w:keepNext/>
      <w:keepLines/>
      <w:spacing w:before="200" w:after="0"/>
      <w:outlineLvl w:val="5"/>
    </w:pPr>
    <w:rPr>
      <w:rFonts w:asciiTheme="majorHAnsi" w:hAnsiTheme="majorHAnsi" w:eastAsiaTheme="majorEastAsia" w:cstheme="majorBidi"/>
      <w:i/>
      <w:iCs/>
      <w:color w:val="243F61" w:themeColor="accent1" w:themeShade="7F"/>
    </w:rPr>
  </w:style>
  <w:style w:type="paragraph" w:styleId="8">
    <w:name w:val="heading 7"/>
    <w:basedOn w:val="1"/>
    <w:next w:val="1"/>
    <w:link w:val="41"/>
    <w:semiHidden/>
    <w:unhideWhenUsed/>
    <w:qFormat/>
    <w:uiPriority w:val="9"/>
    <w:pPr>
      <w:keepNext/>
      <w:keepLines/>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42"/>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10">
    <w:name w:val="heading 9"/>
    <w:basedOn w:val="1"/>
    <w:next w:val="1"/>
    <w:link w:val="43"/>
    <w:semiHidden/>
    <w:unhideWhenUsed/>
    <w:qFormat/>
    <w:uiPriority w:val="9"/>
    <w:pPr>
      <w:keepNext/>
      <w:keepLines/>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8"/>
    <w:semiHidden/>
    <w:unhideWhenUsed/>
    <w:qFormat/>
    <w:uiPriority w:val="99"/>
    <w:pPr>
      <w:spacing w:after="0" w:line="240" w:lineRule="auto"/>
    </w:pPr>
    <w:rPr>
      <w:rFonts w:ascii="Tahoma" w:hAnsi="Tahoma" w:cs="Tahoma"/>
      <w:sz w:val="16"/>
      <w:szCs w:val="16"/>
    </w:rPr>
  </w:style>
  <w:style w:type="paragraph" w:styleId="14">
    <w:name w:val="Body Text Indent 2"/>
    <w:basedOn w:val="1"/>
    <w:link w:val="35"/>
    <w:semiHidden/>
    <w:unhideWhenUsed/>
    <w:qFormat/>
    <w:uiPriority w:val="99"/>
    <w:pPr>
      <w:spacing w:after="120" w:line="480" w:lineRule="auto"/>
      <w:ind w:left="360"/>
    </w:pPr>
  </w:style>
  <w:style w:type="paragraph" w:styleId="15">
    <w:name w:val="caption"/>
    <w:basedOn w:val="1"/>
    <w:next w:val="1"/>
    <w:semiHidden/>
    <w:unhideWhenUsed/>
    <w:qFormat/>
    <w:uiPriority w:val="35"/>
    <w:pPr>
      <w:spacing w:line="240" w:lineRule="auto"/>
    </w:pPr>
    <w:rPr>
      <w:b/>
      <w:bCs/>
      <w:color w:val="4F81BD" w:themeColor="accent1"/>
      <w:sz w:val="18"/>
      <w:szCs w:val="18"/>
    </w:rPr>
  </w:style>
  <w:style w:type="character" w:styleId="16">
    <w:name w:val="Emphasis"/>
    <w:basedOn w:val="11"/>
    <w:qFormat/>
    <w:uiPriority w:val="20"/>
    <w:rPr>
      <w:i/>
      <w:iCs/>
    </w:rPr>
  </w:style>
  <w:style w:type="paragraph" w:styleId="17">
    <w:name w:val="footer"/>
    <w:basedOn w:val="1"/>
    <w:link w:val="33"/>
    <w:unhideWhenUsed/>
    <w:qFormat/>
    <w:uiPriority w:val="99"/>
    <w:pPr>
      <w:tabs>
        <w:tab w:val="center" w:pos="4680"/>
        <w:tab w:val="right" w:pos="9360"/>
      </w:tabs>
      <w:spacing w:after="0" w:line="240" w:lineRule="auto"/>
    </w:pPr>
  </w:style>
  <w:style w:type="paragraph" w:styleId="18">
    <w:name w:val="header"/>
    <w:basedOn w:val="1"/>
    <w:link w:val="32"/>
    <w:unhideWhenUsed/>
    <w:qFormat/>
    <w:uiPriority w:val="99"/>
    <w:pPr>
      <w:tabs>
        <w:tab w:val="center" w:pos="4680"/>
        <w:tab w:val="right" w:pos="9360"/>
      </w:tabs>
      <w:spacing w:after="0" w:line="240" w:lineRule="auto"/>
    </w:pPr>
  </w:style>
  <w:style w:type="character" w:styleId="19">
    <w:name w:val="Hyperlink"/>
    <w:basedOn w:val="11"/>
    <w:unhideWhenUsed/>
    <w:qFormat/>
    <w:uiPriority w:val="99"/>
    <w:rPr>
      <w:color w:val="0000FF" w:themeColor="hyperlink"/>
      <w:u w:val="single"/>
    </w:rPr>
  </w:style>
  <w:style w:type="character" w:styleId="20">
    <w:name w:val="Strong"/>
    <w:basedOn w:val="11"/>
    <w:qFormat/>
    <w:uiPriority w:val="22"/>
    <w:rPr>
      <w:b/>
      <w:bCs/>
    </w:rPr>
  </w:style>
  <w:style w:type="paragraph" w:styleId="21">
    <w:name w:val="Subtitle"/>
    <w:basedOn w:val="1"/>
    <w:next w:val="1"/>
    <w:link w:val="44"/>
    <w:qFormat/>
    <w:uiPriority w:val="11"/>
    <w:rPr>
      <w:rFonts w:asciiTheme="majorHAnsi" w:hAnsiTheme="majorHAnsi" w:eastAsiaTheme="majorEastAsia" w:cstheme="majorBidi"/>
      <w:i/>
      <w:iCs/>
      <w:color w:val="4F81BD" w:themeColor="accent1"/>
      <w:spacing w:val="15"/>
      <w:sz w:val="24"/>
      <w:szCs w:val="24"/>
    </w:rPr>
  </w:style>
  <w:style w:type="table" w:styleId="22">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next w:val="1"/>
    <w:link w:val="3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24">
    <w:name w:val="toc 1"/>
    <w:basedOn w:val="1"/>
    <w:next w:val="1"/>
    <w:unhideWhenUsed/>
    <w:qFormat/>
    <w:uiPriority w:val="39"/>
    <w:pPr>
      <w:spacing w:after="100"/>
    </w:pPr>
  </w:style>
  <w:style w:type="paragraph" w:styleId="25">
    <w:name w:val="toc 2"/>
    <w:basedOn w:val="1"/>
    <w:next w:val="1"/>
    <w:unhideWhenUsed/>
    <w:qFormat/>
    <w:uiPriority w:val="39"/>
    <w:pPr>
      <w:spacing w:after="100"/>
      <w:ind w:left="220"/>
    </w:pPr>
  </w:style>
  <w:style w:type="character" w:customStyle="1" w:styleId="26">
    <w:name w:val="Heading 1 Char"/>
    <w:basedOn w:val="11"/>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27">
    <w:name w:val="Heading 2 Char"/>
    <w:basedOn w:val="11"/>
    <w:link w:val="3"/>
    <w:qFormat/>
    <w:uiPriority w:val="9"/>
    <w:rPr>
      <w:rFonts w:asciiTheme="majorHAnsi" w:hAnsiTheme="majorHAnsi" w:eastAsiaTheme="majorEastAsia" w:cstheme="majorBidi"/>
      <w:b/>
      <w:bCs/>
      <w:color w:val="4F81BD" w:themeColor="accent1"/>
      <w:sz w:val="26"/>
      <w:szCs w:val="26"/>
    </w:rPr>
  </w:style>
  <w:style w:type="character" w:customStyle="1" w:styleId="28">
    <w:name w:val="Balloon Text Char"/>
    <w:basedOn w:val="11"/>
    <w:link w:val="13"/>
    <w:semiHidden/>
    <w:qFormat/>
    <w:uiPriority w:val="99"/>
    <w:rPr>
      <w:rFonts w:ascii="Tahoma" w:hAnsi="Tahoma" w:cs="Tahoma"/>
      <w:sz w:val="16"/>
      <w:szCs w:val="16"/>
    </w:rPr>
  </w:style>
  <w:style w:type="character" w:customStyle="1" w:styleId="29">
    <w:name w:val="Subtle Emphasis"/>
    <w:basedOn w:val="11"/>
    <w:qFormat/>
    <w:uiPriority w:val="19"/>
    <w:rPr>
      <w:i/>
      <w:iCs/>
      <w:color w:val="7F7F7F" w:themeColor="text1" w:themeTint="7F"/>
    </w:rPr>
  </w:style>
  <w:style w:type="character" w:customStyle="1" w:styleId="30">
    <w:name w:val="Heading 3 Char"/>
    <w:basedOn w:val="11"/>
    <w:link w:val="4"/>
    <w:qFormat/>
    <w:uiPriority w:val="9"/>
    <w:rPr>
      <w:rFonts w:asciiTheme="majorHAnsi" w:hAnsiTheme="majorHAnsi" w:eastAsiaTheme="majorEastAsia" w:cstheme="majorBidi"/>
      <w:b/>
      <w:bCs/>
      <w:color w:val="4F81BD" w:themeColor="accent1"/>
    </w:rPr>
  </w:style>
  <w:style w:type="paragraph" w:styleId="31">
    <w:name w:val="No Spacing"/>
    <w:qFormat/>
    <w:uiPriority w:val="1"/>
    <w:pPr>
      <w:spacing w:after="0" w:line="240" w:lineRule="auto"/>
    </w:pPr>
    <w:rPr>
      <w:rFonts w:asciiTheme="minorHAnsi" w:hAnsiTheme="minorHAnsi" w:eastAsiaTheme="minorEastAsia" w:cstheme="minorBidi"/>
      <w:sz w:val="22"/>
      <w:szCs w:val="22"/>
      <w:lang w:val="en-IN" w:eastAsia="en-IN" w:bidi="ar-SA"/>
    </w:rPr>
  </w:style>
  <w:style w:type="character" w:customStyle="1" w:styleId="32">
    <w:name w:val="Header Char"/>
    <w:basedOn w:val="11"/>
    <w:link w:val="18"/>
    <w:qFormat/>
    <w:uiPriority w:val="99"/>
  </w:style>
  <w:style w:type="character" w:customStyle="1" w:styleId="33">
    <w:name w:val="Footer Char"/>
    <w:basedOn w:val="11"/>
    <w:link w:val="17"/>
    <w:qFormat/>
    <w:uiPriority w:val="99"/>
  </w:style>
  <w:style w:type="paragraph" w:styleId="34">
    <w:name w:val="List Paragraph"/>
    <w:basedOn w:val="1"/>
    <w:qFormat/>
    <w:uiPriority w:val="34"/>
    <w:pPr>
      <w:ind w:left="720"/>
      <w:contextualSpacing/>
    </w:pPr>
  </w:style>
  <w:style w:type="character" w:customStyle="1" w:styleId="35">
    <w:name w:val="Body Text Indent 2 Char"/>
    <w:basedOn w:val="11"/>
    <w:link w:val="14"/>
    <w:semiHidden/>
    <w:qFormat/>
    <w:uiPriority w:val="99"/>
  </w:style>
  <w:style w:type="character" w:customStyle="1" w:styleId="36">
    <w:name w:val="Title Char"/>
    <w:basedOn w:val="11"/>
    <w:link w:val="23"/>
    <w:qFormat/>
    <w:uiPriority w:val="10"/>
    <w:rPr>
      <w:rFonts w:asciiTheme="majorHAnsi" w:hAnsiTheme="majorHAnsi" w:eastAsiaTheme="majorEastAsia" w:cstheme="majorBidi"/>
      <w:color w:val="17365D" w:themeColor="text2" w:themeShade="BF"/>
      <w:spacing w:val="5"/>
      <w:kern w:val="28"/>
      <w:sz w:val="52"/>
      <w:szCs w:val="52"/>
    </w:rPr>
  </w:style>
  <w:style w:type="paragraph" w:customStyle="1" w:styleId="37">
    <w:name w:val="TOC Heading"/>
    <w:basedOn w:val="2"/>
    <w:next w:val="1"/>
    <w:semiHidden/>
    <w:unhideWhenUsed/>
    <w:qFormat/>
    <w:uiPriority w:val="39"/>
    <w:pPr>
      <w:outlineLvl w:val="9"/>
    </w:pPr>
  </w:style>
  <w:style w:type="character" w:customStyle="1" w:styleId="38">
    <w:name w:val="Heading 4 Char"/>
    <w:basedOn w:val="11"/>
    <w:link w:val="5"/>
    <w:semiHidden/>
    <w:qFormat/>
    <w:uiPriority w:val="9"/>
    <w:rPr>
      <w:rFonts w:asciiTheme="majorHAnsi" w:hAnsiTheme="majorHAnsi" w:eastAsiaTheme="majorEastAsia" w:cstheme="majorBidi"/>
      <w:b/>
      <w:bCs/>
      <w:i/>
      <w:iCs/>
      <w:color w:val="4F81BD" w:themeColor="accent1"/>
    </w:rPr>
  </w:style>
  <w:style w:type="character" w:customStyle="1" w:styleId="39">
    <w:name w:val="Heading 5 Char"/>
    <w:basedOn w:val="11"/>
    <w:link w:val="6"/>
    <w:semiHidden/>
    <w:qFormat/>
    <w:uiPriority w:val="9"/>
    <w:rPr>
      <w:rFonts w:asciiTheme="majorHAnsi" w:hAnsiTheme="majorHAnsi" w:eastAsiaTheme="majorEastAsia" w:cstheme="majorBidi"/>
      <w:color w:val="243F61" w:themeColor="accent1" w:themeShade="7F"/>
    </w:rPr>
  </w:style>
  <w:style w:type="character" w:customStyle="1" w:styleId="40">
    <w:name w:val="Heading 6 Char"/>
    <w:basedOn w:val="11"/>
    <w:link w:val="7"/>
    <w:semiHidden/>
    <w:qFormat/>
    <w:uiPriority w:val="9"/>
    <w:rPr>
      <w:rFonts w:asciiTheme="majorHAnsi" w:hAnsiTheme="majorHAnsi" w:eastAsiaTheme="majorEastAsia" w:cstheme="majorBidi"/>
      <w:i/>
      <w:iCs/>
      <w:color w:val="243F61" w:themeColor="accent1" w:themeShade="7F"/>
    </w:rPr>
  </w:style>
  <w:style w:type="character" w:customStyle="1" w:styleId="41">
    <w:name w:val="Heading 7 Char"/>
    <w:basedOn w:val="11"/>
    <w:link w:val="8"/>
    <w:semiHidden/>
    <w:qFormat/>
    <w:uiPriority w:val="9"/>
    <w:rPr>
      <w:rFonts w:asciiTheme="majorHAnsi" w:hAnsiTheme="majorHAnsi" w:eastAsiaTheme="majorEastAsia" w:cstheme="majorBidi"/>
      <w:i/>
      <w:iCs/>
      <w:color w:val="3F3F3F" w:themeColor="text1" w:themeTint="BF"/>
    </w:rPr>
  </w:style>
  <w:style w:type="character" w:customStyle="1" w:styleId="42">
    <w:name w:val="Heading 8 Char"/>
    <w:basedOn w:val="11"/>
    <w:link w:val="9"/>
    <w:semiHidden/>
    <w:qFormat/>
    <w:uiPriority w:val="9"/>
    <w:rPr>
      <w:rFonts w:asciiTheme="majorHAnsi" w:hAnsiTheme="majorHAnsi" w:eastAsiaTheme="majorEastAsia" w:cstheme="majorBidi"/>
      <w:color w:val="4F81BD" w:themeColor="accent1"/>
      <w:sz w:val="20"/>
      <w:szCs w:val="20"/>
    </w:rPr>
  </w:style>
  <w:style w:type="character" w:customStyle="1" w:styleId="43">
    <w:name w:val="Heading 9 Char"/>
    <w:basedOn w:val="11"/>
    <w:link w:val="10"/>
    <w:semiHidden/>
    <w:qFormat/>
    <w:uiPriority w:val="9"/>
    <w:rPr>
      <w:rFonts w:asciiTheme="majorHAnsi" w:hAnsiTheme="majorHAnsi" w:eastAsiaTheme="majorEastAsia" w:cstheme="majorBidi"/>
      <w:i/>
      <w:iCs/>
      <w:color w:val="3F3F3F" w:themeColor="text1" w:themeTint="BF"/>
      <w:sz w:val="20"/>
      <w:szCs w:val="20"/>
    </w:rPr>
  </w:style>
  <w:style w:type="character" w:customStyle="1" w:styleId="44">
    <w:name w:val="Subtitle Char"/>
    <w:basedOn w:val="11"/>
    <w:link w:val="21"/>
    <w:qFormat/>
    <w:uiPriority w:val="11"/>
    <w:rPr>
      <w:rFonts w:asciiTheme="majorHAnsi" w:hAnsiTheme="majorHAnsi" w:eastAsiaTheme="majorEastAsia" w:cstheme="majorBidi"/>
      <w:i/>
      <w:iCs/>
      <w:color w:val="4F81BD" w:themeColor="accent1"/>
      <w:spacing w:val="15"/>
      <w:sz w:val="24"/>
      <w:szCs w:val="24"/>
    </w:rPr>
  </w:style>
  <w:style w:type="paragraph" w:styleId="45">
    <w:name w:val="Quote"/>
    <w:basedOn w:val="1"/>
    <w:next w:val="1"/>
    <w:link w:val="46"/>
    <w:qFormat/>
    <w:uiPriority w:val="29"/>
    <w:rPr>
      <w:i/>
      <w:iCs/>
      <w:color w:val="000000" w:themeColor="text1"/>
    </w:rPr>
  </w:style>
  <w:style w:type="character" w:customStyle="1" w:styleId="46">
    <w:name w:val="Quote Char"/>
    <w:basedOn w:val="11"/>
    <w:link w:val="45"/>
    <w:qFormat/>
    <w:uiPriority w:val="29"/>
    <w:rPr>
      <w:i/>
      <w:iCs/>
      <w:color w:val="000000" w:themeColor="text1"/>
    </w:rPr>
  </w:style>
  <w:style w:type="paragraph" w:styleId="47">
    <w:name w:val="Intense Quote"/>
    <w:basedOn w:val="1"/>
    <w:next w:val="1"/>
    <w:link w:val="48"/>
    <w:qFormat/>
    <w:uiPriority w:val="30"/>
    <w:pPr>
      <w:pBdr>
        <w:bottom w:val="single" w:color="4F81BD" w:themeColor="accent1" w:sz="4" w:space="4"/>
      </w:pBdr>
      <w:spacing w:before="200" w:after="280"/>
      <w:ind w:left="936" w:right="936"/>
    </w:pPr>
    <w:rPr>
      <w:b/>
      <w:bCs/>
      <w:i/>
      <w:iCs/>
      <w:color w:val="4F81BD" w:themeColor="accent1"/>
    </w:rPr>
  </w:style>
  <w:style w:type="character" w:customStyle="1" w:styleId="48">
    <w:name w:val="Intense Quote Char"/>
    <w:basedOn w:val="11"/>
    <w:link w:val="47"/>
    <w:qFormat/>
    <w:uiPriority w:val="30"/>
    <w:rPr>
      <w:b/>
      <w:bCs/>
      <w:i/>
      <w:iCs/>
      <w:color w:val="4F81BD" w:themeColor="accent1"/>
    </w:rPr>
  </w:style>
  <w:style w:type="character" w:customStyle="1" w:styleId="49">
    <w:name w:val="Intense Emphasis"/>
    <w:basedOn w:val="11"/>
    <w:qFormat/>
    <w:uiPriority w:val="21"/>
    <w:rPr>
      <w:b/>
      <w:bCs/>
      <w:i/>
      <w:iCs/>
      <w:color w:val="4F81BD" w:themeColor="accent1"/>
    </w:rPr>
  </w:style>
  <w:style w:type="character" w:customStyle="1" w:styleId="50">
    <w:name w:val="Subtle Reference"/>
    <w:basedOn w:val="11"/>
    <w:qFormat/>
    <w:uiPriority w:val="31"/>
    <w:rPr>
      <w:smallCaps/>
      <w:color w:val="C0504D" w:themeColor="accent2"/>
      <w:u w:val="single"/>
    </w:rPr>
  </w:style>
  <w:style w:type="character" w:customStyle="1" w:styleId="51">
    <w:name w:val="Intense Reference"/>
    <w:basedOn w:val="11"/>
    <w:qFormat/>
    <w:uiPriority w:val="32"/>
    <w:rPr>
      <w:b/>
      <w:bCs/>
      <w:smallCaps/>
      <w:color w:val="C0504D" w:themeColor="accent2"/>
      <w:spacing w:val="5"/>
      <w:u w:val="single"/>
    </w:rPr>
  </w:style>
  <w:style w:type="character" w:customStyle="1" w:styleId="52">
    <w:name w:val="Book Title"/>
    <w:basedOn w:val="11"/>
    <w:qFormat/>
    <w:uiPriority w:val="33"/>
    <w:rPr>
      <w:b/>
      <w:bCs/>
      <w:smallCaps/>
      <w:spacing w:val="5"/>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4.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749B521D0538459402BA112F7403F3" ma:contentTypeVersion="0" ma:contentTypeDescription="Create a new document." ma:contentTypeScope="" ma:versionID="868b028a47c4082beb3580cab01cf07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FAED7A1-3A0E-4E99-81B2-792A550AE8C9}">
  <ds:schemaRefs/>
</ds:datastoreItem>
</file>

<file path=customXml/itemProps2.xml><?xml version="1.0" encoding="utf-8"?>
<ds:datastoreItem xmlns:ds="http://schemas.openxmlformats.org/officeDocument/2006/customXml" ds:itemID="{CBDB490A-BB59-48B1-9CB4-20AE826C82AE}">
  <ds:schemaRefs/>
</ds:datastoreItem>
</file>

<file path=customXml/itemProps3.xml><?xml version="1.0" encoding="utf-8"?>
<ds:datastoreItem xmlns:ds="http://schemas.openxmlformats.org/officeDocument/2006/customXml" ds:itemID="{49F3619E-09EC-46A8-9AE7-8048E65F883E}">
  <ds:schemaRefs/>
</ds:datastoreItem>
</file>

<file path=customXml/itemProps4.xml><?xml version="1.0" encoding="utf-8"?>
<ds:datastoreItem xmlns:ds="http://schemas.openxmlformats.org/officeDocument/2006/customXml" ds:itemID="{31384CCC-B9C8-4A52-9784-F6ACAF266813}">
  <ds:schemaRefs/>
</ds:datastoreItem>
</file>

<file path=docProps/app.xml><?xml version="1.0" encoding="utf-8"?>
<Properties xmlns="http://schemas.openxmlformats.org/officeDocument/2006/extended-properties" xmlns:vt="http://schemas.openxmlformats.org/officeDocument/2006/docPropsVTypes">
  <Template>Normal.dotm</Template>
  <Pages>3</Pages>
  <Words>258</Words>
  <Characters>1476</Characters>
  <Lines>12</Lines>
  <Paragraphs>3</Paragraphs>
  <TotalTime>2</TotalTime>
  <ScaleCrop>false</ScaleCrop>
  <LinksUpToDate>false</LinksUpToDate>
  <CharactersWithSpaces>1731</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2014-06-28T04:47:00Z</dcterms:created>
  <dc:creator>Rishi Bhatnagar</dc:creator>
  <cp:lastModifiedBy>13972</cp:lastModifiedBy>
  <dcterms:modified xsi:type="dcterms:W3CDTF">2022-09-08T08:03:35Z</dcterms:modified>
  <dc:title>Metrics Report</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0x01010084749B521D0538459402BA112F7403F3</vt:lpwstr>
  </property>
  <property fmtid="{D5CDD505-2E9C-101B-9397-08002B2CF9AE}" pid="3" name="KSOProductBuildVer">
    <vt:lpwstr>1033-11.2.0.11306</vt:lpwstr>
  </property>
  <property fmtid="{D5CDD505-2E9C-101B-9397-08002B2CF9AE}" pid="4" name="ICV">
    <vt:lpwstr>75DCF4398B0B4887B8C047C8185B3D2A</vt:lpwstr>
  </property>
</Properties>
</file>