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54" w:rsidRDefault="00AB05FE">
      <w:pPr>
        <w:pStyle w:val="Title"/>
      </w:pPr>
      <w:r>
        <w:rPr>
          <w:lang w:val="en-US"/>
        </w:rPr>
        <w:t>&lt;GGE300</w:t>
      </w:r>
      <w:r>
        <w:t xml:space="preserve">&gt; </w:t>
      </w:r>
      <w:r>
        <w:fldChar w:fldCharType="begin"/>
      </w:r>
      <w:r>
        <w:instrText xml:space="preserve"> TITLE  \* Upper  \* MERGEFORMAT </w:instrText>
      </w:r>
      <w:r>
        <w:fldChar w:fldCharType="separate"/>
      </w:r>
      <w:r>
        <w:t>METRICS REPORT</w:t>
      </w:r>
      <w:r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DA7554" w:rsidRDefault="00AB05FE">
          <w:pPr>
            <w:pStyle w:val="TOCHeading1"/>
          </w:pPr>
          <w:r>
            <w:t>Contents</w:t>
          </w:r>
        </w:p>
        <w:p w:rsidR="00DA7554" w:rsidRDefault="00AB05FE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7" w:history="1">
            <w:r>
              <w:rPr>
                <w:iCs/>
              </w:rPr>
              <w:t xml:space="preserve">1. </w:t>
            </w:r>
            <w:r>
              <w:t>Project Introduction</w:t>
            </w:r>
            <w:r>
              <w:tab/>
            </w:r>
            <w:r>
              <w:fldChar w:fldCharType="begin"/>
            </w:r>
            <w:r>
              <w:instrText xml:space="preserve"> PAGEREF _Toc11397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7554" w:rsidRDefault="00AB05FE">
          <w:pPr>
            <w:pStyle w:val="TOC1"/>
            <w:tabs>
              <w:tab w:val="right" w:leader="dot" w:pos="9360"/>
            </w:tabs>
          </w:pPr>
          <w:hyperlink w:anchor="_Toc9978" w:history="1">
            <w:r>
              <w:t>2. Schedule Variance</w:t>
            </w:r>
            <w:r>
              <w:rPr>
                <w:lang w:val="en-US"/>
              </w:rPr>
              <w:t xml:space="preserve"> and cost Variance</w:t>
            </w:r>
            <w:r>
              <w:tab/>
            </w:r>
            <w:r>
              <w:fldChar w:fldCharType="begin"/>
            </w:r>
            <w:r>
              <w:instrText xml:space="preserve"> PAGEREF _Toc9978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16125" w:history="1">
            <w:r>
              <w:rPr>
                <w:lang w:val="en-US"/>
              </w:rPr>
              <w:t>2.1. EVMS CHART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_Toc16125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24828" w:history="1">
            <w:r>
              <w:t>2.2. Causal Analysis(Phase wise)</w:t>
            </w:r>
            <w:r>
              <w:tab/>
            </w:r>
            <w:r>
              <w:fldChar w:fldCharType="begin"/>
            </w:r>
            <w:r>
              <w:instrText xml:space="preserve"> PAGEREF _Toc24828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31828" w:history="1">
            <w:r>
              <w:t>2.3. Corrective Actions</w:t>
            </w:r>
            <w:r>
              <w:tab/>
            </w:r>
            <w:r>
              <w:fldChar w:fldCharType="begin"/>
            </w:r>
            <w:r>
              <w:instrText xml:space="preserve"> PAGEREF _Toc31828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1"/>
            <w:tabs>
              <w:tab w:val="right" w:leader="dot" w:pos="9360"/>
            </w:tabs>
          </w:pPr>
          <w:hyperlink w:anchor="_Toc10240" w:history="1">
            <w:r>
              <w:t>3. Product Defect Density</w:t>
            </w:r>
            <w:r>
              <w:tab/>
            </w:r>
            <w:r>
              <w:fldChar w:fldCharType="begin"/>
            </w:r>
            <w:r>
              <w:instrText xml:space="preserve"> PAGEREF _Toc10240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26327" w:history="1">
            <w:r>
              <w:t>3.1. Corrective Actions</w:t>
            </w:r>
            <w:r>
              <w:tab/>
            </w:r>
            <w:r>
              <w:fldChar w:fldCharType="begin"/>
            </w:r>
            <w:r>
              <w:instrText xml:space="preserve"> PAGEREF _Toc26327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29684" w:history="1">
            <w:r>
              <w:t>3.2. Root Cause Analysis</w:t>
            </w:r>
            <w:r>
              <w:tab/>
            </w:r>
            <w:r>
              <w:fldChar w:fldCharType="begin"/>
            </w:r>
            <w:r>
              <w:instrText xml:space="preserve"> PAGEREF _Toc29684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1"/>
            <w:tabs>
              <w:tab w:val="right" w:leader="dot" w:pos="9360"/>
            </w:tabs>
          </w:pPr>
          <w:hyperlink w:anchor="_Toc551" w:history="1">
            <w:r>
              <w:t>4. Project’s Process Defect Density</w:t>
            </w:r>
            <w:r>
              <w:tab/>
            </w:r>
            <w:r>
              <w:fldChar w:fldCharType="begin"/>
            </w:r>
            <w:r>
              <w:instrText xml:space="preserve"> PAGEREF _Toc551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16286" w:history="1">
            <w:r>
              <w:t>4.1. Corrective Actions</w:t>
            </w:r>
            <w:r>
              <w:tab/>
            </w:r>
            <w:r>
              <w:fldChar w:fldCharType="begin"/>
            </w:r>
            <w:r>
              <w:instrText xml:space="preserve"> PAGEREF _Toc16286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A7554" w:rsidRDefault="00AB05FE">
          <w:pPr>
            <w:pStyle w:val="TOC2"/>
            <w:tabs>
              <w:tab w:val="right" w:leader="dot" w:pos="9360"/>
            </w:tabs>
          </w:pPr>
          <w:hyperlink w:anchor="_Toc29941" w:history="1">
            <w:r>
              <w:t>4.2. Root Cause Analysis</w:t>
            </w:r>
            <w:r>
              <w:tab/>
            </w:r>
            <w:r>
              <w:fldChar w:fldCharType="begin"/>
            </w:r>
            <w:r>
              <w:instrText xml:space="preserve"> PAGEREF _Toc29941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A7554" w:rsidRDefault="00AB05FE">
          <w:r>
            <w:fldChar w:fldCharType="end"/>
          </w:r>
        </w:p>
      </w:sdtContent>
    </w:sdt>
    <w:p w:rsidR="00DA7554" w:rsidRDefault="00AB05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7554" w:rsidRDefault="00AB05FE">
      <w:pPr>
        <w:pStyle w:val="Heading1"/>
        <w:numPr>
          <w:ilvl w:val="0"/>
          <w:numId w:val="1"/>
        </w:numPr>
        <w:rPr>
          <w:iCs/>
        </w:rPr>
      </w:pPr>
      <w:bookmarkStart w:id="0" w:name="_Toc11397"/>
      <w:r>
        <w:lastRenderedPageBreak/>
        <w:t>Project Introduction</w:t>
      </w:r>
      <w:bookmarkEnd w:id="0"/>
      <w:r>
        <w:rPr>
          <w:iCs/>
        </w:rPr>
        <w:t xml:space="preserve"> </w:t>
      </w:r>
    </w:p>
    <w:p w:rsidR="00DA7554" w:rsidRDefault="00AB05FE">
      <w:pPr>
        <w:ind w:left="720"/>
        <w:rPr>
          <w:lang w:val="en-US"/>
        </w:rPr>
      </w:pPr>
      <w:r>
        <w:t xml:space="preserve">Project Manager: </w:t>
      </w:r>
      <w:proofErr w:type="spellStart"/>
      <w:r>
        <w:rPr>
          <w:lang w:val="en-US"/>
        </w:rPr>
        <w:t>Syoji</w:t>
      </w:r>
      <w:proofErr w:type="spellEnd"/>
      <w:r>
        <w:rPr>
          <w:lang w:val="en-US"/>
        </w:rPr>
        <w:t xml:space="preserve"> Ram Sharma</w:t>
      </w:r>
    </w:p>
    <w:p w:rsidR="00DA7554" w:rsidRDefault="00AB05FE">
      <w:pPr>
        <w:ind w:left="720"/>
      </w:pPr>
      <w:r>
        <w:t xml:space="preserve">Team </w:t>
      </w:r>
      <w:proofErr w:type="gramStart"/>
      <w:r>
        <w:t>Size :</w:t>
      </w:r>
      <w:r>
        <w:rPr>
          <w:lang w:val="en-US"/>
        </w:rPr>
        <w:t>10</w:t>
      </w:r>
      <w:proofErr w:type="gramEnd"/>
      <w:r>
        <w:rPr>
          <w:lang w:val="en-US"/>
        </w:rPr>
        <w:t xml:space="preserve"> Nos</w:t>
      </w:r>
      <w:r>
        <w:t xml:space="preserve">     </w:t>
      </w:r>
    </w:p>
    <w:p w:rsidR="00DA7554" w:rsidRDefault="00AB05FE">
      <w:pPr>
        <w:pStyle w:val="Heading1"/>
        <w:numPr>
          <w:ilvl w:val="0"/>
          <w:numId w:val="1"/>
        </w:numPr>
      </w:pPr>
      <w:bookmarkStart w:id="1" w:name="_Toc9978"/>
      <w:r>
        <w:t>Schedule Variance</w:t>
      </w:r>
      <w:r>
        <w:rPr>
          <w:lang w:val="en-US"/>
        </w:rPr>
        <w:t xml:space="preserve"> and cost Variance</w:t>
      </w:r>
      <w:bookmarkEnd w:id="1"/>
    </w:p>
    <w:p w:rsidR="00DA7554" w:rsidRDefault="00AB05FE">
      <w:pPr>
        <w:pStyle w:val="Heading2"/>
        <w:numPr>
          <w:ilvl w:val="1"/>
          <w:numId w:val="1"/>
        </w:numPr>
        <w:rPr>
          <w:lang w:val="en-US"/>
        </w:rPr>
      </w:pPr>
      <w:bookmarkStart w:id="2" w:name="_Toc16125"/>
      <w:r>
        <w:rPr>
          <w:lang w:val="en-US"/>
        </w:rPr>
        <w:t>EVMS CHART</w:t>
      </w:r>
      <w:bookmarkEnd w:id="2"/>
    </w:p>
    <w:p w:rsidR="00DA7554" w:rsidRDefault="00DA7554">
      <w:pPr>
        <w:rPr>
          <w:lang w:val="en-US"/>
        </w:rPr>
      </w:pPr>
    </w:p>
    <w:p w:rsidR="00DA7554" w:rsidRDefault="00AB05FE">
      <w:pPr>
        <w:rPr>
          <w:lang w:val="en-US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6212840" cy="2667000"/>
            <wp:effectExtent l="0" t="0" r="1651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7554" w:rsidRDefault="00DA7554">
      <w:pPr>
        <w:rPr>
          <w:lang w:val="en-US"/>
        </w:rPr>
      </w:pPr>
    </w:p>
    <w:p w:rsidR="00DA7554" w:rsidRDefault="00DA7554">
      <w:pPr>
        <w:pStyle w:val="Heading2"/>
        <w:rPr>
          <w:lang w:val="en-US"/>
        </w:rPr>
      </w:pPr>
    </w:p>
    <w:p w:rsidR="00DA7554" w:rsidRDefault="00AB05FE">
      <w:pPr>
        <w:rPr>
          <w:lang w:val="en-US"/>
        </w:rPr>
      </w:pPr>
      <w:r>
        <w:rPr>
          <w:noProof/>
        </w:rPr>
        <w:drawing>
          <wp:inline distT="0" distB="0" distL="114300" distR="114300">
            <wp:extent cx="5941060" cy="1316355"/>
            <wp:effectExtent l="0" t="0" r="25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54" w:rsidRDefault="00DA7554"/>
    <w:p w:rsidR="00DA7554" w:rsidRDefault="00DA7554"/>
    <w:p w:rsidR="00DA7554" w:rsidRDefault="00DA7554">
      <w:pPr>
        <w:rPr>
          <w:b/>
          <w:bCs/>
          <w:sz w:val="28"/>
          <w:szCs w:val="28"/>
          <w:lang w:val="en-US"/>
        </w:rPr>
      </w:pPr>
    </w:p>
    <w:p w:rsidR="00DA7554" w:rsidRDefault="00AB05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Schedule and Cost Variance analysis at project </w:t>
      </w:r>
      <w:r>
        <w:rPr>
          <w:b/>
          <w:bCs/>
          <w:sz w:val="28"/>
          <w:szCs w:val="28"/>
          <w:lang w:val="en-US"/>
        </w:rPr>
        <w:t>Level</w:t>
      </w:r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839"/>
        <w:gridCol w:w="1420"/>
        <w:gridCol w:w="1669"/>
        <w:gridCol w:w="1017"/>
        <w:gridCol w:w="887"/>
        <w:gridCol w:w="818"/>
        <w:gridCol w:w="1623"/>
        <w:gridCol w:w="1663"/>
      </w:tblGrid>
      <w:tr w:rsidR="00DA7554">
        <w:trPr>
          <w:trHeight w:val="928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Weeks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 of Week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Name of Phase 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Planned Value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Earned Value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Actual Cost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Schedule variance</w:t>
            </w:r>
          </w:p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(EV-PV/PV)*100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Cost Variance</w:t>
            </w:r>
          </w:p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(AC-EV/EV)*100</w:t>
            </w:r>
          </w:p>
        </w:tc>
      </w:tr>
      <w:tr w:rsidR="00DA7554">
        <w:trPr>
          <w:trHeight w:val="433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1st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19-07-22 to 26-07-22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RD Phase, Planning Phase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-3.33%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2nd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26-07-22 to 02-08-22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Planning Phase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-3.33%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</w:tr>
      <w:tr w:rsidR="00DA7554">
        <w:trPr>
          <w:trHeight w:val="698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3rd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02-08-22 to 09-08-22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 and Implementation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71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74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68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4.22%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-8.10%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4th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09-08-22 to 16-08-22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Testing and integration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76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76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68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-10.52%</w:t>
            </w:r>
          </w:p>
        </w:tc>
      </w:tr>
      <w:tr w:rsidR="00DA7554">
        <w:trPr>
          <w:trHeight w:val="534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5th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16-08-22 to 23-08-22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Testing and integration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88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88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93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5.68%</w:t>
            </w:r>
          </w:p>
        </w:tc>
      </w:tr>
      <w:tr w:rsidR="00DA7554">
        <w:trPr>
          <w:trHeight w:val="544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6th</w:t>
            </w:r>
          </w:p>
        </w:tc>
        <w:tc>
          <w:tcPr>
            <w:tcW w:w="1420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23-08-22 to 30-08-22</w:t>
            </w:r>
          </w:p>
        </w:tc>
        <w:tc>
          <w:tcPr>
            <w:tcW w:w="1669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Validation Phase , Closure</w:t>
            </w:r>
          </w:p>
        </w:tc>
        <w:tc>
          <w:tcPr>
            <w:tcW w:w="101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132</w:t>
            </w:r>
          </w:p>
        </w:tc>
        <w:tc>
          <w:tcPr>
            <w:tcW w:w="887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118</w:t>
            </w:r>
          </w:p>
        </w:tc>
        <w:tc>
          <w:tcPr>
            <w:tcW w:w="818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125</w:t>
            </w:r>
          </w:p>
        </w:tc>
        <w:tc>
          <w:tcPr>
            <w:tcW w:w="162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-10.60%</w:t>
            </w:r>
          </w:p>
        </w:tc>
        <w:tc>
          <w:tcPr>
            <w:tcW w:w="1663" w:type="dxa"/>
          </w:tcPr>
          <w:p w:rsidR="00DA7554" w:rsidRDefault="00AB05FE">
            <w:pPr>
              <w:spacing w:line="24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5.59%</w:t>
            </w:r>
          </w:p>
        </w:tc>
      </w:tr>
    </w:tbl>
    <w:p w:rsidR="00DA7554" w:rsidRDefault="00DA7554"/>
    <w:p w:rsidR="00DA7554" w:rsidRDefault="00AB05FE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Schedule and Effort Variance analysis at Weekly time slot with phase wise</w:t>
      </w:r>
    </w:p>
    <w:tbl>
      <w:tblPr>
        <w:tblStyle w:val="TableGrid"/>
        <w:tblW w:w="9894" w:type="dxa"/>
        <w:tblLayout w:type="fixed"/>
        <w:tblLook w:val="04A0" w:firstRow="1" w:lastRow="0" w:firstColumn="1" w:lastColumn="0" w:noHBand="0" w:noVBand="1"/>
      </w:tblPr>
      <w:tblGrid>
        <w:gridCol w:w="839"/>
        <w:gridCol w:w="1416"/>
        <w:gridCol w:w="1742"/>
        <w:gridCol w:w="958"/>
        <w:gridCol w:w="877"/>
        <w:gridCol w:w="819"/>
        <w:gridCol w:w="1615"/>
        <w:gridCol w:w="1628"/>
      </w:tblGrid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No of Week</w:t>
            </w:r>
          </w:p>
        </w:tc>
        <w:tc>
          <w:tcPr>
            <w:tcW w:w="1742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Phase 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Planned Value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Earned Value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Actual Cost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Schedule variance</w:t>
            </w:r>
          </w:p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(EV-PV/PV)*100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Cost Variance</w:t>
            </w:r>
          </w:p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(AC-EV/EV)*100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1st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19-07-22 to 26-07-22</w:t>
            </w:r>
          </w:p>
        </w:tc>
        <w:tc>
          <w:tcPr>
            <w:tcW w:w="1742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RD Phase, Planning Phase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-3.33%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2nd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26-07-22 to 02-08-22</w:t>
            </w:r>
          </w:p>
        </w:tc>
        <w:tc>
          <w:tcPr>
            <w:tcW w:w="1742" w:type="dxa"/>
          </w:tcPr>
          <w:p w:rsidR="00DA7554" w:rsidRDefault="00AB05FE">
            <w:r>
              <w:rPr>
                <w:lang w:val="en-US"/>
              </w:rPr>
              <w:t>Planning Phase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DA7554">
        <w:trPr>
          <w:trHeight w:val="698"/>
        </w:trPr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3rd</w:t>
            </w:r>
          </w:p>
        </w:tc>
        <w:tc>
          <w:tcPr>
            <w:tcW w:w="1416" w:type="dxa"/>
          </w:tcPr>
          <w:p w:rsidR="00DA7554" w:rsidRDefault="00AB05FE">
            <w:r>
              <w:rPr>
                <w:lang w:val="en-US"/>
              </w:rPr>
              <w:t>02-08-22 to 09-08-22</w:t>
            </w:r>
          </w:p>
        </w:tc>
        <w:tc>
          <w:tcPr>
            <w:tcW w:w="1742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Design and Implementation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8.88%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-13.3%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4th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09-08-22 to 16-08-22</w:t>
            </w:r>
          </w:p>
        </w:tc>
        <w:tc>
          <w:tcPr>
            <w:tcW w:w="1742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and </w:t>
            </w:r>
            <w:r>
              <w:rPr>
                <w:lang w:val="en-US"/>
              </w:rPr>
              <w:t>integration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-60%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-100%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5th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16-08-22 to 23-08-22</w:t>
            </w:r>
          </w:p>
        </w:tc>
        <w:tc>
          <w:tcPr>
            <w:tcW w:w="1742" w:type="dxa"/>
          </w:tcPr>
          <w:p w:rsidR="00DA7554" w:rsidRDefault="00AB05FE">
            <w:r>
              <w:rPr>
                <w:lang w:val="en-US"/>
              </w:rPr>
              <w:t>Testing and integration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6th</w:t>
            </w:r>
          </w:p>
        </w:tc>
        <w:tc>
          <w:tcPr>
            <w:tcW w:w="141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23-08-22 to 30-08-22</w:t>
            </w:r>
          </w:p>
        </w:tc>
        <w:tc>
          <w:tcPr>
            <w:tcW w:w="1742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Validation Phase , Closure</w:t>
            </w:r>
          </w:p>
        </w:tc>
        <w:tc>
          <w:tcPr>
            <w:tcW w:w="95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7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1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-31.81%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6.66%</w:t>
            </w:r>
          </w:p>
        </w:tc>
      </w:tr>
    </w:tbl>
    <w:p w:rsidR="00DA7554" w:rsidRDefault="00DA7554"/>
    <w:p w:rsidR="00DA7554" w:rsidRDefault="00AB05FE">
      <w:pPr>
        <w:pStyle w:val="Heading2"/>
        <w:numPr>
          <w:ilvl w:val="1"/>
          <w:numId w:val="1"/>
        </w:numPr>
      </w:pPr>
      <w:bookmarkStart w:id="3" w:name="_Toc24828"/>
      <w:r>
        <w:t xml:space="preserve">Causal </w:t>
      </w:r>
      <w:proofErr w:type="gramStart"/>
      <w:r>
        <w:t>Analysis(</w:t>
      </w:r>
      <w:proofErr w:type="gramEnd"/>
      <w:r>
        <w:t>Phase wise)</w:t>
      </w:r>
      <w:bookmarkEnd w:id="3"/>
      <w:r>
        <w:t xml:space="preserve"> </w:t>
      </w:r>
    </w:p>
    <w:p w:rsidR="00DA7554" w:rsidRDefault="00AB05FE">
      <w:pPr>
        <w:rPr>
          <w:rStyle w:val="SubtleEmphasis1"/>
        </w:rPr>
      </w:pPr>
      <w:r>
        <w:rPr>
          <w:noProof/>
        </w:rPr>
        <w:drawing>
          <wp:inline distT="0" distB="0" distL="114300" distR="114300">
            <wp:extent cx="5934710" cy="1736725"/>
            <wp:effectExtent l="0" t="0" r="88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54" w:rsidRDefault="00DA7554"/>
    <w:p w:rsidR="00DA7554" w:rsidRDefault="00AB05FE">
      <w:r>
        <w:rPr>
          <w:b/>
          <w:bCs/>
          <w:sz w:val="28"/>
          <w:szCs w:val="28"/>
          <w:lang w:val="en-US"/>
        </w:rPr>
        <w:t xml:space="preserve">Schedule and Effort Variance analysis at project </w:t>
      </w:r>
      <w:r>
        <w:rPr>
          <w:b/>
          <w:bCs/>
          <w:sz w:val="28"/>
          <w:szCs w:val="28"/>
          <w:lang w:val="en-US"/>
        </w:rPr>
        <w:t>Level</w:t>
      </w:r>
    </w:p>
    <w:tbl>
      <w:tblPr>
        <w:tblStyle w:val="TableGrid"/>
        <w:tblW w:w="9894" w:type="dxa"/>
        <w:tblLayout w:type="fixed"/>
        <w:tblLook w:val="04A0" w:firstRow="1" w:lastRow="0" w:firstColumn="1" w:lastColumn="0" w:noHBand="0" w:noVBand="1"/>
      </w:tblPr>
      <w:tblGrid>
        <w:gridCol w:w="839"/>
        <w:gridCol w:w="1427"/>
        <w:gridCol w:w="1743"/>
        <w:gridCol w:w="946"/>
        <w:gridCol w:w="888"/>
        <w:gridCol w:w="808"/>
        <w:gridCol w:w="1615"/>
        <w:gridCol w:w="1628"/>
      </w:tblGrid>
      <w:tr w:rsidR="00DA7554">
        <w:trPr>
          <w:trHeight w:val="643"/>
        </w:trPr>
        <w:tc>
          <w:tcPr>
            <w:tcW w:w="839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1427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>No of Week</w:t>
            </w:r>
          </w:p>
        </w:tc>
        <w:tc>
          <w:tcPr>
            <w:tcW w:w="1743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Phase </w:t>
            </w:r>
          </w:p>
        </w:tc>
        <w:tc>
          <w:tcPr>
            <w:tcW w:w="946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Planned Value</w:t>
            </w:r>
          </w:p>
        </w:tc>
        <w:tc>
          <w:tcPr>
            <w:tcW w:w="88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Earned Value</w:t>
            </w:r>
          </w:p>
        </w:tc>
        <w:tc>
          <w:tcPr>
            <w:tcW w:w="808" w:type="dxa"/>
          </w:tcPr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Actual Cost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Schedule variance</w:t>
            </w:r>
          </w:p>
          <w:p w:rsidR="00DA7554" w:rsidRDefault="00AB05FE" w:rsidP="00D0260D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</w:t>
            </w:r>
            <w:r w:rsidR="00D0260D">
              <w:rPr>
                <w:sz w:val="21"/>
                <w:szCs w:val="21"/>
                <w:lang w:val="en-US"/>
              </w:rPr>
              <w:t>E</w:t>
            </w:r>
            <w:r>
              <w:rPr>
                <w:sz w:val="21"/>
                <w:szCs w:val="21"/>
                <w:lang w:val="en-US"/>
              </w:rPr>
              <w:t>V-</w:t>
            </w:r>
            <w:r w:rsidR="00D0260D">
              <w:rPr>
                <w:sz w:val="21"/>
                <w:szCs w:val="21"/>
                <w:lang w:val="en-US"/>
              </w:rPr>
              <w:t>P</w:t>
            </w:r>
            <w:bookmarkStart w:id="4" w:name="_GoBack"/>
            <w:bookmarkEnd w:id="4"/>
            <w:r>
              <w:rPr>
                <w:sz w:val="21"/>
                <w:szCs w:val="21"/>
                <w:lang w:val="en-US"/>
              </w:rPr>
              <w:t>V/PV)*100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Cost Variance</w:t>
            </w:r>
          </w:p>
          <w:p w:rsidR="00DA7554" w:rsidRDefault="00AB05FE"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(EV-AC/EV)*100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1st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19-07-22 to 26-07-22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RD Phase, Planning Phase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-3.33%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2nd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26-07-22 to 02-08-22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</w:pPr>
            <w:r>
              <w:rPr>
                <w:sz w:val="21"/>
                <w:szCs w:val="21"/>
                <w:lang w:val="en-US"/>
              </w:rPr>
              <w:t>Planning Phase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29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-3.33%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</w:tr>
      <w:tr w:rsidR="00DA7554">
        <w:trPr>
          <w:trHeight w:val="698"/>
        </w:trPr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3rd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</w:pPr>
            <w:r>
              <w:rPr>
                <w:sz w:val="21"/>
                <w:szCs w:val="21"/>
                <w:lang w:val="en-US"/>
              </w:rPr>
              <w:t>02-08-22 to 09-08-22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 and Implementation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71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74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68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4.22%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-8.10%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4th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09-08-22 to 16-08-22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Testing and integration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76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76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68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-10.52%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5th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16-08-22 to 23-08-22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</w:pPr>
            <w:r>
              <w:rPr>
                <w:sz w:val="21"/>
                <w:szCs w:val="21"/>
                <w:lang w:val="en-US"/>
              </w:rPr>
              <w:t>Testing and integration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88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88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93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5.68%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6th</w:t>
            </w:r>
          </w:p>
        </w:tc>
        <w:tc>
          <w:tcPr>
            <w:tcW w:w="1427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23-08-22 to 30-08-22</w:t>
            </w:r>
          </w:p>
        </w:tc>
        <w:tc>
          <w:tcPr>
            <w:tcW w:w="1743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Validation Phase , Closure</w:t>
            </w:r>
          </w:p>
        </w:tc>
        <w:tc>
          <w:tcPr>
            <w:tcW w:w="946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132</w:t>
            </w:r>
          </w:p>
        </w:tc>
        <w:tc>
          <w:tcPr>
            <w:tcW w:w="88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118</w:t>
            </w:r>
          </w:p>
        </w:tc>
        <w:tc>
          <w:tcPr>
            <w:tcW w:w="80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125</w:t>
            </w:r>
          </w:p>
        </w:tc>
        <w:tc>
          <w:tcPr>
            <w:tcW w:w="1615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-10.60%</w:t>
            </w:r>
          </w:p>
        </w:tc>
        <w:tc>
          <w:tcPr>
            <w:tcW w:w="1628" w:type="dxa"/>
          </w:tcPr>
          <w:p w:rsidR="00DA7554" w:rsidRDefault="00AB05FE">
            <w:pPr>
              <w:spacing w:line="240" w:lineRule="auto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5.59%</w:t>
            </w:r>
          </w:p>
        </w:tc>
      </w:tr>
      <w:tr w:rsidR="00DA7554">
        <w:tc>
          <w:tcPr>
            <w:tcW w:w="839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7th</w:t>
            </w:r>
          </w:p>
        </w:tc>
        <w:tc>
          <w:tcPr>
            <w:tcW w:w="1427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30-8-22 to 3-09-22</w:t>
            </w:r>
          </w:p>
        </w:tc>
        <w:tc>
          <w:tcPr>
            <w:tcW w:w="1743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Closure</w:t>
            </w:r>
          </w:p>
        </w:tc>
        <w:tc>
          <w:tcPr>
            <w:tcW w:w="946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132</w:t>
            </w:r>
          </w:p>
        </w:tc>
        <w:tc>
          <w:tcPr>
            <w:tcW w:w="888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132</w:t>
            </w:r>
          </w:p>
        </w:tc>
        <w:tc>
          <w:tcPr>
            <w:tcW w:w="808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142</w:t>
            </w:r>
          </w:p>
        </w:tc>
        <w:tc>
          <w:tcPr>
            <w:tcW w:w="1615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0%</w:t>
            </w:r>
          </w:p>
        </w:tc>
        <w:tc>
          <w:tcPr>
            <w:tcW w:w="1628" w:type="dxa"/>
          </w:tcPr>
          <w:p w:rsidR="00DA7554" w:rsidRDefault="00AB05F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7.57%</w:t>
            </w:r>
          </w:p>
        </w:tc>
      </w:tr>
    </w:tbl>
    <w:p w:rsidR="00DA7554" w:rsidRDefault="00DA7554"/>
    <w:p w:rsidR="00DA7554" w:rsidRDefault="00AB05FE">
      <w:r>
        <w:rPr>
          <w:lang w:val="en-US"/>
        </w:rPr>
        <w:tab/>
      </w:r>
      <w:r>
        <w:t xml:space="preserve">The schedule variance found </w:t>
      </w:r>
      <w:r>
        <w:rPr>
          <w:lang w:val="en-US"/>
        </w:rPr>
        <w:t>-10.60</w:t>
      </w:r>
      <w:r>
        <w:t xml:space="preserve">% in negative </w:t>
      </w:r>
      <w:proofErr w:type="gramStart"/>
      <w:r>
        <w:t>side ,</w:t>
      </w:r>
      <w:proofErr w:type="gramEnd"/>
      <w:r>
        <w:t xml:space="preserve"> we </w:t>
      </w:r>
      <w:r>
        <w:rPr>
          <w:lang w:val="en-US"/>
        </w:rPr>
        <w:t xml:space="preserve">will </w:t>
      </w:r>
      <w:r>
        <w:t xml:space="preserve">achieve target of this phase </w:t>
      </w:r>
      <w:r>
        <w:rPr>
          <w:lang w:val="en-US"/>
        </w:rPr>
        <w:t xml:space="preserve">after </w:t>
      </w:r>
      <w:r>
        <w:t>time and got variance in under limit.</w:t>
      </w:r>
    </w:p>
    <w:p w:rsidR="00DA7554" w:rsidRDefault="00AB05FE">
      <w:pPr>
        <w:ind w:firstLine="720"/>
        <w:rPr>
          <w:lang w:val="en-US"/>
        </w:rPr>
      </w:pPr>
      <w:r>
        <w:lastRenderedPageBreak/>
        <w:t xml:space="preserve">The </w:t>
      </w:r>
      <w:r>
        <w:rPr>
          <w:lang w:val="en-US"/>
        </w:rPr>
        <w:t>Cost</w:t>
      </w:r>
      <w:r>
        <w:t xml:space="preserve"> variance found </w:t>
      </w:r>
      <w:r>
        <w:rPr>
          <w:lang w:val="en-US"/>
        </w:rPr>
        <w:t>7.57</w:t>
      </w:r>
      <w:r>
        <w:t xml:space="preserve">% in </w:t>
      </w:r>
      <w:r>
        <w:rPr>
          <w:lang w:val="en-US"/>
        </w:rPr>
        <w:t>positive</w:t>
      </w:r>
      <w:r>
        <w:t xml:space="preserve"> </w:t>
      </w:r>
      <w:proofErr w:type="gramStart"/>
      <w:r>
        <w:t>side ,</w:t>
      </w:r>
      <w:proofErr w:type="gramEnd"/>
      <w:r>
        <w:t xml:space="preserve"> we </w:t>
      </w:r>
      <w:r>
        <w:rPr>
          <w:lang w:val="en-US"/>
        </w:rPr>
        <w:t xml:space="preserve">will </w:t>
      </w:r>
      <w:r>
        <w:t xml:space="preserve">achieve target </w:t>
      </w:r>
      <w:r>
        <w:rPr>
          <w:lang w:val="en-US"/>
        </w:rPr>
        <w:t xml:space="preserve">in 142 person hours </w:t>
      </w:r>
      <w:r>
        <w:t xml:space="preserve"> </w:t>
      </w:r>
      <w:r>
        <w:rPr>
          <w:lang w:val="en-US"/>
        </w:rPr>
        <w:t>after the schedule time</w:t>
      </w:r>
      <w:r>
        <w:t xml:space="preserve"> and got variance in under limit.</w:t>
      </w:r>
    </w:p>
    <w:p w:rsidR="00DA7554" w:rsidRDefault="00AB05FE">
      <w:pPr>
        <w:pStyle w:val="Heading2"/>
        <w:numPr>
          <w:ilvl w:val="1"/>
          <w:numId w:val="1"/>
        </w:numPr>
      </w:pPr>
      <w:bookmarkStart w:id="5" w:name="_Toc31828"/>
      <w:r>
        <w:t>Corrective Actions</w:t>
      </w:r>
      <w:bookmarkEnd w:id="5"/>
    </w:p>
    <w:p w:rsidR="00DA7554" w:rsidRDefault="00AB05FE">
      <w:r>
        <w:t>Not Required.</w:t>
      </w:r>
    </w:p>
    <w:p w:rsidR="00DA7554" w:rsidRDefault="00DA7554"/>
    <w:p w:rsidR="00DA7554" w:rsidRDefault="00AB05FE">
      <w:pPr>
        <w:rPr>
          <w:b/>
        </w:rPr>
      </w:pPr>
      <w:r>
        <w:rPr>
          <w:b/>
        </w:rPr>
        <w:t xml:space="preserve">The overall schedule </w:t>
      </w:r>
      <w:proofErr w:type="gramStart"/>
      <w:r>
        <w:rPr>
          <w:b/>
        </w:rPr>
        <w:t>variance :</w:t>
      </w:r>
      <w:proofErr w:type="gramEnd"/>
      <w:r>
        <w:rPr>
          <w:b/>
        </w:rPr>
        <w:t xml:space="preserve"> As total planned </w:t>
      </w:r>
      <w:r>
        <w:rPr>
          <w:b/>
          <w:lang w:val="en-US"/>
        </w:rPr>
        <w:t>value</w:t>
      </w:r>
      <w:r>
        <w:rPr>
          <w:b/>
        </w:rPr>
        <w:t xml:space="preserve"> was </w:t>
      </w:r>
      <w:r>
        <w:rPr>
          <w:b/>
          <w:lang w:val="en-US"/>
        </w:rPr>
        <w:t xml:space="preserve">132 at on date 31 Aug 2022 </w:t>
      </w:r>
      <w:r>
        <w:rPr>
          <w:b/>
        </w:rPr>
        <w:t xml:space="preserve"> and we </w:t>
      </w:r>
      <w:r>
        <w:rPr>
          <w:b/>
          <w:lang w:val="en-US"/>
        </w:rPr>
        <w:t>will</w:t>
      </w:r>
      <w:r>
        <w:rPr>
          <w:b/>
        </w:rPr>
        <w:t xml:space="preserve"> </w:t>
      </w:r>
      <w:r>
        <w:rPr>
          <w:b/>
          <w:lang w:val="en-US"/>
        </w:rPr>
        <w:t>cover up to 2 Sep.</w:t>
      </w:r>
      <w:r>
        <w:rPr>
          <w:b/>
        </w:rPr>
        <w:t xml:space="preserve"> so overall schedule variance is -</w:t>
      </w:r>
      <w:r>
        <w:rPr>
          <w:b/>
          <w:lang w:val="en-US"/>
        </w:rPr>
        <w:t>10.60</w:t>
      </w:r>
      <w:r>
        <w:rPr>
          <w:b/>
        </w:rPr>
        <w:t>%, which is under limit of our measurement goal.</w:t>
      </w:r>
    </w:p>
    <w:p w:rsidR="00DA7554" w:rsidRDefault="00AB05FE">
      <w:r>
        <w:rPr>
          <w:b/>
        </w:rPr>
        <w:t xml:space="preserve">The overall </w:t>
      </w:r>
      <w:r>
        <w:rPr>
          <w:b/>
          <w:lang w:val="en-US"/>
        </w:rPr>
        <w:t>cost</w:t>
      </w:r>
      <w:r>
        <w:rPr>
          <w:b/>
        </w:rPr>
        <w:t xml:space="preserve"> </w:t>
      </w:r>
      <w:proofErr w:type="gramStart"/>
      <w:r>
        <w:rPr>
          <w:b/>
        </w:rPr>
        <w:t>variance :</w:t>
      </w:r>
      <w:proofErr w:type="gramEnd"/>
      <w:r>
        <w:rPr>
          <w:b/>
        </w:rPr>
        <w:t xml:space="preserve"> As total planned </w:t>
      </w:r>
      <w:r>
        <w:rPr>
          <w:b/>
          <w:lang w:val="en-US"/>
        </w:rPr>
        <w:t>value</w:t>
      </w:r>
      <w:r>
        <w:rPr>
          <w:b/>
        </w:rPr>
        <w:t xml:space="preserve"> was </w:t>
      </w:r>
      <w:r>
        <w:rPr>
          <w:b/>
          <w:lang w:val="en-US"/>
        </w:rPr>
        <w:t>132</w:t>
      </w:r>
      <w:r>
        <w:rPr>
          <w:b/>
        </w:rPr>
        <w:t xml:space="preserve"> </w:t>
      </w:r>
      <w:r>
        <w:rPr>
          <w:b/>
          <w:lang w:val="en-US"/>
        </w:rPr>
        <w:t xml:space="preserve"> at on date 31 Aug 2022 </w:t>
      </w:r>
      <w:r>
        <w:rPr>
          <w:b/>
        </w:rPr>
        <w:t xml:space="preserve"> and we </w:t>
      </w:r>
      <w:r>
        <w:rPr>
          <w:b/>
          <w:lang w:val="en-US"/>
        </w:rPr>
        <w:t>will</w:t>
      </w:r>
      <w:r>
        <w:rPr>
          <w:b/>
        </w:rPr>
        <w:t xml:space="preserve"> </w:t>
      </w:r>
      <w:r>
        <w:rPr>
          <w:b/>
          <w:lang w:val="en-US"/>
        </w:rPr>
        <w:t>cover it up to</w:t>
      </w:r>
      <w:r>
        <w:rPr>
          <w:b/>
          <w:lang w:val="en-US"/>
        </w:rPr>
        <w:t xml:space="preserve"> 142.</w:t>
      </w:r>
      <w:r>
        <w:rPr>
          <w:b/>
        </w:rPr>
        <w:t xml:space="preserve">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overall </w:t>
      </w:r>
      <w:r>
        <w:rPr>
          <w:b/>
          <w:lang w:val="en-US"/>
        </w:rPr>
        <w:t>cost</w:t>
      </w:r>
      <w:r>
        <w:rPr>
          <w:b/>
        </w:rPr>
        <w:t xml:space="preserve"> variance is </w:t>
      </w:r>
      <w:r>
        <w:rPr>
          <w:b/>
          <w:lang w:val="en-US"/>
        </w:rPr>
        <w:t>7.57</w:t>
      </w:r>
      <w:r>
        <w:rPr>
          <w:b/>
        </w:rPr>
        <w:t>%, which is under limit of our measurement goal.</w:t>
      </w:r>
    </w:p>
    <w:p w:rsidR="00DA7554" w:rsidRDefault="00AB05FE">
      <w:pPr>
        <w:pStyle w:val="Heading1"/>
        <w:numPr>
          <w:ilvl w:val="0"/>
          <w:numId w:val="1"/>
        </w:numPr>
      </w:pPr>
      <w:bookmarkStart w:id="6" w:name="_Toc449713654"/>
      <w:bookmarkStart w:id="7" w:name="_Toc10240"/>
      <w:r>
        <w:t>Product Defect Density</w:t>
      </w:r>
      <w:bookmarkEnd w:id="6"/>
      <w:bookmarkEnd w:id="7"/>
    </w:p>
    <w:p w:rsidR="00DA7554" w:rsidRDefault="00AB05FE">
      <w:pPr>
        <w:rPr>
          <w:rStyle w:val="SubtleEmphasis1"/>
          <w:i w:val="0"/>
          <w:color w:val="auto"/>
        </w:rPr>
      </w:pPr>
      <w:r>
        <w:rPr>
          <w:rStyle w:val="SubtleEmphasis1"/>
          <w:i w:val="0"/>
          <w:color w:val="000000" w:themeColor="text1"/>
          <w:lang w:val="en-US"/>
        </w:rPr>
        <w:t>The product defect density found 0.</w:t>
      </w:r>
      <w:r>
        <w:rPr>
          <w:rStyle w:val="SubtleEmphasis1"/>
          <w:i w:val="0"/>
          <w:color w:val="000000" w:themeColor="text1"/>
          <w:lang w:val="en-US"/>
        </w:rPr>
        <w:t>015</w:t>
      </w:r>
      <w:r>
        <w:rPr>
          <w:rStyle w:val="SubtleEmphasis1"/>
          <w:i w:val="0"/>
          <w:color w:val="000000" w:themeColor="text1"/>
          <w:lang w:val="en-US"/>
        </w:rPr>
        <w:t xml:space="preserve">, whereas measurement goal was </w:t>
      </w:r>
      <w:r>
        <w:rPr>
          <w:rStyle w:val="SubtleEmphasis1"/>
          <w:i w:val="0"/>
          <w:color w:val="auto"/>
        </w:rPr>
        <w:t>0.</w:t>
      </w:r>
      <w:r>
        <w:rPr>
          <w:rStyle w:val="SubtleEmphasis1"/>
          <w:i w:val="0"/>
          <w:color w:val="auto"/>
          <w:lang w:val="en-US"/>
        </w:rPr>
        <w:t>10</w:t>
      </w:r>
      <w:r>
        <w:rPr>
          <w:rStyle w:val="SubtleEmphasis1"/>
          <w:rFonts w:cstheme="minorHAnsi"/>
          <w:i w:val="0"/>
          <w:color w:val="auto"/>
        </w:rPr>
        <w:t>±0.0</w:t>
      </w:r>
      <w:r>
        <w:rPr>
          <w:rStyle w:val="SubtleEmphasis1"/>
          <w:rFonts w:cstheme="minorHAnsi"/>
          <w:i w:val="0"/>
          <w:color w:val="auto"/>
          <w:lang w:val="en-US"/>
        </w:rPr>
        <w:t>2</w:t>
      </w:r>
      <w:r>
        <w:rPr>
          <w:rStyle w:val="SubtleEmphasis1"/>
          <w:rFonts w:cstheme="minorHAnsi"/>
          <w:i w:val="0"/>
          <w:color w:val="auto"/>
        </w:rPr>
        <w:t xml:space="preserve">. So it is little bit out of limit in lower side. The total efforts </w:t>
      </w:r>
      <w:r>
        <w:rPr>
          <w:rStyle w:val="SubtleEmphasis1"/>
          <w:rFonts w:cstheme="minorHAnsi"/>
          <w:i w:val="0"/>
          <w:color w:val="auto"/>
        </w:rPr>
        <w:t xml:space="preserve">expended on this </w:t>
      </w:r>
      <w:proofErr w:type="gramStart"/>
      <w:r>
        <w:rPr>
          <w:rStyle w:val="SubtleEmphasis1"/>
          <w:rFonts w:cstheme="minorHAnsi"/>
          <w:i w:val="0"/>
          <w:color w:val="auto"/>
        </w:rPr>
        <w:t>project  is</w:t>
      </w:r>
      <w:proofErr w:type="gramEnd"/>
      <w:r>
        <w:rPr>
          <w:rStyle w:val="SubtleEmphasis1"/>
          <w:rFonts w:cstheme="minorHAnsi"/>
          <w:i w:val="0"/>
          <w:color w:val="auto"/>
        </w:rPr>
        <w:t xml:space="preserve"> </w:t>
      </w:r>
      <w:r>
        <w:rPr>
          <w:rStyle w:val="SubtleEmphasis1"/>
          <w:rFonts w:cstheme="minorHAnsi"/>
          <w:i w:val="0"/>
          <w:color w:val="auto"/>
          <w:lang w:val="en-US"/>
        </w:rPr>
        <w:t>132</w:t>
      </w:r>
      <w:r>
        <w:rPr>
          <w:rStyle w:val="SubtleEmphasis1"/>
          <w:rFonts w:cstheme="minorHAnsi"/>
          <w:i w:val="0"/>
          <w:color w:val="auto"/>
        </w:rPr>
        <w:t xml:space="preserve"> person hrs. This means that in every </w:t>
      </w:r>
      <w:r>
        <w:rPr>
          <w:rStyle w:val="SubtleEmphasis1"/>
          <w:rFonts w:cstheme="minorHAnsi"/>
          <w:i w:val="0"/>
          <w:color w:val="auto"/>
          <w:lang w:val="en-US"/>
        </w:rPr>
        <w:t>66</w:t>
      </w:r>
      <w:r>
        <w:rPr>
          <w:rStyle w:val="SubtleEmphasis1"/>
          <w:rFonts w:cstheme="minorHAnsi"/>
          <w:i w:val="0"/>
          <w:color w:val="auto"/>
        </w:rPr>
        <w:t xml:space="preserve"> person hrs one functional defect came in this project.</w:t>
      </w:r>
    </w:p>
    <w:p w:rsidR="00DA7554" w:rsidRDefault="00DA7554"/>
    <w:p w:rsidR="00DA7554" w:rsidRDefault="00AB05FE">
      <w:pPr>
        <w:pStyle w:val="Heading2"/>
        <w:numPr>
          <w:ilvl w:val="1"/>
          <w:numId w:val="1"/>
        </w:numPr>
      </w:pPr>
      <w:bookmarkStart w:id="8" w:name="_Toc26327"/>
      <w:bookmarkStart w:id="9" w:name="_Toc449713655"/>
      <w:r>
        <w:t>Corrective Actions</w:t>
      </w:r>
      <w:bookmarkEnd w:id="8"/>
    </w:p>
    <w:p w:rsidR="00DA7554" w:rsidRDefault="00AB05FE">
      <w:pPr>
        <w:rPr>
          <w:lang w:val="en-US"/>
        </w:rPr>
      </w:pPr>
      <w:r>
        <w:rPr>
          <w:lang w:val="en-US"/>
        </w:rPr>
        <w:t>Not required</w:t>
      </w:r>
    </w:p>
    <w:p w:rsidR="00DA7554" w:rsidRDefault="00AB05FE">
      <w:pPr>
        <w:pStyle w:val="Heading2"/>
        <w:numPr>
          <w:ilvl w:val="1"/>
          <w:numId w:val="1"/>
        </w:numPr>
      </w:pPr>
      <w:bookmarkStart w:id="10" w:name="_Toc449713656"/>
      <w:bookmarkStart w:id="11" w:name="_Toc29684"/>
      <w:r>
        <w:t>Root Cause Analysis</w:t>
      </w:r>
      <w:bookmarkEnd w:id="10"/>
      <w:bookmarkEnd w:id="11"/>
    </w:p>
    <w:p w:rsidR="00DA7554" w:rsidRDefault="00AB05FE">
      <w:pPr>
        <w:rPr>
          <w:lang w:val="en-US"/>
        </w:rPr>
      </w:pPr>
      <w:r>
        <w:rPr>
          <w:lang w:val="en-US"/>
        </w:rPr>
        <w:t>Not required</w:t>
      </w:r>
    </w:p>
    <w:bookmarkEnd w:id="9"/>
    <w:p w:rsidR="00DA7554" w:rsidRDefault="00AB05FE">
      <w:pPr>
        <w:pStyle w:val="Heading1"/>
        <w:numPr>
          <w:ilvl w:val="0"/>
          <w:numId w:val="1"/>
        </w:numPr>
      </w:pPr>
      <w:r>
        <w:rPr>
          <w:lang w:val="en-US"/>
        </w:rPr>
        <w:t xml:space="preserve">  </w:t>
      </w:r>
      <w:bookmarkStart w:id="12" w:name="_Toc449713657"/>
      <w:bookmarkStart w:id="13" w:name="_Toc551"/>
      <w:r>
        <w:t>Project’s Process Defect Density</w:t>
      </w:r>
      <w:bookmarkEnd w:id="12"/>
      <w:bookmarkEnd w:id="13"/>
    </w:p>
    <w:p w:rsidR="00DA7554" w:rsidRDefault="00AB05FE">
      <w:r>
        <w:rPr>
          <w:rStyle w:val="SubtleEmphasis1"/>
          <w:i w:val="0"/>
          <w:color w:val="000000" w:themeColor="text1"/>
          <w:lang w:val="en-US"/>
        </w:rPr>
        <w:t xml:space="preserve">The process defect density </w:t>
      </w:r>
      <w:r>
        <w:rPr>
          <w:rStyle w:val="SubtleEmphasis1"/>
          <w:i w:val="0"/>
          <w:color w:val="000000" w:themeColor="text1"/>
          <w:lang w:val="en-US"/>
        </w:rPr>
        <w:t>found 0.</w:t>
      </w:r>
      <w:r>
        <w:rPr>
          <w:rStyle w:val="SubtleEmphasis1"/>
          <w:i w:val="0"/>
          <w:color w:val="000000" w:themeColor="text1"/>
          <w:lang w:val="en-US"/>
        </w:rPr>
        <w:t>28</w:t>
      </w:r>
      <w:r>
        <w:rPr>
          <w:rStyle w:val="SubtleEmphasis1"/>
          <w:i w:val="0"/>
          <w:color w:val="000000" w:themeColor="text1"/>
          <w:lang w:val="en-US"/>
        </w:rPr>
        <w:t xml:space="preserve"> whereas measurement goal was </w:t>
      </w:r>
      <w:r>
        <w:rPr>
          <w:rStyle w:val="SubtleEmphasis1"/>
          <w:i w:val="0"/>
          <w:color w:val="auto"/>
        </w:rPr>
        <w:t>0.</w:t>
      </w:r>
      <w:r>
        <w:rPr>
          <w:rStyle w:val="SubtleEmphasis1"/>
          <w:i w:val="0"/>
          <w:color w:val="auto"/>
          <w:lang w:val="en-US"/>
        </w:rPr>
        <w:t>20</w:t>
      </w:r>
      <w:r>
        <w:rPr>
          <w:rStyle w:val="SubtleEmphasis1"/>
          <w:rFonts w:cstheme="minorHAnsi"/>
          <w:i w:val="0"/>
          <w:color w:val="auto"/>
        </w:rPr>
        <w:t>±0.</w:t>
      </w:r>
      <w:r>
        <w:rPr>
          <w:rStyle w:val="SubtleEmphasis1"/>
          <w:rFonts w:cstheme="minorHAnsi"/>
          <w:i w:val="0"/>
          <w:color w:val="auto"/>
          <w:lang w:val="en-US"/>
        </w:rPr>
        <w:t>03</w:t>
      </w:r>
      <w:r>
        <w:rPr>
          <w:rStyle w:val="SubtleEmphasis1"/>
          <w:rFonts w:cstheme="minorHAnsi"/>
          <w:i w:val="0"/>
          <w:color w:val="auto"/>
        </w:rPr>
        <w:t xml:space="preserve">. So it is </w:t>
      </w:r>
      <w:r>
        <w:rPr>
          <w:rStyle w:val="SubtleEmphasis1"/>
          <w:rFonts w:cstheme="minorHAnsi"/>
          <w:i w:val="0"/>
          <w:color w:val="auto"/>
          <w:lang w:val="en-US"/>
        </w:rPr>
        <w:t>equal to</w:t>
      </w:r>
      <w:r>
        <w:rPr>
          <w:rStyle w:val="SubtleEmphasis1"/>
          <w:rFonts w:cstheme="minorHAnsi"/>
          <w:i w:val="0"/>
          <w:color w:val="auto"/>
        </w:rPr>
        <w:t xml:space="preserve"> limit. The total efforts expended on this </w:t>
      </w:r>
      <w:proofErr w:type="gramStart"/>
      <w:r>
        <w:rPr>
          <w:rStyle w:val="SubtleEmphasis1"/>
          <w:rFonts w:cstheme="minorHAnsi"/>
          <w:i w:val="0"/>
          <w:color w:val="auto"/>
        </w:rPr>
        <w:t>project  is</w:t>
      </w:r>
      <w:proofErr w:type="gramEnd"/>
      <w:r>
        <w:rPr>
          <w:rStyle w:val="SubtleEmphasis1"/>
          <w:rFonts w:cstheme="minorHAnsi"/>
          <w:i w:val="0"/>
          <w:color w:val="auto"/>
        </w:rPr>
        <w:t xml:space="preserve"> 1</w:t>
      </w:r>
      <w:r>
        <w:rPr>
          <w:rStyle w:val="SubtleEmphasis1"/>
          <w:rFonts w:cstheme="minorHAnsi"/>
          <w:i w:val="0"/>
          <w:color w:val="auto"/>
          <w:lang w:val="en-US"/>
        </w:rPr>
        <w:t>32</w:t>
      </w:r>
      <w:r>
        <w:rPr>
          <w:rStyle w:val="SubtleEmphasis1"/>
          <w:rFonts w:cstheme="minorHAnsi"/>
          <w:i w:val="0"/>
          <w:color w:val="auto"/>
        </w:rPr>
        <w:t xml:space="preserve"> persons hrs. This means that in every </w:t>
      </w:r>
      <w:r>
        <w:rPr>
          <w:rStyle w:val="SubtleEmphasis1"/>
          <w:rFonts w:cstheme="minorHAnsi"/>
          <w:i w:val="0"/>
          <w:color w:val="auto"/>
          <w:lang w:val="en-US"/>
        </w:rPr>
        <w:t>3.47</w:t>
      </w:r>
      <w:r>
        <w:rPr>
          <w:rStyle w:val="SubtleEmphasis1"/>
          <w:rFonts w:cstheme="minorHAnsi"/>
          <w:i w:val="0"/>
          <w:color w:val="auto"/>
        </w:rPr>
        <w:t xml:space="preserve"> person hrs one major </w:t>
      </w:r>
      <w:proofErr w:type="spellStart"/>
      <w:r>
        <w:rPr>
          <w:rStyle w:val="SubtleEmphasis1"/>
          <w:rFonts w:cstheme="minorHAnsi"/>
          <w:i w:val="0"/>
          <w:color w:val="auto"/>
        </w:rPr>
        <w:t>non conformance</w:t>
      </w:r>
      <w:proofErr w:type="spellEnd"/>
      <w:r>
        <w:rPr>
          <w:rStyle w:val="SubtleEmphasis1"/>
          <w:rFonts w:cstheme="minorHAnsi"/>
          <w:i w:val="0"/>
          <w:color w:val="auto"/>
        </w:rPr>
        <w:t xml:space="preserve"> came in this project. That is</w:t>
      </w:r>
      <w:r>
        <w:rPr>
          <w:rStyle w:val="SubtleEmphasis1"/>
          <w:rFonts w:cstheme="minorHAnsi"/>
          <w:i w:val="0"/>
          <w:color w:val="auto"/>
          <w:lang w:val="en-US"/>
        </w:rPr>
        <w:t xml:space="preserve"> equal to near</w:t>
      </w:r>
      <w:r>
        <w:rPr>
          <w:rStyle w:val="SubtleEmphasis1"/>
          <w:rFonts w:cstheme="minorHAnsi"/>
          <w:i w:val="0"/>
          <w:color w:val="auto"/>
        </w:rPr>
        <w:t xml:space="preserve"> expec</w:t>
      </w:r>
      <w:r>
        <w:rPr>
          <w:rStyle w:val="SubtleEmphasis1"/>
          <w:rFonts w:cstheme="minorHAnsi"/>
          <w:i w:val="0"/>
          <w:color w:val="auto"/>
        </w:rPr>
        <w:t>ted.</w:t>
      </w:r>
    </w:p>
    <w:p w:rsidR="00DA7554" w:rsidRDefault="00AB05FE">
      <w:pPr>
        <w:pStyle w:val="Heading2"/>
        <w:numPr>
          <w:ilvl w:val="1"/>
          <w:numId w:val="1"/>
        </w:numPr>
        <w:ind w:left="1092"/>
      </w:pPr>
      <w:bookmarkStart w:id="14" w:name="_Toc449713658"/>
      <w:bookmarkStart w:id="15" w:name="_Toc16286"/>
      <w:r>
        <w:t>Corrective Actions</w:t>
      </w:r>
      <w:bookmarkEnd w:id="14"/>
      <w:bookmarkEnd w:id="15"/>
    </w:p>
    <w:p w:rsidR="00DA7554" w:rsidRDefault="00AB05FE">
      <w:r>
        <w:t xml:space="preserve">As this defect density documented during closure so corrective actions not applicable for this particular </w:t>
      </w:r>
      <w:proofErr w:type="spellStart"/>
      <w:r>
        <w:t>projet</w:t>
      </w:r>
      <w:proofErr w:type="spellEnd"/>
      <w:r>
        <w:t xml:space="preserve">, but may help to future projects. But in this project I monitored the process defect density, and try to not leave any </w:t>
      </w:r>
      <w:r>
        <w:t xml:space="preserve">blunder in process point of view, as previous project learnings also </w:t>
      </w:r>
      <w:proofErr w:type="spellStart"/>
      <w:r>
        <w:t>usefull</w:t>
      </w:r>
      <w:proofErr w:type="spellEnd"/>
      <w:r>
        <w:t xml:space="preserve">. During </w:t>
      </w:r>
      <w:proofErr w:type="spellStart"/>
      <w:r>
        <w:t>updation</w:t>
      </w:r>
      <w:proofErr w:type="spellEnd"/>
      <w:r>
        <w:t xml:space="preserve"> of RTT ensure that each and every needs track by something in design, implementation, testing, no any system test case id missing to link with needs. Now as organ</w:t>
      </w:r>
      <w:r>
        <w:t xml:space="preserve">ization goal decided for process defect density as </w:t>
      </w:r>
      <w:r>
        <w:rPr>
          <w:rStyle w:val="SubtleEmphasis1"/>
          <w:i w:val="0"/>
          <w:color w:val="auto"/>
        </w:rPr>
        <w:t>0.2</w:t>
      </w:r>
      <w:r>
        <w:rPr>
          <w:rStyle w:val="SubtleEmphasis1"/>
          <w:i w:val="0"/>
          <w:color w:val="auto"/>
          <w:lang w:val="en-US"/>
        </w:rPr>
        <w:t>0</w:t>
      </w:r>
      <w:r>
        <w:rPr>
          <w:rStyle w:val="SubtleEmphasis1"/>
          <w:rFonts w:cstheme="minorHAnsi"/>
          <w:i w:val="0"/>
          <w:color w:val="auto"/>
        </w:rPr>
        <w:t>±0.02, so in next project will plan accordingly.</w:t>
      </w:r>
    </w:p>
    <w:p w:rsidR="00DA7554" w:rsidRDefault="00AB05FE">
      <w:pPr>
        <w:pStyle w:val="Heading2"/>
        <w:numPr>
          <w:ilvl w:val="1"/>
          <w:numId w:val="1"/>
        </w:numPr>
        <w:ind w:left="1092"/>
      </w:pPr>
      <w:bookmarkStart w:id="16" w:name="_Toc449713659"/>
      <w:bookmarkStart w:id="17" w:name="_Toc29941"/>
      <w:r>
        <w:lastRenderedPageBreak/>
        <w:t>Root Cause Analysis</w:t>
      </w:r>
      <w:bookmarkEnd w:id="16"/>
      <w:bookmarkEnd w:id="17"/>
    </w:p>
    <w:p w:rsidR="00DA7554" w:rsidRDefault="00AB05FE">
      <w:r>
        <w:t xml:space="preserve">Most of </w:t>
      </w:r>
      <w:proofErr w:type="gramStart"/>
      <w:r>
        <w:t>NCs  main</w:t>
      </w:r>
      <w:proofErr w:type="gramEnd"/>
      <w:r>
        <w:t xml:space="preserve"> cause observed is negligence during planning </w:t>
      </w:r>
      <w:proofErr w:type="spellStart"/>
      <w:r>
        <w:t>updation</w:t>
      </w:r>
      <w:proofErr w:type="spellEnd"/>
      <w:r>
        <w:t xml:space="preserve">, timesheet missing, negligence during RTT </w:t>
      </w:r>
      <w:proofErr w:type="spellStart"/>
      <w:r>
        <w:t>updation</w:t>
      </w:r>
      <w:proofErr w:type="spellEnd"/>
      <w:r>
        <w:t xml:space="preserve">, so some </w:t>
      </w:r>
      <w:r>
        <w:t>of silly mistakes done, which actually effects more.</w:t>
      </w:r>
    </w:p>
    <w:p w:rsidR="00DA7554" w:rsidRDefault="00DA7554">
      <w:pPr>
        <w:rPr>
          <w:lang w:val="en-US"/>
        </w:rPr>
      </w:pPr>
    </w:p>
    <w:p w:rsidR="00DA7554" w:rsidRDefault="00DA7554"/>
    <w:p w:rsidR="00DA7554" w:rsidRDefault="00AB05FE">
      <w:pPr>
        <w:rPr>
          <w:b/>
          <w:color w:val="548DD4" w:themeColor="text2" w:themeTint="99"/>
          <w:sz w:val="28"/>
        </w:rPr>
      </w:pPr>
      <w:proofErr w:type="gramStart"/>
      <w:r>
        <w:rPr>
          <w:b/>
          <w:color w:val="548DD4" w:themeColor="text2" w:themeTint="99"/>
          <w:sz w:val="28"/>
        </w:rPr>
        <w:t>Date :</w:t>
      </w:r>
      <w:proofErr w:type="gramEnd"/>
    </w:p>
    <w:p w:rsidR="00DA7554" w:rsidRDefault="00AB05FE">
      <w:r>
        <w:t>[</w:t>
      </w:r>
      <w:r>
        <w:rPr>
          <w:lang w:val="en-US"/>
        </w:rPr>
        <w:t>31</w:t>
      </w:r>
      <w:r>
        <w:t>/</w:t>
      </w:r>
      <w:r>
        <w:rPr>
          <w:lang w:val="en-US"/>
        </w:rPr>
        <w:t>08</w:t>
      </w:r>
      <w:r>
        <w:t>/</w:t>
      </w:r>
      <w:r>
        <w:rPr>
          <w:lang w:val="en-US"/>
        </w:rPr>
        <w:t>2022</w:t>
      </w:r>
      <w:r>
        <w:t>]</w:t>
      </w:r>
    </w:p>
    <w:p w:rsidR="00DA7554" w:rsidRDefault="00DA7554">
      <w:pPr>
        <w:ind w:firstLine="720"/>
      </w:pPr>
    </w:p>
    <w:sectPr w:rsidR="00DA75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5FE" w:rsidRDefault="00AB05FE">
      <w:pPr>
        <w:spacing w:line="240" w:lineRule="auto"/>
      </w:pPr>
      <w:r>
        <w:separator/>
      </w:r>
    </w:p>
  </w:endnote>
  <w:endnote w:type="continuationSeparator" w:id="0">
    <w:p w:rsidR="00AB05FE" w:rsidRDefault="00AB0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DA75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AB05FE">
    <w:pPr>
      <w:pStyle w:val="Footer"/>
    </w:pPr>
    <w:r>
      <w:t xml:space="preserve">Genus Innovation Limited                                   </w:t>
    </w:r>
    <w:r>
      <w:t xml:space="preserve">                           Template version number - 3</w:t>
    </w:r>
  </w:p>
  <w:p w:rsidR="00DA7554" w:rsidRDefault="00DA75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DA75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5FE" w:rsidRDefault="00AB05FE">
      <w:pPr>
        <w:spacing w:after="0"/>
      </w:pPr>
      <w:r>
        <w:separator/>
      </w:r>
    </w:p>
  </w:footnote>
  <w:footnote w:type="continuationSeparator" w:id="0">
    <w:p w:rsidR="00AB05FE" w:rsidRDefault="00AB05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DA75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AB05FE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lang w:val="en-US"/>
      </w:rPr>
      <w:t>GGE300</w:t>
    </w:r>
    <w:r>
      <w:t>_MESRPT.docx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554" w:rsidRDefault="00DA75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D16DC"/>
    <w:multiLevelType w:val="multilevel"/>
    <w:tmpl w:val="7BDD16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16DD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13A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39C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091D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40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B4EE3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2868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E6E7C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780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05FE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0260D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54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  <w:rsid w:val="0DB5511E"/>
    <w:rsid w:val="11F20712"/>
    <w:rsid w:val="16744C88"/>
    <w:rsid w:val="1AA44549"/>
    <w:rsid w:val="1F5B07A9"/>
    <w:rsid w:val="202958AC"/>
    <w:rsid w:val="25915529"/>
    <w:rsid w:val="276177BD"/>
    <w:rsid w:val="28331949"/>
    <w:rsid w:val="2ACB3D02"/>
    <w:rsid w:val="2B173E22"/>
    <w:rsid w:val="2C2B7542"/>
    <w:rsid w:val="3893447C"/>
    <w:rsid w:val="425A3F23"/>
    <w:rsid w:val="42C00146"/>
    <w:rsid w:val="46DD7549"/>
    <w:rsid w:val="48F906CC"/>
    <w:rsid w:val="49B370FF"/>
    <w:rsid w:val="4CDF2794"/>
    <w:rsid w:val="4D8E28F7"/>
    <w:rsid w:val="4F595EC2"/>
    <w:rsid w:val="512C46FA"/>
    <w:rsid w:val="55675971"/>
    <w:rsid w:val="5A8D16D5"/>
    <w:rsid w:val="5C21315A"/>
    <w:rsid w:val="5C266CA3"/>
    <w:rsid w:val="625E6DB2"/>
    <w:rsid w:val="64627953"/>
    <w:rsid w:val="784D46E8"/>
    <w:rsid w:val="7E972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8FDCFC5-3F08-49E2-8579-A015A189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31</cp:revision>
  <dcterms:created xsi:type="dcterms:W3CDTF">2014-06-28T04:47:00Z</dcterms:created>
  <dcterms:modified xsi:type="dcterms:W3CDTF">2022-09-12T04:02:00Z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  <property fmtid="{D5CDD505-2E9C-101B-9397-08002B2CF9AE}" pid="3" name="KSOProductBuildVer">
    <vt:lpwstr>1033-11.2.0.11306</vt:lpwstr>
  </property>
  <property fmtid="{D5CDD505-2E9C-101B-9397-08002B2CF9AE}" pid="4" name="ICV">
    <vt:lpwstr>75DCF4398B0B4887B8C047C8185B3D2A</vt:lpwstr>
  </property>
</Properties>
</file>