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CAF" w:rsidRDefault="00AF6DE2" w:rsidP="00AF6DE2">
      <w:pPr>
        <w:pStyle w:val="Title"/>
      </w:pPr>
      <w:r>
        <w:t>Estimation Guidelines</w:t>
      </w:r>
    </w:p>
    <w:sdt>
      <w:sdtPr>
        <w:rPr>
          <w:rFonts w:asciiTheme="minorHAnsi" w:eastAsiaTheme="minorHAnsi" w:hAnsiTheme="minorHAnsi" w:cstheme="minorBidi"/>
          <w:b w:val="0"/>
          <w:bCs w:val="0"/>
          <w:color w:val="auto"/>
          <w:sz w:val="22"/>
          <w:szCs w:val="22"/>
        </w:rPr>
        <w:id w:val="2032995890"/>
        <w:docPartObj>
          <w:docPartGallery w:val="Table of Contents"/>
          <w:docPartUnique/>
        </w:docPartObj>
      </w:sdtPr>
      <w:sdtEndPr>
        <w:rPr>
          <w:noProof/>
        </w:rPr>
      </w:sdtEndPr>
      <w:sdtContent>
        <w:p w:rsidR="00AF6DE2" w:rsidRDefault="00AF6DE2">
          <w:pPr>
            <w:pStyle w:val="TOCHeading"/>
          </w:pPr>
          <w:r>
            <w:t>Contents</w:t>
          </w:r>
        </w:p>
        <w:p w:rsidR="00051483" w:rsidRDefault="004A4036">
          <w:pPr>
            <w:pStyle w:val="TOC1"/>
            <w:tabs>
              <w:tab w:val="right" w:leader="dot" w:pos="9350"/>
            </w:tabs>
            <w:rPr>
              <w:rFonts w:eastAsiaTheme="minorEastAsia"/>
              <w:noProof/>
            </w:rPr>
          </w:pPr>
          <w:r w:rsidRPr="004A4036">
            <w:fldChar w:fldCharType="begin"/>
          </w:r>
          <w:r w:rsidR="00AF6DE2">
            <w:instrText xml:space="preserve"> TOC \o "1-3" \h \z \u </w:instrText>
          </w:r>
          <w:r w:rsidRPr="004A4036">
            <w:fldChar w:fldCharType="separate"/>
          </w:r>
          <w:hyperlink w:anchor="_Toc430008713" w:history="1">
            <w:r w:rsidR="00051483" w:rsidRPr="00B73FF0">
              <w:rPr>
                <w:rStyle w:val="Hyperlink"/>
                <w:noProof/>
              </w:rPr>
              <w:t>Purpose</w:t>
            </w:r>
            <w:r w:rsidR="00051483">
              <w:rPr>
                <w:noProof/>
                <w:webHidden/>
              </w:rPr>
              <w:tab/>
            </w:r>
            <w:r w:rsidR="00051483">
              <w:rPr>
                <w:noProof/>
                <w:webHidden/>
              </w:rPr>
              <w:fldChar w:fldCharType="begin"/>
            </w:r>
            <w:r w:rsidR="00051483">
              <w:rPr>
                <w:noProof/>
                <w:webHidden/>
              </w:rPr>
              <w:instrText xml:space="preserve"> PAGEREF _Toc430008713 \h </w:instrText>
            </w:r>
            <w:r w:rsidR="00051483">
              <w:rPr>
                <w:noProof/>
                <w:webHidden/>
              </w:rPr>
            </w:r>
            <w:r w:rsidR="00051483">
              <w:rPr>
                <w:noProof/>
                <w:webHidden/>
              </w:rPr>
              <w:fldChar w:fldCharType="separate"/>
            </w:r>
            <w:r w:rsidR="00051483">
              <w:rPr>
                <w:noProof/>
                <w:webHidden/>
              </w:rPr>
              <w:t>2</w:t>
            </w:r>
            <w:r w:rsidR="00051483">
              <w:rPr>
                <w:noProof/>
                <w:webHidden/>
              </w:rPr>
              <w:fldChar w:fldCharType="end"/>
            </w:r>
          </w:hyperlink>
        </w:p>
        <w:p w:rsidR="00051483" w:rsidRDefault="00051483">
          <w:pPr>
            <w:pStyle w:val="TOC1"/>
            <w:tabs>
              <w:tab w:val="right" w:leader="dot" w:pos="9350"/>
            </w:tabs>
            <w:rPr>
              <w:rFonts w:eastAsiaTheme="minorEastAsia"/>
              <w:noProof/>
            </w:rPr>
          </w:pPr>
          <w:hyperlink w:anchor="_Toc430008714" w:history="1">
            <w:r w:rsidRPr="00B73FF0">
              <w:rPr>
                <w:rStyle w:val="Hyperlink"/>
                <w:noProof/>
              </w:rPr>
              <w:t>Practice Overview</w:t>
            </w:r>
            <w:r>
              <w:rPr>
                <w:noProof/>
                <w:webHidden/>
              </w:rPr>
              <w:tab/>
            </w:r>
            <w:r>
              <w:rPr>
                <w:noProof/>
                <w:webHidden/>
              </w:rPr>
              <w:fldChar w:fldCharType="begin"/>
            </w:r>
            <w:r>
              <w:rPr>
                <w:noProof/>
                <w:webHidden/>
              </w:rPr>
              <w:instrText xml:space="preserve"> PAGEREF _Toc430008714 \h </w:instrText>
            </w:r>
            <w:r>
              <w:rPr>
                <w:noProof/>
                <w:webHidden/>
              </w:rPr>
            </w:r>
            <w:r>
              <w:rPr>
                <w:noProof/>
                <w:webHidden/>
              </w:rPr>
              <w:fldChar w:fldCharType="separate"/>
            </w:r>
            <w:r>
              <w:rPr>
                <w:noProof/>
                <w:webHidden/>
              </w:rPr>
              <w:t>2</w:t>
            </w:r>
            <w:r>
              <w:rPr>
                <w:noProof/>
                <w:webHidden/>
              </w:rPr>
              <w:fldChar w:fldCharType="end"/>
            </w:r>
          </w:hyperlink>
        </w:p>
        <w:p w:rsidR="00051483" w:rsidRDefault="00051483">
          <w:pPr>
            <w:pStyle w:val="TOC1"/>
            <w:tabs>
              <w:tab w:val="right" w:leader="dot" w:pos="9350"/>
            </w:tabs>
            <w:rPr>
              <w:rFonts w:eastAsiaTheme="minorEastAsia"/>
              <w:noProof/>
            </w:rPr>
          </w:pPr>
          <w:hyperlink w:anchor="_Toc430008715" w:history="1">
            <w:r w:rsidRPr="00B73FF0">
              <w:rPr>
                <w:rStyle w:val="Hyperlink"/>
                <w:noProof/>
              </w:rPr>
              <w:t>Complexity Estimations</w:t>
            </w:r>
            <w:r>
              <w:rPr>
                <w:noProof/>
                <w:webHidden/>
              </w:rPr>
              <w:tab/>
            </w:r>
            <w:r>
              <w:rPr>
                <w:noProof/>
                <w:webHidden/>
              </w:rPr>
              <w:fldChar w:fldCharType="begin"/>
            </w:r>
            <w:r>
              <w:rPr>
                <w:noProof/>
                <w:webHidden/>
              </w:rPr>
              <w:instrText xml:space="preserve"> PAGEREF _Toc430008715 \h </w:instrText>
            </w:r>
            <w:r>
              <w:rPr>
                <w:noProof/>
                <w:webHidden/>
              </w:rPr>
            </w:r>
            <w:r>
              <w:rPr>
                <w:noProof/>
                <w:webHidden/>
              </w:rPr>
              <w:fldChar w:fldCharType="separate"/>
            </w:r>
            <w:r>
              <w:rPr>
                <w:noProof/>
                <w:webHidden/>
              </w:rPr>
              <w:t>2</w:t>
            </w:r>
            <w:r>
              <w:rPr>
                <w:noProof/>
                <w:webHidden/>
              </w:rPr>
              <w:fldChar w:fldCharType="end"/>
            </w:r>
          </w:hyperlink>
        </w:p>
        <w:p w:rsidR="00051483" w:rsidRDefault="00051483">
          <w:pPr>
            <w:pStyle w:val="TOC2"/>
            <w:tabs>
              <w:tab w:val="right" w:leader="dot" w:pos="9350"/>
            </w:tabs>
            <w:rPr>
              <w:rFonts w:eastAsiaTheme="minorEastAsia"/>
              <w:noProof/>
            </w:rPr>
          </w:pPr>
          <w:hyperlink w:anchor="_Toc430008716" w:history="1">
            <w:r w:rsidRPr="00B73FF0">
              <w:rPr>
                <w:rStyle w:val="Hyperlink"/>
                <w:noProof/>
              </w:rPr>
              <w:t>Firmware:</w:t>
            </w:r>
            <w:r>
              <w:rPr>
                <w:noProof/>
                <w:webHidden/>
              </w:rPr>
              <w:tab/>
            </w:r>
            <w:r>
              <w:rPr>
                <w:noProof/>
                <w:webHidden/>
              </w:rPr>
              <w:fldChar w:fldCharType="begin"/>
            </w:r>
            <w:r>
              <w:rPr>
                <w:noProof/>
                <w:webHidden/>
              </w:rPr>
              <w:instrText xml:space="preserve"> PAGEREF _Toc430008716 \h </w:instrText>
            </w:r>
            <w:r>
              <w:rPr>
                <w:noProof/>
                <w:webHidden/>
              </w:rPr>
            </w:r>
            <w:r>
              <w:rPr>
                <w:noProof/>
                <w:webHidden/>
              </w:rPr>
              <w:fldChar w:fldCharType="separate"/>
            </w:r>
            <w:r>
              <w:rPr>
                <w:noProof/>
                <w:webHidden/>
              </w:rPr>
              <w:t>3</w:t>
            </w:r>
            <w:r>
              <w:rPr>
                <w:noProof/>
                <w:webHidden/>
              </w:rPr>
              <w:fldChar w:fldCharType="end"/>
            </w:r>
          </w:hyperlink>
        </w:p>
        <w:p w:rsidR="00051483" w:rsidRDefault="00051483">
          <w:pPr>
            <w:pStyle w:val="TOC2"/>
            <w:tabs>
              <w:tab w:val="right" w:leader="dot" w:pos="9350"/>
            </w:tabs>
            <w:rPr>
              <w:rFonts w:eastAsiaTheme="minorEastAsia"/>
              <w:noProof/>
            </w:rPr>
          </w:pPr>
          <w:hyperlink w:anchor="_Toc430008717" w:history="1">
            <w:r w:rsidRPr="00B73FF0">
              <w:rPr>
                <w:rStyle w:val="Hyperlink"/>
                <w:noProof/>
              </w:rPr>
              <w:t>Hardware and PCB:</w:t>
            </w:r>
            <w:r>
              <w:rPr>
                <w:noProof/>
                <w:webHidden/>
              </w:rPr>
              <w:tab/>
            </w:r>
            <w:r>
              <w:rPr>
                <w:noProof/>
                <w:webHidden/>
              </w:rPr>
              <w:fldChar w:fldCharType="begin"/>
            </w:r>
            <w:r>
              <w:rPr>
                <w:noProof/>
                <w:webHidden/>
              </w:rPr>
              <w:instrText xml:space="preserve"> PAGEREF _Toc430008717 \h </w:instrText>
            </w:r>
            <w:r>
              <w:rPr>
                <w:noProof/>
                <w:webHidden/>
              </w:rPr>
            </w:r>
            <w:r>
              <w:rPr>
                <w:noProof/>
                <w:webHidden/>
              </w:rPr>
              <w:fldChar w:fldCharType="separate"/>
            </w:r>
            <w:r>
              <w:rPr>
                <w:noProof/>
                <w:webHidden/>
              </w:rPr>
              <w:t>3</w:t>
            </w:r>
            <w:r>
              <w:rPr>
                <w:noProof/>
                <w:webHidden/>
              </w:rPr>
              <w:fldChar w:fldCharType="end"/>
            </w:r>
          </w:hyperlink>
        </w:p>
        <w:p w:rsidR="00051483" w:rsidRDefault="00051483">
          <w:pPr>
            <w:pStyle w:val="TOC2"/>
            <w:tabs>
              <w:tab w:val="right" w:leader="dot" w:pos="9350"/>
            </w:tabs>
            <w:rPr>
              <w:rFonts w:eastAsiaTheme="minorEastAsia"/>
              <w:noProof/>
            </w:rPr>
          </w:pPr>
          <w:hyperlink w:anchor="_Toc430008718" w:history="1">
            <w:r w:rsidRPr="00B73FF0">
              <w:rPr>
                <w:rStyle w:val="Hyperlink"/>
                <w:noProof/>
              </w:rPr>
              <w:t>Mechanical:</w:t>
            </w:r>
            <w:r>
              <w:rPr>
                <w:noProof/>
                <w:webHidden/>
              </w:rPr>
              <w:tab/>
            </w:r>
            <w:r>
              <w:rPr>
                <w:noProof/>
                <w:webHidden/>
              </w:rPr>
              <w:fldChar w:fldCharType="begin"/>
            </w:r>
            <w:r>
              <w:rPr>
                <w:noProof/>
                <w:webHidden/>
              </w:rPr>
              <w:instrText xml:space="preserve"> PAGEREF _Toc430008718 \h </w:instrText>
            </w:r>
            <w:r>
              <w:rPr>
                <w:noProof/>
                <w:webHidden/>
              </w:rPr>
            </w:r>
            <w:r>
              <w:rPr>
                <w:noProof/>
                <w:webHidden/>
              </w:rPr>
              <w:fldChar w:fldCharType="separate"/>
            </w:r>
            <w:r>
              <w:rPr>
                <w:noProof/>
                <w:webHidden/>
              </w:rPr>
              <w:t>4</w:t>
            </w:r>
            <w:r>
              <w:rPr>
                <w:noProof/>
                <w:webHidden/>
              </w:rPr>
              <w:fldChar w:fldCharType="end"/>
            </w:r>
          </w:hyperlink>
        </w:p>
        <w:p w:rsidR="00051483" w:rsidRDefault="00051483">
          <w:pPr>
            <w:pStyle w:val="TOC1"/>
            <w:tabs>
              <w:tab w:val="right" w:leader="dot" w:pos="9350"/>
            </w:tabs>
            <w:rPr>
              <w:rFonts w:eastAsiaTheme="minorEastAsia"/>
              <w:noProof/>
            </w:rPr>
          </w:pPr>
          <w:hyperlink w:anchor="_Toc430008719" w:history="1">
            <w:r w:rsidRPr="00B73FF0">
              <w:rPr>
                <w:rStyle w:val="Hyperlink"/>
                <w:noProof/>
              </w:rPr>
              <w:t>Effort Estimations</w:t>
            </w:r>
            <w:r>
              <w:rPr>
                <w:noProof/>
                <w:webHidden/>
              </w:rPr>
              <w:tab/>
            </w:r>
            <w:r>
              <w:rPr>
                <w:noProof/>
                <w:webHidden/>
              </w:rPr>
              <w:fldChar w:fldCharType="begin"/>
            </w:r>
            <w:r>
              <w:rPr>
                <w:noProof/>
                <w:webHidden/>
              </w:rPr>
              <w:instrText xml:space="preserve"> PAGEREF _Toc430008719 \h </w:instrText>
            </w:r>
            <w:r>
              <w:rPr>
                <w:noProof/>
                <w:webHidden/>
              </w:rPr>
            </w:r>
            <w:r>
              <w:rPr>
                <w:noProof/>
                <w:webHidden/>
              </w:rPr>
              <w:fldChar w:fldCharType="separate"/>
            </w:r>
            <w:r>
              <w:rPr>
                <w:noProof/>
                <w:webHidden/>
              </w:rPr>
              <w:t>4</w:t>
            </w:r>
            <w:r>
              <w:rPr>
                <w:noProof/>
                <w:webHidden/>
              </w:rPr>
              <w:fldChar w:fldCharType="end"/>
            </w:r>
          </w:hyperlink>
        </w:p>
        <w:p w:rsidR="00051483" w:rsidRDefault="00051483">
          <w:pPr>
            <w:pStyle w:val="TOC1"/>
            <w:tabs>
              <w:tab w:val="right" w:leader="dot" w:pos="9350"/>
            </w:tabs>
            <w:rPr>
              <w:rFonts w:eastAsiaTheme="minorEastAsia"/>
              <w:noProof/>
            </w:rPr>
          </w:pPr>
          <w:hyperlink w:anchor="_Toc430008720" w:history="1">
            <w:r w:rsidRPr="00B73FF0">
              <w:rPr>
                <w:rStyle w:val="Hyperlink"/>
                <w:noProof/>
              </w:rPr>
              <w:t>Wideband Delphi</w:t>
            </w:r>
            <w:r>
              <w:rPr>
                <w:noProof/>
                <w:webHidden/>
              </w:rPr>
              <w:tab/>
            </w:r>
            <w:r>
              <w:rPr>
                <w:noProof/>
                <w:webHidden/>
              </w:rPr>
              <w:fldChar w:fldCharType="begin"/>
            </w:r>
            <w:r>
              <w:rPr>
                <w:noProof/>
                <w:webHidden/>
              </w:rPr>
              <w:instrText xml:space="preserve"> PAGEREF _Toc430008720 \h </w:instrText>
            </w:r>
            <w:r>
              <w:rPr>
                <w:noProof/>
                <w:webHidden/>
              </w:rPr>
            </w:r>
            <w:r>
              <w:rPr>
                <w:noProof/>
                <w:webHidden/>
              </w:rPr>
              <w:fldChar w:fldCharType="separate"/>
            </w:r>
            <w:r>
              <w:rPr>
                <w:noProof/>
                <w:webHidden/>
              </w:rPr>
              <w:t>5</w:t>
            </w:r>
            <w:r>
              <w:rPr>
                <w:noProof/>
                <w:webHidden/>
              </w:rPr>
              <w:fldChar w:fldCharType="end"/>
            </w:r>
          </w:hyperlink>
        </w:p>
        <w:p w:rsidR="00051483" w:rsidRDefault="00051483">
          <w:pPr>
            <w:pStyle w:val="TOC2"/>
            <w:tabs>
              <w:tab w:val="right" w:leader="dot" w:pos="9350"/>
            </w:tabs>
            <w:rPr>
              <w:rFonts w:eastAsiaTheme="minorEastAsia"/>
              <w:noProof/>
            </w:rPr>
          </w:pPr>
          <w:hyperlink w:anchor="_Toc430008721" w:history="1">
            <w:r w:rsidRPr="00B73FF0">
              <w:rPr>
                <w:rStyle w:val="Hyperlink"/>
                <w:noProof/>
              </w:rPr>
              <w:t>Purpose</w:t>
            </w:r>
            <w:r>
              <w:rPr>
                <w:noProof/>
                <w:webHidden/>
              </w:rPr>
              <w:tab/>
            </w:r>
            <w:r>
              <w:rPr>
                <w:noProof/>
                <w:webHidden/>
              </w:rPr>
              <w:fldChar w:fldCharType="begin"/>
            </w:r>
            <w:r>
              <w:rPr>
                <w:noProof/>
                <w:webHidden/>
              </w:rPr>
              <w:instrText xml:space="preserve"> PAGEREF _Toc430008721 \h </w:instrText>
            </w:r>
            <w:r>
              <w:rPr>
                <w:noProof/>
                <w:webHidden/>
              </w:rPr>
            </w:r>
            <w:r>
              <w:rPr>
                <w:noProof/>
                <w:webHidden/>
              </w:rPr>
              <w:fldChar w:fldCharType="separate"/>
            </w:r>
            <w:r>
              <w:rPr>
                <w:noProof/>
                <w:webHidden/>
              </w:rPr>
              <w:t>5</w:t>
            </w:r>
            <w:r>
              <w:rPr>
                <w:noProof/>
                <w:webHidden/>
              </w:rPr>
              <w:fldChar w:fldCharType="end"/>
            </w:r>
          </w:hyperlink>
        </w:p>
        <w:p w:rsidR="00051483" w:rsidRDefault="00051483">
          <w:pPr>
            <w:pStyle w:val="TOC2"/>
            <w:tabs>
              <w:tab w:val="right" w:leader="dot" w:pos="9350"/>
            </w:tabs>
            <w:rPr>
              <w:rFonts w:eastAsiaTheme="minorEastAsia"/>
              <w:noProof/>
            </w:rPr>
          </w:pPr>
          <w:hyperlink w:anchor="_Toc430008722" w:history="1">
            <w:r w:rsidRPr="00B73FF0">
              <w:rPr>
                <w:rStyle w:val="Hyperlink"/>
                <w:noProof/>
              </w:rPr>
              <w:t>Tasks</w:t>
            </w:r>
            <w:r>
              <w:rPr>
                <w:noProof/>
                <w:webHidden/>
              </w:rPr>
              <w:tab/>
            </w:r>
            <w:r>
              <w:rPr>
                <w:noProof/>
                <w:webHidden/>
              </w:rPr>
              <w:fldChar w:fldCharType="begin"/>
            </w:r>
            <w:r>
              <w:rPr>
                <w:noProof/>
                <w:webHidden/>
              </w:rPr>
              <w:instrText xml:space="preserve"> PAGEREF _Toc430008722 \h </w:instrText>
            </w:r>
            <w:r>
              <w:rPr>
                <w:noProof/>
                <w:webHidden/>
              </w:rPr>
            </w:r>
            <w:r>
              <w:rPr>
                <w:noProof/>
                <w:webHidden/>
              </w:rPr>
              <w:fldChar w:fldCharType="separate"/>
            </w:r>
            <w:r>
              <w:rPr>
                <w:noProof/>
                <w:webHidden/>
              </w:rPr>
              <w:t>5</w:t>
            </w:r>
            <w:r>
              <w:rPr>
                <w:noProof/>
                <w:webHidden/>
              </w:rPr>
              <w:fldChar w:fldCharType="end"/>
            </w:r>
          </w:hyperlink>
        </w:p>
        <w:p w:rsidR="00051483" w:rsidRDefault="00051483">
          <w:pPr>
            <w:pStyle w:val="TOC1"/>
            <w:tabs>
              <w:tab w:val="right" w:leader="dot" w:pos="9350"/>
            </w:tabs>
            <w:rPr>
              <w:rFonts w:eastAsiaTheme="minorEastAsia"/>
              <w:noProof/>
            </w:rPr>
          </w:pPr>
          <w:hyperlink w:anchor="_Toc430008723" w:history="1">
            <w:r w:rsidRPr="00B73FF0">
              <w:rPr>
                <w:rStyle w:val="Hyperlink"/>
                <w:noProof/>
              </w:rPr>
              <w:t>Conclusion</w:t>
            </w:r>
            <w:r>
              <w:rPr>
                <w:noProof/>
                <w:webHidden/>
              </w:rPr>
              <w:tab/>
            </w:r>
            <w:r>
              <w:rPr>
                <w:noProof/>
                <w:webHidden/>
              </w:rPr>
              <w:fldChar w:fldCharType="begin"/>
            </w:r>
            <w:r>
              <w:rPr>
                <w:noProof/>
                <w:webHidden/>
              </w:rPr>
              <w:instrText xml:space="preserve"> PAGEREF _Toc430008723 \h </w:instrText>
            </w:r>
            <w:r>
              <w:rPr>
                <w:noProof/>
                <w:webHidden/>
              </w:rPr>
            </w:r>
            <w:r>
              <w:rPr>
                <w:noProof/>
                <w:webHidden/>
              </w:rPr>
              <w:fldChar w:fldCharType="separate"/>
            </w:r>
            <w:r>
              <w:rPr>
                <w:noProof/>
                <w:webHidden/>
              </w:rPr>
              <w:t>5</w:t>
            </w:r>
            <w:r>
              <w:rPr>
                <w:noProof/>
                <w:webHidden/>
              </w:rPr>
              <w:fldChar w:fldCharType="end"/>
            </w:r>
          </w:hyperlink>
        </w:p>
        <w:p w:rsidR="00AF6DE2" w:rsidRDefault="004A4036">
          <w:r>
            <w:rPr>
              <w:b/>
              <w:bCs/>
              <w:noProof/>
            </w:rPr>
            <w:fldChar w:fldCharType="end"/>
          </w:r>
        </w:p>
      </w:sdtContent>
    </w:sdt>
    <w:p w:rsidR="00067A35" w:rsidRDefault="00067A35">
      <w:r>
        <w:br w:type="page"/>
      </w:r>
    </w:p>
    <w:p w:rsidR="00AF6DE2" w:rsidRPr="00D710B3" w:rsidRDefault="00AF6DE2" w:rsidP="00AF6DE2">
      <w:pPr>
        <w:pStyle w:val="Heading1"/>
        <w:rPr>
          <w:sz w:val="26"/>
          <w:szCs w:val="26"/>
        </w:rPr>
      </w:pPr>
      <w:bookmarkStart w:id="0" w:name="_Toc430008713"/>
      <w:r w:rsidRPr="00D710B3">
        <w:rPr>
          <w:sz w:val="26"/>
          <w:szCs w:val="26"/>
        </w:rPr>
        <w:lastRenderedPageBreak/>
        <w:t>Purpose</w:t>
      </w:r>
      <w:bookmarkEnd w:id="0"/>
    </w:p>
    <w:p w:rsidR="00AF6DE2" w:rsidRDefault="00AF6DE2" w:rsidP="0093325E">
      <w:r w:rsidRPr="00D710B3">
        <w:t xml:space="preserve">The purpose of this document is to provide guidance on the practice of </w:t>
      </w:r>
      <w:r w:rsidRPr="00D710B3">
        <w:rPr>
          <w:b/>
        </w:rPr>
        <w:t xml:space="preserve">Estimating </w:t>
      </w:r>
      <w:r w:rsidRPr="00D710B3">
        <w:t>and to describe the practice overview, requirements, best practices</w:t>
      </w:r>
      <w:r w:rsidR="00384A6D">
        <w:t xml:space="preserve"> and </w:t>
      </w:r>
      <w:r w:rsidRPr="00D710B3">
        <w:t>activities</w:t>
      </w:r>
      <w:r w:rsidR="00384A6D">
        <w:t xml:space="preserve"> related to estimation.</w:t>
      </w:r>
    </w:p>
    <w:p w:rsidR="00094A75" w:rsidRPr="00D710B3" w:rsidRDefault="00094A75" w:rsidP="00094A75">
      <w:pPr>
        <w:pStyle w:val="Heading1"/>
        <w:jc w:val="both"/>
        <w:rPr>
          <w:sz w:val="26"/>
          <w:szCs w:val="26"/>
        </w:rPr>
      </w:pPr>
      <w:bookmarkStart w:id="1" w:name="_Toc430008714"/>
      <w:r w:rsidRPr="00D710B3">
        <w:rPr>
          <w:sz w:val="26"/>
          <w:szCs w:val="26"/>
        </w:rPr>
        <w:t>Practice Overview</w:t>
      </w:r>
      <w:bookmarkEnd w:id="1"/>
    </w:p>
    <w:p w:rsidR="00094A75" w:rsidRPr="00D710B3" w:rsidRDefault="00094A75" w:rsidP="00094A75">
      <w:r w:rsidRPr="00D710B3">
        <w:t>Establishing realistic estimates for project schedules, budgets, resources, etc. is one of the most challenging aspects of planning a project. Project managers are constantly challenged to provide timely, accurate, and updated project estimates. Often these estimates are for work that project manager’s may have little experience or familiarity with or to achieve a project goal that has never been accomplished before. The practice of project estimating answers key questions, such as those below, that may impact how estimating will be performed for the project:</w:t>
      </w:r>
    </w:p>
    <w:p w:rsidR="00094A75" w:rsidRPr="00D710B3" w:rsidRDefault="00094A75" w:rsidP="00094A75">
      <w:pPr>
        <w:pStyle w:val="ListParagraph"/>
        <w:numPr>
          <w:ilvl w:val="0"/>
          <w:numId w:val="9"/>
        </w:numPr>
      </w:pPr>
      <w:r w:rsidRPr="00D710B3">
        <w:t>What is the work to be estimated?</w:t>
      </w:r>
    </w:p>
    <w:p w:rsidR="00094A75" w:rsidRPr="00D710B3" w:rsidRDefault="00094A75" w:rsidP="00094A75">
      <w:pPr>
        <w:pStyle w:val="ListParagraph"/>
        <w:numPr>
          <w:ilvl w:val="0"/>
          <w:numId w:val="9"/>
        </w:numPr>
      </w:pPr>
      <w:r w:rsidRPr="00D710B3">
        <w:t>How will the estimate be determined?</w:t>
      </w:r>
    </w:p>
    <w:p w:rsidR="00094A75" w:rsidRPr="00D710B3" w:rsidRDefault="00094A75" w:rsidP="00094A75">
      <w:pPr>
        <w:pStyle w:val="ListParagraph"/>
        <w:numPr>
          <w:ilvl w:val="0"/>
          <w:numId w:val="9"/>
        </w:numPr>
      </w:pPr>
      <w:r w:rsidRPr="00D710B3">
        <w:t>When will the work be accomplished?</w:t>
      </w:r>
    </w:p>
    <w:p w:rsidR="00094A75" w:rsidRPr="00D710B3" w:rsidRDefault="00094A75" w:rsidP="00094A75">
      <w:pPr>
        <w:pStyle w:val="ListParagraph"/>
        <w:numPr>
          <w:ilvl w:val="0"/>
          <w:numId w:val="9"/>
        </w:numPr>
      </w:pPr>
      <w:r w:rsidRPr="00D710B3">
        <w:t>Who will do the work?</w:t>
      </w:r>
    </w:p>
    <w:p w:rsidR="00094A75" w:rsidRPr="00D710B3" w:rsidRDefault="00094A75" w:rsidP="00094A75">
      <w:pPr>
        <w:pStyle w:val="ListParagraph"/>
        <w:numPr>
          <w:ilvl w:val="0"/>
          <w:numId w:val="9"/>
        </w:numPr>
      </w:pPr>
      <w:r w:rsidRPr="00D710B3">
        <w:t>Do interdependencies exist between tasks and/or other projects that may impact estimates?</w:t>
      </w:r>
    </w:p>
    <w:p w:rsidR="00094A75" w:rsidRPr="00D710B3" w:rsidRDefault="00094A75" w:rsidP="0093325E">
      <w:pPr>
        <w:rPr>
          <w:sz w:val="24"/>
        </w:rPr>
      </w:pPr>
    </w:p>
    <w:p w:rsidR="00034061" w:rsidRDefault="00034061" w:rsidP="00AF6DE2">
      <w:pPr>
        <w:pStyle w:val="Heading1"/>
        <w:jc w:val="both"/>
        <w:rPr>
          <w:sz w:val="26"/>
          <w:szCs w:val="26"/>
        </w:rPr>
      </w:pPr>
      <w:bookmarkStart w:id="2" w:name="_Toc430008715"/>
      <w:r>
        <w:rPr>
          <w:sz w:val="26"/>
          <w:szCs w:val="26"/>
        </w:rPr>
        <w:t>Complexity Estimations</w:t>
      </w:r>
      <w:bookmarkEnd w:id="2"/>
    </w:p>
    <w:p w:rsidR="00053EEF" w:rsidRDefault="00034061" w:rsidP="00034061">
      <w:r>
        <w:t>The estimation of complexity of a requirement is critical to estimating the project work against it for design, implementation, testing among other aspects. E</w:t>
      </w:r>
      <w:r w:rsidRPr="00D710B3">
        <w:t xml:space="preserve">xpert judgment and historical information of similar activities </w:t>
      </w:r>
      <w:r>
        <w:t>is the basis for this estimation.</w:t>
      </w:r>
      <w:r w:rsidR="00085EBF">
        <w:t xml:space="preserve"> If a particular </w:t>
      </w:r>
      <w:r w:rsidR="0088163F">
        <w:t>requirement does</w:t>
      </w:r>
      <w:r w:rsidR="00085EBF">
        <w:t xml:space="preserve"> n</w:t>
      </w:r>
      <w:r w:rsidR="005633E7">
        <w:t xml:space="preserve">ot entail complexity </w:t>
      </w:r>
      <w:r w:rsidR="00085EBF">
        <w:t>in particular functional area</w:t>
      </w:r>
      <w:r w:rsidR="004171B8">
        <w:t>,</w:t>
      </w:r>
      <w:r w:rsidR="00085EBF">
        <w:t xml:space="preserve"> then complexity score would be zero (0) for the same. </w:t>
      </w:r>
      <w:r w:rsidR="00D77A2B">
        <w:t>The tables below</w:t>
      </w:r>
      <w:r>
        <w:t xml:space="preserve"> </w:t>
      </w:r>
      <w:r w:rsidR="00810994">
        <w:t>are</w:t>
      </w:r>
      <w:r w:rsidR="004171B8">
        <w:t xml:space="preserve"> </w:t>
      </w:r>
      <w:r w:rsidR="0088163F">
        <w:t>complimentary</w:t>
      </w:r>
      <w:r w:rsidR="004171B8">
        <w:t xml:space="preserve"> to the practitioner’s expert </w:t>
      </w:r>
      <w:r w:rsidR="0088163F">
        <w:t>judgment</w:t>
      </w:r>
      <w:r w:rsidR="004171B8">
        <w:t xml:space="preserve"> and project performance experience.</w:t>
      </w:r>
      <w:r w:rsidR="00810994">
        <w:t xml:space="preserve"> </w:t>
      </w:r>
      <w:r>
        <w:t>The practitioner must take into account the following factors</w:t>
      </w:r>
      <w:r w:rsidR="001A37BD">
        <w:t>, among others,</w:t>
      </w:r>
      <w:r>
        <w:t xml:space="preserve"> in determining the complexity of a certain requirement</w:t>
      </w:r>
      <w:r w:rsidR="00AF5BBA">
        <w:t>:</w:t>
      </w:r>
    </w:p>
    <w:p w:rsidR="00053EEF" w:rsidRDefault="00053EEF">
      <w:r>
        <w:br w:type="page"/>
      </w:r>
    </w:p>
    <w:p w:rsidR="003C1905" w:rsidRDefault="00053EEF" w:rsidP="003C1905">
      <w:pPr>
        <w:pStyle w:val="Heading2"/>
        <w:rPr>
          <w:rFonts w:ascii="Calibri" w:eastAsia="Times New Roman" w:hAnsi="Calibri" w:cs="Calibri"/>
          <w:color w:val="FFFFFF"/>
        </w:rPr>
      </w:pPr>
      <w:bookmarkStart w:id="3" w:name="_Toc430008716"/>
      <w:r>
        <w:lastRenderedPageBreak/>
        <w:t>Firmware:</w:t>
      </w:r>
      <w:bookmarkEnd w:id="3"/>
    </w:p>
    <w:tbl>
      <w:tblPr>
        <w:tblStyle w:val="LightShading-Accent1"/>
        <w:tblW w:w="9955" w:type="dxa"/>
        <w:tblInd w:w="-72"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698"/>
        <w:gridCol w:w="2419"/>
        <w:gridCol w:w="2419"/>
        <w:gridCol w:w="2419"/>
      </w:tblGrid>
      <w:tr w:rsidR="001B1BDF" w:rsidRPr="00750E31" w:rsidTr="007E649C">
        <w:trPr>
          <w:cnfStyle w:val="100000000000"/>
          <w:trHeight w:val="552"/>
        </w:trPr>
        <w:tc>
          <w:tcPr>
            <w:cnfStyle w:val="001000000000"/>
            <w:tcW w:w="2698" w:type="dxa"/>
            <w:tcBorders>
              <w:top w:val="none" w:sz="0" w:space="0" w:color="auto"/>
              <w:left w:val="none" w:sz="0" w:space="0" w:color="auto"/>
              <w:bottom w:val="none" w:sz="0" w:space="0" w:color="auto"/>
              <w:right w:val="none" w:sz="0" w:space="0" w:color="auto"/>
            </w:tcBorders>
          </w:tcPr>
          <w:p w:rsidR="001B1BDF" w:rsidRPr="00750E31" w:rsidRDefault="001B1BDF" w:rsidP="00355ACD">
            <w:r w:rsidRPr="00750E31">
              <w:t>Complexity factor</w:t>
            </w:r>
          </w:p>
        </w:tc>
        <w:tc>
          <w:tcPr>
            <w:tcW w:w="2419" w:type="dxa"/>
            <w:tcBorders>
              <w:top w:val="none" w:sz="0" w:space="0" w:color="auto"/>
              <w:left w:val="none" w:sz="0" w:space="0" w:color="auto"/>
              <w:bottom w:val="none" w:sz="0" w:space="0" w:color="auto"/>
              <w:right w:val="none" w:sz="0" w:space="0" w:color="auto"/>
            </w:tcBorders>
          </w:tcPr>
          <w:p w:rsidR="001B1BDF" w:rsidRPr="00750E31" w:rsidRDefault="001B1BDF" w:rsidP="00355ACD">
            <w:pPr>
              <w:cnfStyle w:val="100000000000"/>
            </w:pPr>
            <w:r w:rsidRPr="00750E31">
              <w:t>High Complexity (8 - 10)</w:t>
            </w:r>
          </w:p>
        </w:tc>
        <w:tc>
          <w:tcPr>
            <w:tcW w:w="2419" w:type="dxa"/>
            <w:tcBorders>
              <w:top w:val="none" w:sz="0" w:space="0" w:color="auto"/>
              <w:left w:val="none" w:sz="0" w:space="0" w:color="auto"/>
              <w:bottom w:val="none" w:sz="0" w:space="0" w:color="auto"/>
              <w:right w:val="none" w:sz="0" w:space="0" w:color="auto"/>
            </w:tcBorders>
          </w:tcPr>
          <w:p w:rsidR="001B1BDF" w:rsidRPr="00750E31" w:rsidRDefault="001B1BDF" w:rsidP="00355ACD">
            <w:pPr>
              <w:cnfStyle w:val="100000000000"/>
            </w:pPr>
            <w:r w:rsidRPr="00750E31">
              <w:t>Medium Complexity (4 - 7)</w:t>
            </w:r>
          </w:p>
        </w:tc>
        <w:tc>
          <w:tcPr>
            <w:tcW w:w="2419" w:type="dxa"/>
            <w:tcBorders>
              <w:top w:val="none" w:sz="0" w:space="0" w:color="auto"/>
              <w:left w:val="none" w:sz="0" w:space="0" w:color="auto"/>
              <w:bottom w:val="none" w:sz="0" w:space="0" w:color="auto"/>
              <w:right w:val="none" w:sz="0" w:space="0" w:color="auto"/>
            </w:tcBorders>
          </w:tcPr>
          <w:p w:rsidR="001B1BDF" w:rsidRPr="00750E31" w:rsidRDefault="001B1BDF" w:rsidP="00355ACD">
            <w:pPr>
              <w:cnfStyle w:val="100000000000"/>
            </w:pPr>
            <w:r w:rsidRPr="00750E31">
              <w:t>Low Complexity (1 - 3)</w:t>
            </w:r>
          </w:p>
        </w:tc>
      </w:tr>
      <w:tr w:rsidR="001B1BDF" w:rsidTr="007E649C">
        <w:trPr>
          <w:cnfStyle w:val="000000100000"/>
          <w:trHeight w:val="1683"/>
        </w:trPr>
        <w:tc>
          <w:tcPr>
            <w:cnfStyle w:val="001000000000"/>
            <w:tcW w:w="2698" w:type="dxa"/>
            <w:tcBorders>
              <w:left w:val="none" w:sz="0" w:space="0" w:color="auto"/>
              <w:right w:val="none" w:sz="0" w:space="0" w:color="auto"/>
            </w:tcBorders>
          </w:tcPr>
          <w:p w:rsidR="001B1BDF" w:rsidRDefault="001B1BDF" w:rsidP="00355ACD">
            <w:r>
              <w:t xml:space="preserve">Algorithmic complexity </w:t>
            </w:r>
          </w:p>
        </w:tc>
        <w:tc>
          <w:tcPr>
            <w:tcW w:w="2419" w:type="dxa"/>
            <w:tcBorders>
              <w:left w:val="none" w:sz="0" w:space="0" w:color="auto"/>
              <w:right w:val="none" w:sz="0" w:space="0" w:color="auto"/>
            </w:tcBorders>
          </w:tcPr>
          <w:p w:rsidR="001B1BDF" w:rsidRDefault="001B1BDF" w:rsidP="00355ACD">
            <w:pPr>
              <w:cnfStyle w:val="000000100000"/>
            </w:pPr>
            <w:r>
              <w:t>Intensive transformation including mathematical calculation, complicated decision flow</w:t>
            </w:r>
          </w:p>
        </w:tc>
        <w:tc>
          <w:tcPr>
            <w:tcW w:w="2419" w:type="dxa"/>
            <w:tcBorders>
              <w:left w:val="none" w:sz="0" w:space="0" w:color="auto"/>
              <w:right w:val="none" w:sz="0" w:space="0" w:color="auto"/>
            </w:tcBorders>
          </w:tcPr>
          <w:p w:rsidR="001B1BDF" w:rsidRDefault="001B1BDF" w:rsidP="00355ACD">
            <w:pPr>
              <w:cnfStyle w:val="000000100000"/>
            </w:pPr>
            <w:r>
              <w:t>Complicated decision flow</w:t>
            </w:r>
          </w:p>
        </w:tc>
        <w:tc>
          <w:tcPr>
            <w:tcW w:w="2419" w:type="dxa"/>
            <w:tcBorders>
              <w:left w:val="none" w:sz="0" w:space="0" w:color="auto"/>
              <w:right w:val="none" w:sz="0" w:space="0" w:color="auto"/>
            </w:tcBorders>
          </w:tcPr>
          <w:p w:rsidR="001B1BDF" w:rsidRDefault="001B1BDF" w:rsidP="00355ACD">
            <w:pPr>
              <w:cnfStyle w:val="000000100000"/>
            </w:pPr>
            <w:r>
              <w:t>No intensive transformation and complicated decision flow</w:t>
            </w:r>
          </w:p>
        </w:tc>
      </w:tr>
      <w:tr w:rsidR="001B1BDF" w:rsidTr="007E649C">
        <w:trPr>
          <w:trHeight w:val="1683"/>
        </w:trPr>
        <w:tc>
          <w:tcPr>
            <w:cnfStyle w:val="001000000000"/>
            <w:tcW w:w="2698" w:type="dxa"/>
          </w:tcPr>
          <w:p w:rsidR="001B1BDF" w:rsidRDefault="001B1BDF" w:rsidP="00355ACD">
            <w:r>
              <w:t>New Hardware and Firmware modules interfacing</w:t>
            </w:r>
          </w:p>
        </w:tc>
        <w:tc>
          <w:tcPr>
            <w:tcW w:w="2419" w:type="dxa"/>
          </w:tcPr>
          <w:p w:rsidR="001B1BDF" w:rsidRDefault="001B1BDF" w:rsidP="00355ACD">
            <w:pPr>
              <w:cnfStyle w:val="000000000000"/>
            </w:pPr>
            <w:r>
              <w:t>More than 15 configuration registers with sensitive (5% variance) timing and sequencing constraints</w:t>
            </w:r>
          </w:p>
          <w:p w:rsidR="001B1BDF" w:rsidRDefault="001B1BDF" w:rsidP="00355ACD">
            <w:pPr>
              <w:cnfStyle w:val="000000000000"/>
            </w:pPr>
            <w:r>
              <w:t>Unfamiliar architecture</w:t>
            </w:r>
          </w:p>
        </w:tc>
        <w:tc>
          <w:tcPr>
            <w:tcW w:w="2419" w:type="dxa"/>
          </w:tcPr>
          <w:p w:rsidR="001B1BDF" w:rsidRDefault="001B1BDF" w:rsidP="00355ACD">
            <w:pPr>
              <w:cnfStyle w:val="000000000000"/>
            </w:pPr>
            <w:r>
              <w:t>More than 10 , less than 15 configuration registers with sensitive (10% variance) timing</w:t>
            </w:r>
          </w:p>
        </w:tc>
        <w:tc>
          <w:tcPr>
            <w:tcW w:w="2419" w:type="dxa"/>
          </w:tcPr>
          <w:p w:rsidR="001B1BDF" w:rsidRDefault="001B1BDF" w:rsidP="00355ACD">
            <w:pPr>
              <w:cnfStyle w:val="000000000000"/>
            </w:pPr>
            <w:r>
              <w:t>Less than 5 configuration registers</w:t>
            </w:r>
          </w:p>
        </w:tc>
      </w:tr>
      <w:tr w:rsidR="001B1BDF" w:rsidTr="007E649C">
        <w:trPr>
          <w:cnfStyle w:val="000000100000"/>
          <w:trHeight w:val="841"/>
        </w:trPr>
        <w:tc>
          <w:tcPr>
            <w:cnfStyle w:val="001000000000"/>
            <w:tcW w:w="2698" w:type="dxa"/>
            <w:tcBorders>
              <w:left w:val="none" w:sz="0" w:space="0" w:color="auto"/>
              <w:right w:val="none" w:sz="0" w:space="0" w:color="auto"/>
            </w:tcBorders>
          </w:tcPr>
          <w:p w:rsidR="001B1BDF" w:rsidRDefault="001B1BDF" w:rsidP="00355ACD">
            <w:r>
              <w:t>Real time constraints and ISR</w:t>
            </w:r>
          </w:p>
        </w:tc>
        <w:tc>
          <w:tcPr>
            <w:tcW w:w="2419" w:type="dxa"/>
            <w:tcBorders>
              <w:left w:val="none" w:sz="0" w:space="0" w:color="auto"/>
              <w:right w:val="none" w:sz="0" w:space="0" w:color="auto"/>
            </w:tcBorders>
          </w:tcPr>
          <w:p w:rsidR="001B1BDF" w:rsidRDefault="001B1BDF" w:rsidP="00355ACD">
            <w:pPr>
              <w:cnfStyle w:val="000000100000"/>
            </w:pPr>
            <w:r>
              <w:t>Sensitive timing constraints, High ISR frequency</w:t>
            </w:r>
          </w:p>
        </w:tc>
        <w:tc>
          <w:tcPr>
            <w:tcW w:w="2419" w:type="dxa"/>
            <w:tcBorders>
              <w:left w:val="none" w:sz="0" w:space="0" w:color="auto"/>
              <w:right w:val="none" w:sz="0" w:space="0" w:color="auto"/>
            </w:tcBorders>
          </w:tcPr>
          <w:p w:rsidR="001B1BDF" w:rsidRDefault="001B1BDF" w:rsidP="00355ACD">
            <w:pPr>
              <w:cnfStyle w:val="000000100000"/>
            </w:pPr>
            <w:r>
              <w:t>High ISR frequency</w:t>
            </w:r>
          </w:p>
        </w:tc>
        <w:tc>
          <w:tcPr>
            <w:tcW w:w="2419" w:type="dxa"/>
            <w:tcBorders>
              <w:left w:val="none" w:sz="0" w:space="0" w:color="auto"/>
              <w:right w:val="none" w:sz="0" w:space="0" w:color="auto"/>
            </w:tcBorders>
          </w:tcPr>
          <w:p w:rsidR="001B1BDF" w:rsidRDefault="001B1BDF" w:rsidP="00355ACD">
            <w:pPr>
              <w:cnfStyle w:val="000000100000"/>
            </w:pPr>
            <w:r>
              <w:t>No sensitive timing related constraints</w:t>
            </w:r>
          </w:p>
        </w:tc>
      </w:tr>
      <w:tr w:rsidR="00A942FC" w:rsidTr="007E649C">
        <w:trPr>
          <w:trHeight w:val="276"/>
        </w:trPr>
        <w:tc>
          <w:tcPr>
            <w:cnfStyle w:val="001000000000"/>
            <w:tcW w:w="2698" w:type="dxa"/>
          </w:tcPr>
          <w:p w:rsidR="00A942FC" w:rsidRDefault="00FB2B63" w:rsidP="00355ACD">
            <w:r>
              <w:t>Reusability (</w:t>
            </w:r>
            <w:r w:rsidR="00A942FC">
              <w:t xml:space="preserve"> %)</w:t>
            </w:r>
          </w:p>
        </w:tc>
        <w:tc>
          <w:tcPr>
            <w:tcW w:w="2419" w:type="dxa"/>
          </w:tcPr>
          <w:p w:rsidR="00A942FC" w:rsidRDefault="00A942FC" w:rsidP="00A942FC">
            <w:pPr>
              <w:cnfStyle w:val="000000000000"/>
            </w:pPr>
            <w:r>
              <w:t xml:space="preserve">0 &lt;= </w:t>
            </w:r>
            <w:r w:rsidR="00FB2B63">
              <w:t xml:space="preserve">Reusability </w:t>
            </w:r>
            <w:r>
              <w:t>&lt;= 30</w:t>
            </w:r>
          </w:p>
        </w:tc>
        <w:tc>
          <w:tcPr>
            <w:tcW w:w="2419" w:type="dxa"/>
          </w:tcPr>
          <w:p w:rsidR="00A942FC" w:rsidRDefault="00A942FC" w:rsidP="00A942FC">
            <w:pPr>
              <w:cnfStyle w:val="000000000000"/>
            </w:pPr>
            <w:r>
              <w:t xml:space="preserve">30 &lt; </w:t>
            </w:r>
            <w:r w:rsidR="00FB2B63">
              <w:t xml:space="preserve">Reusability </w:t>
            </w:r>
            <w:r>
              <w:t>&lt; = 70</w:t>
            </w:r>
          </w:p>
        </w:tc>
        <w:tc>
          <w:tcPr>
            <w:tcW w:w="2419" w:type="dxa"/>
          </w:tcPr>
          <w:p w:rsidR="00A942FC" w:rsidRDefault="00A942FC" w:rsidP="00A942FC">
            <w:pPr>
              <w:cnfStyle w:val="000000000000"/>
            </w:pPr>
            <w:r>
              <w:t xml:space="preserve">70 &lt; </w:t>
            </w:r>
            <w:r w:rsidR="00FB2B63">
              <w:t xml:space="preserve">Reusability </w:t>
            </w:r>
            <w:r>
              <w:t>&lt; = 100</w:t>
            </w:r>
          </w:p>
        </w:tc>
      </w:tr>
      <w:tr w:rsidR="00A942FC" w:rsidTr="007E649C">
        <w:trPr>
          <w:cnfStyle w:val="000000100000"/>
          <w:trHeight w:val="855"/>
        </w:trPr>
        <w:tc>
          <w:tcPr>
            <w:cnfStyle w:val="001000000000"/>
            <w:tcW w:w="2698" w:type="dxa"/>
            <w:tcBorders>
              <w:left w:val="none" w:sz="0" w:space="0" w:color="auto"/>
              <w:right w:val="none" w:sz="0" w:space="0" w:color="auto"/>
            </w:tcBorders>
          </w:tcPr>
          <w:p w:rsidR="00A942FC" w:rsidRDefault="00A942FC" w:rsidP="00355ACD">
            <w:r>
              <w:t>External interfaces</w:t>
            </w:r>
          </w:p>
        </w:tc>
        <w:tc>
          <w:tcPr>
            <w:tcW w:w="2419" w:type="dxa"/>
            <w:tcBorders>
              <w:left w:val="none" w:sz="0" w:space="0" w:color="auto"/>
              <w:right w:val="none" w:sz="0" w:space="0" w:color="auto"/>
            </w:tcBorders>
          </w:tcPr>
          <w:p w:rsidR="00A942FC" w:rsidRDefault="00A942FC" w:rsidP="00355ACD">
            <w:pPr>
              <w:cnfStyle w:val="000000100000"/>
            </w:pPr>
            <w:r>
              <w:t>External hardware and Communication interface</w:t>
            </w:r>
          </w:p>
        </w:tc>
        <w:tc>
          <w:tcPr>
            <w:tcW w:w="2419" w:type="dxa"/>
            <w:tcBorders>
              <w:left w:val="none" w:sz="0" w:space="0" w:color="auto"/>
              <w:right w:val="none" w:sz="0" w:space="0" w:color="auto"/>
            </w:tcBorders>
          </w:tcPr>
          <w:p w:rsidR="00A942FC" w:rsidRDefault="00A942FC" w:rsidP="00355ACD">
            <w:pPr>
              <w:cnfStyle w:val="000000100000"/>
            </w:pPr>
            <w:r>
              <w:t>External hardware interface</w:t>
            </w:r>
          </w:p>
        </w:tc>
        <w:tc>
          <w:tcPr>
            <w:tcW w:w="2419" w:type="dxa"/>
            <w:tcBorders>
              <w:left w:val="none" w:sz="0" w:space="0" w:color="auto"/>
              <w:right w:val="none" w:sz="0" w:space="0" w:color="auto"/>
            </w:tcBorders>
          </w:tcPr>
          <w:p w:rsidR="00A942FC" w:rsidRDefault="00A942FC" w:rsidP="00355ACD">
            <w:pPr>
              <w:cnfStyle w:val="000000100000"/>
            </w:pPr>
            <w:r>
              <w:t>External communication interface</w:t>
            </w:r>
          </w:p>
        </w:tc>
      </w:tr>
    </w:tbl>
    <w:p w:rsidR="00053EEF" w:rsidRDefault="00053EEF"/>
    <w:p w:rsidR="003C1905" w:rsidRDefault="00053EEF" w:rsidP="003C1905">
      <w:pPr>
        <w:pStyle w:val="Heading2"/>
      </w:pPr>
      <w:bookmarkStart w:id="4" w:name="_Toc430008717"/>
      <w:r>
        <w:t>Hardware and PCB:</w:t>
      </w:r>
      <w:bookmarkEnd w:id="4"/>
    </w:p>
    <w:tbl>
      <w:tblPr>
        <w:tblStyle w:val="LightShading-Accent1"/>
        <w:tblW w:w="9924"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tblPr>
      <w:tblGrid>
        <w:gridCol w:w="2690"/>
        <w:gridCol w:w="2411"/>
        <w:gridCol w:w="2411"/>
        <w:gridCol w:w="2412"/>
      </w:tblGrid>
      <w:tr w:rsidR="00752E50" w:rsidTr="007E649C">
        <w:trPr>
          <w:cnfStyle w:val="100000000000"/>
          <w:trHeight w:val="582"/>
        </w:trPr>
        <w:tc>
          <w:tcPr>
            <w:cnfStyle w:val="001000000000"/>
            <w:tcW w:w="2690" w:type="dxa"/>
            <w:tcBorders>
              <w:top w:val="none" w:sz="0" w:space="0" w:color="auto"/>
              <w:left w:val="none" w:sz="0" w:space="0" w:color="auto"/>
              <w:bottom w:val="none" w:sz="0" w:space="0" w:color="auto"/>
              <w:right w:val="none" w:sz="0" w:space="0" w:color="auto"/>
            </w:tcBorders>
          </w:tcPr>
          <w:p w:rsidR="00752E50" w:rsidRPr="002E18CB" w:rsidRDefault="00752E50" w:rsidP="001032A3">
            <w:r w:rsidRPr="002E18CB">
              <w:t>Complexity factor</w:t>
            </w:r>
          </w:p>
        </w:tc>
        <w:tc>
          <w:tcPr>
            <w:tcW w:w="2411" w:type="dxa"/>
            <w:tcBorders>
              <w:top w:val="none" w:sz="0" w:space="0" w:color="auto"/>
              <w:left w:val="none" w:sz="0" w:space="0" w:color="auto"/>
              <w:bottom w:val="none" w:sz="0" w:space="0" w:color="auto"/>
              <w:right w:val="none" w:sz="0" w:space="0" w:color="auto"/>
            </w:tcBorders>
          </w:tcPr>
          <w:p w:rsidR="00752E50" w:rsidRPr="002E18CB" w:rsidRDefault="00752E50" w:rsidP="001032A3">
            <w:pPr>
              <w:cnfStyle w:val="100000000000"/>
            </w:pPr>
            <w:r w:rsidRPr="002E18CB">
              <w:t>High Complexity (8 - 10)</w:t>
            </w:r>
          </w:p>
        </w:tc>
        <w:tc>
          <w:tcPr>
            <w:tcW w:w="2411" w:type="dxa"/>
            <w:tcBorders>
              <w:top w:val="none" w:sz="0" w:space="0" w:color="auto"/>
              <w:left w:val="none" w:sz="0" w:space="0" w:color="auto"/>
              <w:bottom w:val="none" w:sz="0" w:space="0" w:color="auto"/>
              <w:right w:val="none" w:sz="0" w:space="0" w:color="auto"/>
            </w:tcBorders>
          </w:tcPr>
          <w:p w:rsidR="00752E50" w:rsidRPr="002E18CB" w:rsidRDefault="00752E50" w:rsidP="001032A3">
            <w:pPr>
              <w:cnfStyle w:val="100000000000"/>
            </w:pPr>
            <w:r w:rsidRPr="002E18CB">
              <w:t>Medium Complexity (4 - 7)</w:t>
            </w:r>
          </w:p>
        </w:tc>
        <w:tc>
          <w:tcPr>
            <w:tcW w:w="2412" w:type="dxa"/>
            <w:tcBorders>
              <w:top w:val="none" w:sz="0" w:space="0" w:color="auto"/>
              <w:left w:val="none" w:sz="0" w:space="0" w:color="auto"/>
              <w:bottom w:val="none" w:sz="0" w:space="0" w:color="auto"/>
              <w:right w:val="none" w:sz="0" w:space="0" w:color="auto"/>
            </w:tcBorders>
          </w:tcPr>
          <w:p w:rsidR="00752E50" w:rsidRPr="002E18CB" w:rsidRDefault="00752E50" w:rsidP="001032A3">
            <w:pPr>
              <w:cnfStyle w:val="100000000000"/>
            </w:pPr>
            <w:r w:rsidRPr="002E18CB">
              <w:t>Low Complexity (1 - 3)</w:t>
            </w:r>
          </w:p>
        </w:tc>
      </w:tr>
      <w:tr w:rsidR="00932CBC" w:rsidTr="007E649C">
        <w:trPr>
          <w:cnfStyle w:val="000000100000"/>
          <w:trHeight w:val="1181"/>
        </w:trPr>
        <w:tc>
          <w:tcPr>
            <w:cnfStyle w:val="001000000000"/>
            <w:tcW w:w="2690" w:type="dxa"/>
            <w:tcBorders>
              <w:left w:val="none" w:sz="0" w:space="0" w:color="auto"/>
              <w:right w:val="none" w:sz="0" w:space="0" w:color="auto"/>
            </w:tcBorders>
          </w:tcPr>
          <w:p w:rsidR="00752E50" w:rsidRDefault="00752E50" w:rsidP="001032A3">
            <w:r>
              <w:t>Component characteristics and Packaging</w:t>
            </w:r>
          </w:p>
        </w:tc>
        <w:tc>
          <w:tcPr>
            <w:tcW w:w="2411" w:type="dxa"/>
            <w:tcBorders>
              <w:left w:val="none" w:sz="0" w:space="0" w:color="auto"/>
              <w:right w:val="none" w:sz="0" w:space="0" w:color="auto"/>
            </w:tcBorders>
          </w:tcPr>
          <w:p w:rsidR="00752E50" w:rsidRDefault="00752E50" w:rsidP="001032A3">
            <w:pPr>
              <w:cnfStyle w:val="000000100000"/>
            </w:pPr>
            <w:r>
              <w:t>More Than One ICs and five non-linear components.</w:t>
            </w:r>
          </w:p>
        </w:tc>
        <w:tc>
          <w:tcPr>
            <w:tcW w:w="2411" w:type="dxa"/>
            <w:tcBorders>
              <w:left w:val="none" w:sz="0" w:space="0" w:color="auto"/>
              <w:right w:val="none" w:sz="0" w:space="0" w:color="auto"/>
            </w:tcBorders>
          </w:tcPr>
          <w:p w:rsidR="009840B7" w:rsidRDefault="00752E50" w:rsidP="009840B7">
            <w:pPr>
              <w:cnfStyle w:val="000000100000"/>
            </w:pPr>
            <w:r>
              <w:t>Less than or equal to one IC</w:t>
            </w:r>
            <w:r w:rsidR="009840B7">
              <w:t>.</w:t>
            </w:r>
          </w:p>
          <w:p w:rsidR="00752E50" w:rsidRDefault="009840B7" w:rsidP="00C523AB">
            <w:pPr>
              <w:cnfStyle w:val="000000100000"/>
            </w:pPr>
            <w:r>
              <w:t>L</w:t>
            </w:r>
            <w:r w:rsidR="00752E50">
              <w:t xml:space="preserve">ess than </w:t>
            </w:r>
            <w:r w:rsidR="00C523AB">
              <w:t>or</w:t>
            </w:r>
            <w:r w:rsidR="00752E50">
              <w:t xml:space="preserve"> equal to five </w:t>
            </w:r>
            <w:r>
              <w:t xml:space="preserve">and more than one </w:t>
            </w:r>
            <w:r w:rsidR="00752E50">
              <w:t>non-linear components</w:t>
            </w:r>
          </w:p>
        </w:tc>
        <w:tc>
          <w:tcPr>
            <w:tcW w:w="2412" w:type="dxa"/>
            <w:tcBorders>
              <w:left w:val="none" w:sz="0" w:space="0" w:color="auto"/>
              <w:right w:val="none" w:sz="0" w:space="0" w:color="auto"/>
            </w:tcBorders>
          </w:tcPr>
          <w:p w:rsidR="00752E50" w:rsidRDefault="00752E50" w:rsidP="001032A3">
            <w:pPr>
              <w:cnfStyle w:val="000000100000"/>
            </w:pPr>
            <w:r>
              <w:t xml:space="preserve">Less than </w:t>
            </w:r>
            <w:r w:rsidR="009840B7">
              <w:t xml:space="preserve">or equal to </w:t>
            </w:r>
            <w:r>
              <w:t>one non linear component</w:t>
            </w:r>
          </w:p>
        </w:tc>
      </w:tr>
      <w:tr w:rsidR="00752E50" w:rsidTr="007E649C">
        <w:trPr>
          <w:trHeight w:val="286"/>
        </w:trPr>
        <w:tc>
          <w:tcPr>
            <w:cnfStyle w:val="001000000000"/>
            <w:tcW w:w="2690" w:type="dxa"/>
          </w:tcPr>
          <w:p w:rsidR="00752E50" w:rsidRDefault="00752E50" w:rsidP="001032A3">
            <w:r>
              <w:t>Accuracy</w:t>
            </w:r>
          </w:p>
        </w:tc>
        <w:tc>
          <w:tcPr>
            <w:tcW w:w="2411" w:type="dxa"/>
          </w:tcPr>
          <w:p w:rsidR="00752E50" w:rsidRDefault="00752E50" w:rsidP="00EA2883">
            <w:pPr>
              <w:cnfStyle w:val="000000000000"/>
            </w:pPr>
            <w:r>
              <w:t>Tolerance</w:t>
            </w:r>
            <w:r w:rsidR="00EA2883">
              <w:t xml:space="preserve"> &lt;= </w:t>
            </w:r>
            <w:r>
              <w:t>2%</w:t>
            </w:r>
          </w:p>
        </w:tc>
        <w:tc>
          <w:tcPr>
            <w:tcW w:w="2411" w:type="dxa"/>
          </w:tcPr>
          <w:p w:rsidR="00752E50" w:rsidRDefault="00752E50" w:rsidP="001032A3">
            <w:pPr>
              <w:cnfStyle w:val="000000000000"/>
            </w:pPr>
            <w:r>
              <w:t>2%</w:t>
            </w:r>
            <w:r w:rsidR="003F6035">
              <w:t xml:space="preserve"> </w:t>
            </w:r>
            <w:r>
              <w:t>&lt;</w:t>
            </w:r>
            <w:r w:rsidR="003F6035">
              <w:t xml:space="preserve"> </w:t>
            </w:r>
            <w:r>
              <w:t>Tolerance</w:t>
            </w:r>
            <w:r w:rsidR="003F6035">
              <w:t xml:space="preserve"> </w:t>
            </w:r>
            <w:r>
              <w:t>&lt;</w:t>
            </w:r>
            <w:r w:rsidR="003F6035">
              <w:t xml:space="preserve"> </w:t>
            </w:r>
            <w:r>
              <w:t>5%</w:t>
            </w:r>
          </w:p>
        </w:tc>
        <w:tc>
          <w:tcPr>
            <w:tcW w:w="2412" w:type="dxa"/>
          </w:tcPr>
          <w:p w:rsidR="00752E50" w:rsidRDefault="00752E50" w:rsidP="001032A3">
            <w:pPr>
              <w:cnfStyle w:val="000000000000"/>
            </w:pPr>
            <w:r>
              <w:t>Tolerance</w:t>
            </w:r>
            <w:r w:rsidR="003F6035">
              <w:t xml:space="preserve"> </w:t>
            </w:r>
            <w:r>
              <w:t>&gt;</w:t>
            </w:r>
            <w:r w:rsidR="003F6035">
              <w:t xml:space="preserve">= </w:t>
            </w:r>
            <w:r>
              <w:t>5%</w:t>
            </w:r>
          </w:p>
        </w:tc>
      </w:tr>
      <w:tr w:rsidR="00932CBC" w:rsidTr="007E649C">
        <w:trPr>
          <w:cnfStyle w:val="000000100000"/>
          <w:trHeight w:val="300"/>
        </w:trPr>
        <w:tc>
          <w:tcPr>
            <w:cnfStyle w:val="001000000000"/>
            <w:tcW w:w="2690" w:type="dxa"/>
            <w:tcBorders>
              <w:left w:val="none" w:sz="0" w:space="0" w:color="auto"/>
              <w:right w:val="none" w:sz="0" w:space="0" w:color="auto"/>
            </w:tcBorders>
          </w:tcPr>
          <w:p w:rsidR="00752E50" w:rsidRDefault="00752E50" w:rsidP="001032A3">
            <w:r>
              <w:t>Longetivity</w:t>
            </w:r>
          </w:p>
        </w:tc>
        <w:tc>
          <w:tcPr>
            <w:tcW w:w="2411" w:type="dxa"/>
            <w:tcBorders>
              <w:left w:val="none" w:sz="0" w:space="0" w:color="auto"/>
              <w:right w:val="none" w:sz="0" w:space="0" w:color="auto"/>
            </w:tcBorders>
          </w:tcPr>
          <w:p w:rsidR="00752E50" w:rsidRDefault="00752E50" w:rsidP="001032A3">
            <w:pPr>
              <w:cnfStyle w:val="000000100000"/>
            </w:pPr>
            <w:r>
              <w:t>Warranty years &gt;= 5</w:t>
            </w:r>
          </w:p>
        </w:tc>
        <w:tc>
          <w:tcPr>
            <w:tcW w:w="2411" w:type="dxa"/>
            <w:tcBorders>
              <w:left w:val="none" w:sz="0" w:space="0" w:color="auto"/>
              <w:right w:val="none" w:sz="0" w:space="0" w:color="auto"/>
            </w:tcBorders>
          </w:tcPr>
          <w:p w:rsidR="00752E50" w:rsidRDefault="00752E50" w:rsidP="001032A3">
            <w:pPr>
              <w:cnfStyle w:val="000000100000"/>
            </w:pPr>
            <w:r>
              <w:t>2&lt;Warranty years &lt; 5</w:t>
            </w:r>
          </w:p>
        </w:tc>
        <w:tc>
          <w:tcPr>
            <w:tcW w:w="2412" w:type="dxa"/>
            <w:tcBorders>
              <w:left w:val="none" w:sz="0" w:space="0" w:color="auto"/>
              <w:right w:val="none" w:sz="0" w:space="0" w:color="auto"/>
            </w:tcBorders>
          </w:tcPr>
          <w:p w:rsidR="00752E50" w:rsidRDefault="00752E50" w:rsidP="001032A3">
            <w:pPr>
              <w:cnfStyle w:val="000000100000"/>
            </w:pPr>
            <w:r>
              <w:t>Warranty years &lt;= 2</w:t>
            </w:r>
          </w:p>
        </w:tc>
      </w:tr>
      <w:tr w:rsidR="00752E50" w:rsidTr="007E649C">
        <w:trPr>
          <w:trHeight w:val="3006"/>
        </w:trPr>
        <w:tc>
          <w:tcPr>
            <w:cnfStyle w:val="001000000000"/>
            <w:tcW w:w="2690" w:type="dxa"/>
          </w:tcPr>
          <w:p w:rsidR="00752E50" w:rsidRDefault="00752E50" w:rsidP="001032A3">
            <w:r>
              <w:t>No. of internal/external interfaces</w:t>
            </w:r>
          </w:p>
        </w:tc>
        <w:tc>
          <w:tcPr>
            <w:tcW w:w="2411" w:type="dxa"/>
          </w:tcPr>
          <w:p w:rsidR="00752E50" w:rsidRDefault="00752E50" w:rsidP="001032A3">
            <w:pPr>
              <w:cnfStyle w:val="000000000000"/>
            </w:pPr>
            <w:r>
              <w:t>External interfaces</w:t>
            </w:r>
          </w:p>
          <w:p w:rsidR="00752E50" w:rsidRDefault="00752E50" w:rsidP="00752E50">
            <w:pPr>
              <w:pStyle w:val="ListParagraph"/>
              <w:numPr>
                <w:ilvl w:val="0"/>
                <w:numId w:val="12"/>
              </w:numPr>
              <w:cnfStyle w:val="000000000000"/>
            </w:pPr>
            <w:r>
              <w:t>Fitment</w:t>
            </w:r>
          </w:p>
          <w:p w:rsidR="00752E50" w:rsidRDefault="00752E50" w:rsidP="00752E50">
            <w:pPr>
              <w:pStyle w:val="ListParagraph"/>
              <w:numPr>
                <w:ilvl w:val="0"/>
                <w:numId w:val="12"/>
              </w:numPr>
              <w:cnfStyle w:val="000000000000"/>
            </w:pPr>
            <w:r>
              <w:t>User Safety</w:t>
            </w:r>
          </w:p>
          <w:p w:rsidR="00752E50" w:rsidRDefault="00752E50" w:rsidP="00752E50">
            <w:pPr>
              <w:pStyle w:val="ListParagraph"/>
              <w:numPr>
                <w:ilvl w:val="0"/>
                <w:numId w:val="12"/>
              </w:numPr>
              <w:cnfStyle w:val="000000000000"/>
            </w:pPr>
            <w:r>
              <w:t>Equipment safety</w:t>
            </w:r>
          </w:p>
          <w:p w:rsidR="00752E50" w:rsidRDefault="00752E50" w:rsidP="00752E50">
            <w:pPr>
              <w:pStyle w:val="ListParagraph"/>
              <w:numPr>
                <w:ilvl w:val="0"/>
                <w:numId w:val="12"/>
              </w:numPr>
              <w:cnfStyle w:val="000000000000"/>
            </w:pPr>
            <w:r>
              <w:t>Functional performance</w:t>
            </w:r>
          </w:p>
          <w:p w:rsidR="00752E50" w:rsidRDefault="00752E50" w:rsidP="001032A3">
            <w:pPr>
              <w:cnfStyle w:val="000000000000"/>
            </w:pPr>
            <w:r>
              <w:t>Internal interfaces with other daughter boards &gt;= 3</w:t>
            </w:r>
          </w:p>
        </w:tc>
        <w:tc>
          <w:tcPr>
            <w:tcW w:w="2411" w:type="dxa"/>
          </w:tcPr>
          <w:p w:rsidR="00752E50" w:rsidRDefault="00752E50" w:rsidP="001032A3">
            <w:pPr>
              <w:cnfStyle w:val="000000000000"/>
            </w:pPr>
            <w:r>
              <w:t>External interfaces</w:t>
            </w:r>
          </w:p>
          <w:p w:rsidR="00752E50" w:rsidRDefault="00752E50" w:rsidP="00752E50">
            <w:pPr>
              <w:pStyle w:val="ListParagraph"/>
              <w:numPr>
                <w:ilvl w:val="0"/>
                <w:numId w:val="12"/>
              </w:numPr>
              <w:cnfStyle w:val="000000000000"/>
            </w:pPr>
            <w:r>
              <w:t>Fitment</w:t>
            </w:r>
          </w:p>
          <w:p w:rsidR="00752E50" w:rsidRDefault="00752E50" w:rsidP="00752E50">
            <w:pPr>
              <w:pStyle w:val="ListParagraph"/>
              <w:numPr>
                <w:ilvl w:val="0"/>
                <w:numId w:val="12"/>
              </w:numPr>
              <w:cnfStyle w:val="000000000000"/>
            </w:pPr>
            <w:r>
              <w:t>Functional performance</w:t>
            </w:r>
          </w:p>
          <w:p w:rsidR="00752E50" w:rsidRDefault="00752E50" w:rsidP="001032A3">
            <w:pPr>
              <w:cnfStyle w:val="000000000000"/>
            </w:pPr>
            <w:r>
              <w:t xml:space="preserve">Internal interfaces with other daughter boards &lt; 3 </w:t>
            </w:r>
          </w:p>
        </w:tc>
        <w:tc>
          <w:tcPr>
            <w:tcW w:w="2412" w:type="dxa"/>
          </w:tcPr>
          <w:p w:rsidR="00752E50" w:rsidRDefault="00752E50" w:rsidP="001032A3">
            <w:pPr>
              <w:cnfStyle w:val="000000000000"/>
            </w:pPr>
            <w:r>
              <w:t>External interfaces</w:t>
            </w:r>
          </w:p>
          <w:p w:rsidR="00752E50" w:rsidRDefault="00752E50" w:rsidP="00752E50">
            <w:pPr>
              <w:pStyle w:val="ListParagraph"/>
              <w:numPr>
                <w:ilvl w:val="0"/>
                <w:numId w:val="12"/>
              </w:numPr>
              <w:cnfStyle w:val="000000000000"/>
            </w:pPr>
            <w:r>
              <w:t>Functional performance</w:t>
            </w:r>
          </w:p>
        </w:tc>
      </w:tr>
      <w:tr w:rsidR="00932CBC" w:rsidTr="007E649C">
        <w:trPr>
          <w:cnfStyle w:val="000000100000"/>
          <w:trHeight w:val="582"/>
        </w:trPr>
        <w:tc>
          <w:tcPr>
            <w:cnfStyle w:val="001000000000"/>
            <w:tcW w:w="2690" w:type="dxa"/>
            <w:tcBorders>
              <w:left w:val="none" w:sz="0" w:space="0" w:color="auto"/>
              <w:right w:val="none" w:sz="0" w:space="0" w:color="auto"/>
            </w:tcBorders>
          </w:tcPr>
          <w:p w:rsidR="00752E50" w:rsidRDefault="00752E50" w:rsidP="001032A3">
            <w:r>
              <w:lastRenderedPageBreak/>
              <w:t>EMI/EMC</w:t>
            </w:r>
          </w:p>
        </w:tc>
        <w:tc>
          <w:tcPr>
            <w:tcW w:w="2411" w:type="dxa"/>
            <w:tcBorders>
              <w:left w:val="none" w:sz="0" w:space="0" w:color="auto"/>
              <w:right w:val="none" w:sz="0" w:space="0" w:color="auto"/>
            </w:tcBorders>
          </w:tcPr>
          <w:p w:rsidR="00752E50" w:rsidRDefault="00752E50" w:rsidP="001032A3">
            <w:pPr>
              <w:cnfStyle w:val="000000100000"/>
            </w:pPr>
            <w:r>
              <w:t xml:space="preserve">More susceptibility to EMI/EMC </w:t>
            </w:r>
          </w:p>
        </w:tc>
        <w:tc>
          <w:tcPr>
            <w:tcW w:w="2411" w:type="dxa"/>
            <w:tcBorders>
              <w:left w:val="none" w:sz="0" w:space="0" w:color="auto"/>
              <w:right w:val="none" w:sz="0" w:space="0" w:color="auto"/>
            </w:tcBorders>
          </w:tcPr>
          <w:p w:rsidR="00752E50" w:rsidRDefault="00752E50" w:rsidP="001032A3">
            <w:pPr>
              <w:cnfStyle w:val="000000100000"/>
            </w:pPr>
            <w:r>
              <w:t xml:space="preserve">Less susceptibility to EMI/EMC </w:t>
            </w:r>
          </w:p>
        </w:tc>
        <w:tc>
          <w:tcPr>
            <w:tcW w:w="2412" w:type="dxa"/>
            <w:tcBorders>
              <w:left w:val="none" w:sz="0" w:space="0" w:color="auto"/>
              <w:right w:val="none" w:sz="0" w:space="0" w:color="auto"/>
            </w:tcBorders>
          </w:tcPr>
          <w:p w:rsidR="00752E50" w:rsidRDefault="00752E50" w:rsidP="001032A3">
            <w:pPr>
              <w:cnfStyle w:val="000000100000"/>
            </w:pPr>
            <w:r>
              <w:t xml:space="preserve">No susceptibility to EMI/EMC </w:t>
            </w:r>
          </w:p>
        </w:tc>
      </w:tr>
      <w:tr w:rsidR="00752E50" w:rsidTr="007E649C">
        <w:trPr>
          <w:trHeight w:val="286"/>
        </w:trPr>
        <w:tc>
          <w:tcPr>
            <w:cnfStyle w:val="001000000000"/>
            <w:tcW w:w="2690" w:type="dxa"/>
          </w:tcPr>
          <w:p w:rsidR="00752E50" w:rsidRDefault="00752E50" w:rsidP="001032A3">
            <w:r>
              <w:t>Analog/Digital</w:t>
            </w:r>
          </w:p>
        </w:tc>
        <w:tc>
          <w:tcPr>
            <w:tcW w:w="2411" w:type="dxa"/>
          </w:tcPr>
          <w:p w:rsidR="00752E50" w:rsidRDefault="00752E50" w:rsidP="001032A3">
            <w:pPr>
              <w:cnfStyle w:val="000000000000"/>
            </w:pPr>
            <w:r>
              <w:t>Analog plus digital</w:t>
            </w:r>
          </w:p>
        </w:tc>
        <w:tc>
          <w:tcPr>
            <w:tcW w:w="2411" w:type="dxa"/>
          </w:tcPr>
          <w:p w:rsidR="00752E50" w:rsidRDefault="00752E50" w:rsidP="001032A3">
            <w:pPr>
              <w:cnfStyle w:val="000000000000"/>
            </w:pPr>
            <w:r>
              <w:t>Analog</w:t>
            </w:r>
          </w:p>
        </w:tc>
        <w:tc>
          <w:tcPr>
            <w:tcW w:w="2412" w:type="dxa"/>
          </w:tcPr>
          <w:p w:rsidR="00752E50" w:rsidRDefault="00752E50" w:rsidP="001032A3">
            <w:pPr>
              <w:cnfStyle w:val="000000000000"/>
            </w:pPr>
            <w:r>
              <w:t>Digital</w:t>
            </w:r>
          </w:p>
        </w:tc>
      </w:tr>
      <w:tr w:rsidR="00FB2B63" w:rsidRPr="00FB2B63" w:rsidTr="007E649C">
        <w:trPr>
          <w:cnfStyle w:val="000000100000"/>
          <w:trHeight w:val="286"/>
        </w:trPr>
        <w:tc>
          <w:tcPr>
            <w:cnfStyle w:val="001000000000"/>
            <w:tcW w:w="2690" w:type="dxa"/>
            <w:tcBorders>
              <w:left w:val="none" w:sz="0" w:space="0" w:color="auto"/>
              <w:right w:val="none" w:sz="0" w:space="0" w:color="auto"/>
            </w:tcBorders>
          </w:tcPr>
          <w:p w:rsidR="00FB2B63" w:rsidRDefault="00FB2B63" w:rsidP="001032A3">
            <w:r>
              <w:t>PCB Layout</w:t>
            </w:r>
          </w:p>
        </w:tc>
        <w:tc>
          <w:tcPr>
            <w:tcW w:w="2411" w:type="dxa"/>
            <w:tcBorders>
              <w:left w:val="none" w:sz="0" w:space="0" w:color="auto"/>
              <w:right w:val="none" w:sz="0" w:space="0" w:color="auto"/>
            </w:tcBorders>
          </w:tcPr>
          <w:p w:rsidR="00FB2B63" w:rsidRDefault="007776D9" w:rsidP="007776D9">
            <w:pPr>
              <w:cnfStyle w:val="000000100000"/>
            </w:pPr>
            <w:r>
              <w:t>SMD Compnents &lt;90%</w:t>
            </w:r>
          </w:p>
        </w:tc>
        <w:tc>
          <w:tcPr>
            <w:tcW w:w="2411" w:type="dxa"/>
            <w:tcBorders>
              <w:left w:val="none" w:sz="0" w:space="0" w:color="auto"/>
              <w:right w:val="none" w:sz="0" w:space="0" w:color="auto"/>
            </w:tcBorders>
          </w:tcPr>
          <w:p w:rsidR="00FB2B63" w:rsidRDefault="000741F4" w:rsidP="000741F4">
            <w:pPr>
              <w:cnfStyle w:val="000000100000"/>
            </w:pPr>
            <w:r>
              <w:t>SMD</w:t>
            </w:r>
            <w:r w:rsidR="007E649C">
              <w:t xml:space="preserve"> </w:t>
            </w:r>
            <w:r>
              <w:t xml:space="preserve">Compnents </w:t>
            </w:r>
            <w:r w:rsidR="007E649C">
              <w:t>&gt;=90%</w:t>
            </w:r>
            <w:r>
              <w:t xml:space="preserve"> </w:t>
            </w:r>
          </w:p>
        </w:tc>
        <w:tc>
          <w:tcPr>
            <w:tcW w:w="2412" w:type="dxa"/>
            <w:tcBorders>
              <w:left w:val="none" w:sz="0" w:space="0" w:color="auto"/>
              <w:right w:val="none" w:sz="0" w:space="0" w:color="auto"/>
            </w:tcBorders>
          </w:tcPr>
          <w:p w:rsidR="00FB2B63" w:rsidRDefault="007E649C" w:rsidP="001032A3">
            <w:pPr>
              <w:cnfStyle w:val="000000100000"/>
            </w:pPr>
            <w:r>
              <w:t>100% through hole components</w:t>
            </w:r>
          </w:p>
        </w:tc>
      </w:tr>
      <w:tr w:rsidR="00E14323" w:rsidTr="007E649C">
        <w:trPr>
          <w:trHeight w:val="313"/>
        </w:trPr>
        <w:tc>
          <w:tcPr>
            <w:cnfStyle w:val="001000000000"/>
            <w:tcW w:w="2690" w:type="dxa"/>
          </w:tcPr>
          <w:p w:rsidR="00E14323" w:rsidRDefault="00E14323" w:rsidP="00FB2B63">
            <w:r>
              <w:t>Reusability (%)</w:t>
            </w:r>
          </w:p>
        </w:tc>
        <w:tc>
          <w:tcPr>
            <w:tcW w:w="2411" w:type="dxa"/>
          </w:tcPr>
          <w:p w:rsidR="00E14323" w:rsidRDefault="00E14323" w:rsidP="00192561">
            <w:pPr>
              <w:cnfStyle w:val="000000000000"/>
            </w:pPr>
            <w:r>
              <w:t>0 &lt;= R</w:t>
            </w:r>
            <w:r w:rsidR="00FB2B63">
              <w:t>eusability</w:t>
            </w:r>
            <w:r>
              <w:t xml:space="preserve"> &lt;= 30</w:t>
            </w:r>
          </w:p>
        </w:tc>
        <w:tc>
          <w:tcPr>
            <w:tcW w:w="2411" w:type="dxa"/>
          </w:tcPr>
          <w:p w:rsidR="00E14323" w:rsidRDefault="00E14323" w:rsidP="00192561">
            <w:pPr>
              <w:cnfStyle w:val="000000000000"/>
            </w:pPr>
            <w:r>
              <w:t xml:space="preserve">30 &lt; </w:t>
            </w:r>
            <w:r w:rsidR="00FB2B63">
              <w:t xml:space="preserve">Reusability </w:t>
            </w:r>
            <w:r>
              <w:t>&lt; = 70</w:t>
            </w:r>
          </w:p>
        </w:tc>
        <w:tc>
          <w:tcPr>
            <w:tcW w:w="2412" w:type="dxa"/>
          </w:tcPr>
          <w:p w:rsidR="00E14323" w:rsidRDefault="00E14323" w:rsidP="00192561">
            <w:pPr>
              <w:cnfStyle w:val="000000000000"/>
            </w:pPr>
            <w:r>
              <w:t xml:space="preserve">70 &lt; </w:t>
            </w:r>
            <w:r w:rsidR="00FB2B63">
              <w:t xml:space="preserve">Reusability </w:t>
            </w:r>
            <w:r>
              <w:t>&lt; = 100</w:t>
            </w:r>
          </w:p>
        </w:tc>
      </w:tr>
    </w:tbl>
    <w:p w:rsidR="00752E50" w:rsidRDefault="00752E50" w:rsidP="00752E50">
      <w:pPr>
        <w:pStyle w:val="Heading2"/>
      </w:pPr>
      <w:bookmarkStart w:id="5" w:name="_Toc430008718"/>
      <w:r>
        <w:t>Mechanical:</w:t>
      </w:r>
      <w:bookmarkEnd w:id="5"/>
    </w:p>
    <w:tbl>
      <w:tblPr>
        <w:tblStyle w:val="LightShading-Accent1"/>
        <w:tblW w:w="10028" w:type="dxa"/>
        <w:jc w:val="center"/>
        <w:tblInd w:w="826"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tblPr>
      <w:tblGrid>
        <w:gridCol w:w="2476"/>
        <w:gridCol w:w="2650"/>
        <w:gridCol w:w="2561"/>
        <w:gridCol w:w="2341"/>
      </w:tblGrid>
      <w:tr w:rsidR="00752E50" w:rsidTr="00540F96">
        <w:trPr>
          <w:cnfStyle w:val="100000000000"/>
          <w:trHeight w:val="557"/>
          <w:jc w:val="center"/>
        </w:trPr>
        <w:tc>
          <w:tcPr>
            <w:cnfStyle w:val="001000000000"/>
            <w:tcW w:w="2476" w:type="dxa"/>
            <w:tcBorders>
              <w:top w:val="none" w:sz="0" w:space="0" w:color="auto"/>
              <w:left w:val="none" w:sz="0" w:space="0" w:color="auto"/>
              <w:bottom w:val="none" w:sz="0" w:space="0" w:color="auto"/>
              <w:right w:val="none" w:sz="0" w:space="0" w:color="auto"/>
            </w:tcBorders>
          </w:tcPr>
          <w:p w:rsidR="00752E50" w:rsidRPr="00450E71" w:rsidRDefault="00752E50" w:rsidP="001032A3">
            <w:r w:rsidRPr="00450E71">
              <w:t>Complexity factor</w:t>
            </w:r>
          </w:p>
        </w:tc>
        <w:tc>
          <w:tcPr>
            <w:tcW w:w="2650" w:type="dxa"/>
            <w:tcBorders>
              <w:top w:val="none" w:sz="0" w:space="0" w:color="auto"/>
              <w:left w:val="none" w:sz="0" w:space="0" w:color="auto"/>
              <w:bottom w:val="none" w:sz="0" w:space="0" w:color="auto"/>
              <w:right w:val="none" w:sz="0" w:space="0" w:color="auto"/>
            </w:tcBorders>
          </w:tcPr>
          <w:p w:rsidR="00752E50" w:rsidRPr="00450E71" w:rsidRDefault="00752E50" w:rsidP="001032A3">
            <w:pPr>
              <w:cnfStyle w:val="100000000000"/>
            </w:pPr>
            <w:r w:rsidRPr="00450E71">
              <w:t>High Complexity (8 - 10)</w:t>
            </w:r>
          </w:p>
        </w:tc>
        <w:tc>
          <w:tcPr>
            <w:tcW w:w="2561" w:type="dxa"/>
            <w:tcBorders>
              <w:top w:val="none" w:sz="0" w:space="0" w:color="auto"/>
              <w:left w:val="none" w:sz="0" w:space="0" w:color="auto"/>
              <w:bottom w:val="none" w:sz="0" w:space="0" w:color="auto"/>
              <w:right w:val="none" w:sz="0" w:space="0" w:color="auto"/>
            </w:tcBorders>
          </w:tcPr>
          <w:p w:rsidR="00752E50" w:rsidRPr="00450E71" w:rsidRDefault="00752E50" w:rsidP="001032A3">
            <w:pPr>
              <w:cnfStyle w:val="100000000000"/>
            </w:pPr>
            <w:r w:rsidRPr="00450E71">
              <w:t>Medium Complexity (4 - 7)</w:t>
            </w:r>
          </w:p>
        </w:tc>
        <w:tc>
          <w:tcPr>
            <w:tcW w:w="2341" w:type="dxa"/>
            <w:tcBorders>
              <w:top w:val="none" w:sz="0" w:space="0" w:color="auto"/>
              <w:left w:val="none" w:sz="0" w:space="0" w:color="auto"/>
              <w:bottom w:val="none" w:sz="0" w:space="0" w:color="auto"/>
              <w:right w:val="none" w:sz="0" w:space="0" w:color="auto"/>
            </w:tcBorders>
          </w:tcPr>
          <w:p w:rsidR="00752E50" w:rsidRPr="00450E71" w:rsidRDefault="00752E50" w:rsidP="001032A3">
            <w:pPr>
              <w:cnfStyle w:val="100000000000"/>
            </w:pPr>
            <w:r w:rsidRPr="00450E71">
              <w:t>Low Complexity (1 - 3)</w:t>
            </w:r>
          </w:p>
        </w:tc>
      </w:tr>
      <w:tr w:rsidR="00752E50" w:rsidTr="00540F96">
        <w:trPr>
          <w:cnfStyle w:val="000000100000"/>
          <w:trHeight w:val="557"/>
          <w:jc w:val="center"/>
        </w:trPr>
        <w:tc>
          <w:tcPr>
            <w:cnfStyle w:val="001000000000"/>
            <w:tcW w:w="2476" w:type="dxa"/>
            <w:tcBorders>
              <w:left w:val="none" w:sz="0" w:space="0" w:color="auto"/>
              <w:right w:val="none" w:sz="0" w:space="0" w:color="auto"/>
            </w:tcBorders>
          </w:tcPr>
          <w:p w:rsidR="00752E50" w:rsidRDefault="00752E50" w:rsidP="001032A3">
            <w:r>
              <w:t>Aesthetic requirements</w:t>
            </w:r>
          </w:p>
        </w:tc>
        <w:tc>
          <w:tcPr>
            <w:tcW w:w="2650" w:type="dxa"/>
            <w:tcBorders>
              <w:left w:val="none" w:sz="0" w:space="0" w:color="auto"/>
              <w:right w:val="none" w:sz="0" w:space="0" w:color="auto"/>
            </w:tcBorders>
          </w:tcPr>
          <w:p w:rsidR="00752E50" w:rsidRDefault="00752E50" w:rsidP="001032A3">
            <w:pPr>
              <w:cnfStyle w:val="000000100000"/>
            </w:pPr>
            <w:r>
              <w:t>Highly user visible part</w:t>
            </w:r>
          </w:p>
        </w:tc>
        <w:tc>
          <w:tcPr>
            <w:tcW w:w="2561" w:type="dxa"/>
            <w:tcBorders>
              <w:left w:val="none" w:sz="0" w:space="0" w:color="auto"/>
              <w:right w:val="none" w:sz="0" w:space="0" w:color="auto"/>
            </w:tcBorders>
          </w:tcPr>
          <w:p w:rsidR="00752E50" w:rsidRDefault="00752E50" w:rsidP="001032A3">
            <w:pPr>
              <w:cnfStyle w:val="000000100000"/>
            </w:pPr>
            <w:r>
              <w:t>User serviceable part</w:t>
            </w:r>
          </w:p>
        </w:tc>
        <w:tc>
          <w:tcPr>
            <w:tcW w:w="2341" w:type="dxa"/>
            <w:tcBorders>
              <w:left w:val="none" w:sz="0" w:space="0" w:color="auto"/>
              <w:right w:val="none" w:sz="0" w:space="0" w:color="auto"/>
            </w:tcBorders>
          </w:tcPr>
          <w:p w:rsidR="00752E50" w:rsidRDefault="00752E50" w:rsidP="001032A3">
            <w:pPr>
              <w:cnfStyle w:val="000000100000"/>
            </w:pPr>
            <w:r>
              <w:t>Internal non-user visible part</w:t>
            </w:r>
          </w:p>
        </w:tc>
      </w:tr>
      <w:tr w:rsidR="00752E50" w:rsidTr="00540F96">
        <w:trPr>
          <w:trHeight w:val="842"/>
          <w:jc w:val="center"/>
        </w:trPr>
        <w:tc>
          <w:tcPr>
            <w:cnfStyle w:val="001000000000"/>
            <w:tcW w:w="2476" w:type="dxa"/>
          </w:tcPr>
          <w:p w:rsidR="00752E50" w:rsidRDefault="00752E50" w:rsidP="001032A3">
            <w:r>
              <w:t>User handling, safety constraints and ergonomics</w:t>
            </w:r>
          </w:p>
        </w:tc>
        <w:tc>
          <w:tcPr>
            <w:tcW w:w="2650" w:type="dxa"/>
          </w:tcPr>
          <w:p w:rsidR="00752E50" w:rsidRDefault="00752E50" w:rsidP="001032A3">
            <w:pPr>
              <w:cnfStyle w:val="000000000000"/>
            </w:pPr>
            <w:r>
              <w:t>High frequency of handling, Risk of fatal Injury/death</w:t>
            </w:r>
          </w:p>
        </w:tc>
        <w:tc>
          <w:tcPr>
            <w:tcW w:w="2561" w:type="dxa"/>
          </w:tcPr>
          <w:p w:rsidR="00752E50" w:rsidRDefault="00752E50" w:rsidP="001032A3">
            <w:pPr>
              <w:cnfStyle w:val="000000000000"/>
            </w:pPr>
            <w:r>
              <w:t>Medium frequency of handling</w:t>
            </w:r>
          </w:p>
        </w:tc>
        <w:tc>
          <w:tcPr>
            <w:tcW w:w="2341" w:type="dxa"/>
          </w:tcPr>
          <w:p w:rsidR="00752E50" w:rsidRDefault="00752E50" w:rsidP="001032A3">
            <w:pPr>
              <w:cnfStyle w:val="000000000000"/>
            </w:pPr>
            <w:r>
              <w:t>Rarely used</w:t>
            </w:r>
          </w:p>
        </w:tc>
      </w:tr>
      <w:tr w:rsidR="00752E50" w:rsidTr="00540F96">
        <w:trPr>
          <w:cnfStyle w:val="000000100000"/>
          <w:trHeight w:val="856"/>
          <w:jc w:val="center"/>
        </w:trPr>
        <w:tc>
          <w:tcPr>
            <w:cnfStyle w:val="001000000000"/>
            <w:tcW w:w="2476" w:type="dxa"/>
            <w:tcBorders>
              <w:left w:val="none" w:sz="0" w:space="0" w:color="auto"/>
              <w:right w:val="none" w:sz="0" w:space="0" w:color="auto"/>
            </w:tcBorders>
          </w:tcPr>
          <w:p w:rsidR="00752E50" w:rsidRDefault="00752E50" w:rsidP="001032A3">
            <w:r>
              <w:t>IP</w:t>
            </w:r>
            <w:r w:rsidR="002D2622">
              <w:t>xy</w:t>
            </w:r>
            <w:r>
              <w:t xml:space="preserve"> requirements and mechanical standard compliance</w:t>
            </w:r>
            <w:r w:rsidR="002D2622">
              <w:t xml:space="preserve"> (X)</w:t>
            </w:r>
          </w:p>
        </w:tc>
        <w:tc>
          <w:tcPr>
            <w:tcW w:w="2650" w:type="dxa"/>
            <w:tcBorders>
              <w:left w:val="none" w:sz="0" w:space="0" w:color="auto"/>
              <w:right w:val="none" w:sz="0" w:space="0" w:color="auto"/>
            </w:tcBorders>
          </w:tcPr>
          <w:p w:rsidR="00752E50" w:rsidRDefault="00340E80" w:rsidP="001032A3">
            <w:pPr>
              <w:cnfStyle w:val="000000100000"/>
            </w:pPr>
            <w:r>
              <w:t>X</w:t>
            </w:r>
            <w:r w:rsidR="00873E37">
              <w:t xml:space="preserve"> </w:t>
            </w:r>
            <w:r>
              <w:t>&gt;</w:t>
            </w:r>
            <w:r w:rsidR="00222910">
              <w:t>=</w:t>
            </w:r>
            <w:r w:rsidR="00873E37">
              <w:t xml:space="preserve"> </w:t>
            </w:r>
            <w:r w:rsidR="00706525">
              <w:t>5</w:t>
            </w:r>
          </w:p>
        </w:tc>
        <w:tc>
          <w:tcPr>
            <w:tcW w:w="2561" w:type="dxa"/>
            <w:tcBorders>
              <w:left w:val="none" w:sz="0" w:space="0" w:color="auto"/>
              <w:right w:val="none" w:sz="0" w:space="0" w:color="auto"/>
            </w:tcBorders>
          </w:tcPr>
          <w:p w:rsidR="00752E50" w:rsidRDefault="00222910" w:rsidP="001032A3">
            <w:pPr>
              <w:cnfStyle w:val="000000100000"/>
            </w:pPr>
            <w:r>
              <w:t>2 &lt; X &lt; = 4</w:t>
            </w:r>
          </w:p>
        </w:tc>
        <w:tc>
          <w:tcPr>
            <w:tcW w:w="2341" w:type="dxa"/>
            <w:tcBorders>
              <w:left w:val="none" w:sz="0" w:space="0" w:color="auto"/>
              <w:right w:val="none" w:sz="0" w:space="0" w:color="auto"/>
            </w:tcBorders>
          </w:tcPr>
          <w:p w:rsidR="00575815" w:rsidRDefault="00752E50" w:rsidP="00222910">
            <w:pPr>
              <w:cnfStyle w:val="000000100000"/>
            </w:pPr>
            <w:r>
              <w:t>X</w:t>
            </w:r>
            <w:r w:rsidR="00873E37">
              <w:t xml:space="preserve"> </w:t>
            </w:r>
            <w:r>
              <w:t>&lt;</w:t>
            </w:r>
            <w:r w:rsidR="00340E80">
              <w:t>=</w:t>
            </w:r>
            <w:r w:rsidR="00A92708">
              <w:t xml:space="preserve"> </w:t>
            </w:r>
            <w:r>
              <w:t xml:space="preserve">2 </w:t>
            </w:r>
          </w:p>
        </w:tc>
      </w:tr>
      <w:tr w:rsidR="00575815" w:rsidTr="00540F96">
        <w:trPr>
          <w:trHeight w:val="557"/>
          <w:jc w:val="center"/>
        </w:trPr>
        <w:tc>
          <w:tcPr>
            <w:cnfStyle w:val="001000000000"/>
            <w:tcW w:w="2476" w:type="dxa"/>
          </w:tcPr>
          <w:p w:rsidR="00575815" w:rsidRDefault="00575815" w:rsidP="00D266F9">
            <w:r>
              <w:t>IPxy requirements and mechanical standard compliance (</w:t>
            </w:r>
            <w:r w:rsidR="00222910">
              <w:t>Y</w:t>
            </w:r>
            <w:r>
              <w:t>)</w:t>
            </w:r>
          </w:p>
        </w:tc>
        <w:tc>
          <w:tcPr>
            <w:tcW w:w="2650" w:type="dxa"/>
          </w:tcPr>
          <w:p w:rsidR="00575815" w:rsidRDefault="00222910" w:rsidP="00D266F9">
            <w:pPr>
              <w:cnfStyle w:val="000000000000"/>
            </w:pPr>
            <w:r>
              <w:t>Y &gt; 2</w:t>
            </w:r>
            <w:r w:rsidR="00575815">
              <w:t xml:space="preserve"> </w:t>
            </w:r>
          </w:p>
        </w:tc>
        <w:tc>
          <w:tcPr>
            <w:tcW w:w="2561" w:type="dxa"/>
          </w:tcPr>
          <w:p w:rsidR="00575815" w:rsidRDefault="00222910" w:rsidP="00D266F9">
            <w:pPr>
              <w:cnfStyle w:val="000000000000"/>
            </w:pPr>
            <w:r>
              <w:t>0 &lt; Y &lt;= 2</w:t>
            </w:r>
          </w:p>
        </w:tc>
        <w:tc>
          <w:tcPr>
            <w:tcW w:w="2341" w:type="dxa"/>
          </w:tcPr>
          <w:p w:rsidR="00575815" w:rsidRDefault="00222910" w:rsidP="00D266F9">
            <w:pPr>
              <w:cnfStyle w:val="000000000000"/>
            </w:pPr>
            <w:r>
              <w:t>Y = 0</w:t>
            </w:r>
          </w:p>
          <w:p w:rsidR="00575815" w:rsidRDefault="00575815" w:rsidP="00D266F9">
            <w:pPr>
              <w:cnfStyle w:val="000000000000"/>
            </w:pPr>
          </w:p>
        </w:tc>
      </w:tr>
      <w:tr w:rsidR="00575815" w:rsidTr="00540F96">
        <w:trPr>
          <w:cnfStyle w:val="000000100000"/>
          <w:trHeight w:val="557"/>
          <w:jc w:val="center"/>
        </w:trPr>
        <w:tc>
          <w:tcPr>
            <w:cnfStyle w:val="001000000000"/>
            <w:tcW w:w="2476" w:type="dxa"/>
            <w:tcBorders>
              <w:left w:val="none" w:sz="0" w:space="0" w:color="auto"/>
              <w:right w:val="none" w:sz="0" w:space="0" w:color="auto"/>
            </w:tcBorders>
          </w:tcPr>
          <w:p w:rsidR="00575815" w:rsidRDefault="00575815" w:rsidP="001032A3">
            <w:r>
              <w:t>Precision and Tolerance</w:t>
            </w:r>
          </w:p>
        </w:tc>
        <w:tc>
          <w:tcPr>
            <w:tcW w:w="2650" w:type="dxa"/>
            <w:tcBorders>
              <w:left w:val="none" w:sz="0" w:space="0" w:color="auto"/>
              <w:right w:val="none" w:sz="0" w:space="0" w:color="auto"/>
            </w:tcBorders>
          </w:tcPr>
          <w:p w:rsidR="00575815" w:rsidRDefault="00575815" w:rsidP="001032A3">
            <w:pPr>
              <w:cnfStyle w:val="000000100000"/>
            </w:pPr>
            <w:r>
              <w:t>Tolerance &lt;= 0.5mm</w:t>
            </w:r>
          </w:p>
        </w:tc>
        <w:tc>
          <w:tcPr>
            <w:tcW w:w="2561" w:type="dxa"/>
            <w:tcBorders>
              <w:left w:val="none" w:sz="0" w:space="0" w:color="auto"/>
              <w:right w:val="none" w:sz="0" w:space="0" w:color="auto"/>
            </w:tcBorders>
          </w:tcPr>
          <w:p w:rsidR="00575815" w:rsidRDefault="00575815" w:rsidP="001032A3">
            <w:pPr>
              <w:cnfStyle w:val="000000100000"/>
            </w:pPr>
            <w:r>
              <w:t>0.5mm &lt;Tolerance&lt; 2.0mm</w:t>
            </w:r>
          </w:p>
        </w:tc>
        <w:tc>
          <w:tcPr>
            <w:tcW w:w="2341" w:type="dxa"/>
            <w:tcBorders>
              <w:left w:val="none" w:sz="0" w:space="0" w:color="auto"/>
              <w:right w:val="none" w:sz="0" w:space="0" w:color="auto"/>
            </w:tcBorders>
          </w:tcPr>
          <w:p w:rsidR="00575815" w:rsidRDefault="00575815" w:rsidP="001032A3">
            <w:pPr>
              <w:cnfStyle w:val="000000100000"/>
            </w:pPr>
            <w:r>
              <w:t>Tolerance &gt;= 2.0mm</w:t>
            </w:r>
          </w:p>
        </w:tc>
      </w:tr>
      <w:tr w:rsidR="00E14323" w:rsidTr="00540F96">
        <w:trPr>
          <w:trHeight w:val="285"/>
          <w:jc w:val="center"/>
        </w:trPr>
        <w:tc>
          <w:tcPr>
            <w:cnfStyle w:val="001000000000"/>
            <w:tcW w:w="2476" w:type="dxa"/>
          </w:tcPr>
          <w:p w:rsidR="00E14323" w:rsidRDefault="000C3CF0" w:rsidP="00192561">
            <w:r>
              <w:t>Reusability (</w:t>
            </w:r>
            <w:r w:rsidR="00E14323">
              <w:t xml:space="preserve"> %)</w:t>
            </w:r>
          </w:p>
        </w:tc>
        <w:tc>
          <w:tcPr>
            <w:tcW w:w="2650" w:type="dxa"/>
          </w:tcPr>
          <w:p w:rsidR="00E14323" w:rsidRDefault="00E14323" w:rsidP="00192561">
            <w:pPr>
              <w:cnfStyle w:val="000000000000"/>
            </w:pPr>
            <w:r>
              <w:t xml:space="preserve">0 &lt;= </w:t>
            </w:r>
            <w:r w:rsidR="00FB2B63">
              <w:t xml:space="preserve">Reusability </w:t>
            </w:r>
            <w:r>
              <w:t>&lt;= 30</w:t>
            </w:r>
          </w:p>
        </w:tc>
        <w:tc>
          <w:tcPr>
            <w:tcW w:w="2561" w:type="dxa"/>
          </w:tcPr>
          <w:p w:rsidR="00E14323" w:rsidRDefault="00E14323" w:rsidP="00192561">
            <w:pPr>
              <w:cnfStyle w:val="000000000000"/>
            </w:pPr>
            <w:r>
              <w:t xml:space="preserve">30 &lt; </w:t>
            </w:r>
            <w:r w:rsidR="00FB2B63">
              <w:t xml:space="preserve">Reusability </w:t>
            </w:r>
            <w:r>
              <w:t>&lt; = 70</w:t>
            </w:r>
          </w:p>
        </w:tc>
        <w:tc>
          <w:tcPr>
            <w:tcW w:w="2341" w:type="dxa"/>
          </w:tcPr>
          <w:p w:rsidR="00E14323" w:rsidRDefault="00E14323" w:rsidP="00FB2B63">
            <w:pPr>
              <w:cnfStyle w:val="000000000000"/>
            </w:pPr>
            <w:r>
              <w:t xml:space="preserve">70 &lt; </w:t>
            </w:r>
            <w:r w:rsidR="00FB2B63">
              <w:t xml:space="preserve">Reusability </w:t>
            </w:r>
            <w:r>
              <w:t xml:space="preserve">&lt; = </w:t>
            </w:r>
            <w:r w:rsidR="00FB2B63">
              <w:t>1</w:t>
            </w:r>
            <w:r>
              <w:t>00</w:t>
            </w:r>
          </w:p>
        </w:tc>
      </w:tr>
    </w:tbl>
    <w:p w:rsidR="00752E50" w:rsidRDefault="00752E50" w:rsidP="003A3A30"/>
    <w:p w:rsidR="003A3A30" w:rsidRDefault="001B1BDF" w:rsidP="003A3A30">
      <w:r>
        <w:t xml:space="preserve">The complexity score for each factor against an individual requirement is averaged. </w:t>
      </w:r>
      <w:r w:rsidR="003A3A30">
        <w:t xml:space="preserve">Based on the </w:t>
      </w:r>
      <w:r>
        <w:t>average</w:t>
      </w:r>
      <w:r w:rsidR="003A3A30">
        <w:t xml:space="preserve">, the tool assigns a score from LOW to HIGH to each requirement. </w:t>
      </w:r>
    </w:p>
    <w:p w:rsidR="00E9541C" w:rsidRDefault="00E9541C" w:rsidP="00E9541C">
      <w:pPr>
        <w:pStyle w:val="Heading1"/>
      </w:pPr>
      <w:bookmarkStart w:id="6" w:name="_Toc430008719"/>
      <w:r>
        <w:t>Effort Estimations</w:t>
      </w:r>
      <w:bookmarkEnd w:id="6"/>
    </w:p>
    <w:p w:rsidR="00D06847" w:rsidRDefault="00D06847" w:rsidP="00B703E9"/>
    <w:p w:rsidR="00D06847" w:rsidRDefault="00D06847" w:rsidP="00B703E9">
      <w:r>
        <w:t>The following steps are required to estimate efforts for the project.</w:t>
      </w:r>
    </w:p>
    <w:p w:rsidR="00094A75" w:rsidRDefault="00D06847" w:rsidP="00D06847">
      <w:pPr>
        <w:pStyle w:val="ListParagraph"/>
        <w:numPr>
          <w:ilvl w:val="0"/>
          <w:numId w:val="11"/>
        </w:numPr>
      </w:pPr>
      <w:r>
        <w:t xml:space="preserve">Sample </w:t>
      </w:r>
      <w:r w:rsidR="005B1D10">
        <w:t>one requirement</w:t>
      </w:r>
      <w:r>
        <w:t xml:space="preserve"> </w:t>
      </w:r>
      <w:r w:rsidR="005B1D10">
        <w:t xml:space="preserve">with each of the three complexity ratings </w:t>
      </w:r>
      <w:r>
        <w:t>from the project</w:t>
      </w:r>
      <w:r w:rsidR="005B1D10">
        <w:t xml:space="preserve"> (Low, Medium and High complexity).</w:t>
      </w:r>
    </w:p>
    <w:p w:rsidR="00285E35" w:rsidRPr="003B4149" w:rsidRDefault="00D06847" w:rsidP="00AF6DE2">
      <w:pPr>
        <w:pStyle w:val="ListParagraph"/>
        <w:numPr>
          <w:ilvl w:val="0"/>
          <w:numId w:val="11"/>
        </w:numPr>
        <w:jc w:val="both"/>
        <w:rPr>
          <w:sz w:val="26"/>
          <w:szCs w:val="26"/>
        </w:rPr>
      </w:pPr>
      <w:r>
        <w:t>Estimate the</w:t>
      </w:r>
      <w:r w:rsidR="003A3A30">
        <w:t xml:space="preserve"> </w:t>
      </w:r>
      <w:r>
        <w:t>effort required for each complexity rating’s requirement</w:t>
      </w:r>
      <w:r w:rsidR="00285E35">
        <w:t>.</w:t>
      </w:r>
      <w:r>
        <w:t xml:space="preserve"> </w:t>
      </w:r>
      <w:r w:rsidR="003A3A30">
        <w:t>The representative efforts should then be used for other requirements of corresponding complexity.</w:t>
      </w:r>
      <w:r w:rsidR="000C63D5">
        <w:t xml:space="preserve"> Expert </w:t>
      </w:r>
      <w:r w:rsidR="00285E35">
        <w:t>judgment</w:t>
      </w:r>
      <w:r w:rsidR="000C63D5">
        <w:t xml:space="preserve"> can be exercised to fine tune the individual effort estimate, but a rationale </w:t>
      </w:r>
      <w:r w:rsidR="00285E35">
        <w:t>must be documented for revision of the estimates.</w:t>
      </w:r>
      <w:r w:rsidR="003B4149">
        <w:t xml:space="preserve"> Different techniques can be used for estimation for e.g. Wideband Delphi.</w:t>
      </w:r>
    </w:p>
    <w:p w:rsidR="003B4149" w:rsidRDefault="003B4149" w:rsidP="003B4149">
      <w:pPr>
        <w:pStyle w:val="Heading1"/>
      </w:pPr>
      <w:bookmarkStart w:id="7" w:name="_Toc430008720"/>
      <w:r>
        <w:lastRenderedPageBreak/>
        <w:t>Wideband Delphi</w:t>
      </w:r>
      <w:bookmarkEnd w:id="7"/>
    </w:p>
    <w:p w:rsidR="003B4149" w:rsidRDefault="003B4149" w:rsidP="003B4149">
      <w:pPr>
        <w:pStyle w:val="Heading2"/>
      </w:pPr>
      <w:bookmarkStart w:id="8" w:name="_Toc430008721"/>
      <w:r>
        <w:t>Purpose</w:t>
      </w:r>
      <w:bookmarkEnd w:id="8"/>
      <w:r>
        <w:t xml:space="preserve"> </w:t>
      </w:r>
    </w:p>
    <w:p w:rsidR="003B4149" w:rsidRDefault="003B4149" w:rsidP="003B4149">
      <w:r>
        <w:t>A project team generates estimates. It is a repeatable process for estimation. Using it, a project team can generate a consensus on estimates for the completion of the project.</w:t>
      </w:r>
    </w:p>
    <w:p w:rsidR="003B4149" w:rsidRDefault="003B4149" w:rsidP="003B4149">
      <w:pPr>
        <w:pStyle w:val="Heading2"/>
      </w:pPr>
      <w:bookmarkStart w:id="9" w:name="_Toc430008722"/>
      <w:r>
        <w:t>Tasks</w:t>
      </w:r>
      <w:bookmarkEnd w:id="9"/>
      <w:r>
        <w:t xml:space="preserve"> </w:t>
      </w:r>
      <w:bookmarkStart w:id="10" w:name="_GoBack"/>
      <w:bookmarkEnd w:id="10"/>
    </w:p>
    <w:p w:rsidR="003B4149" w:rsidRDefault="003B4149" w:rsidP="003B4149">
      <w:pPr>
        <w:pStyle w:val="ListParagraph"/>
        <w:numPr>
          <w:ilvl w:val="0"/>
          <w:numId w:val="6"/>
        </w:numPr>
      </w:pPr>
      <w:r w:rsidRPr="00A6298D">
        <w:rPr>
          <w:rStyle w:val="IntenseQuoteChar"/>
        </w:rPr>
        <w:t>Choosing the team</w:t>
      </w:r>
      <w:r>
        <w:t xml:space="preserve">- The project manager selects the estimation team and a moderator. The team should consist of </w:t>
      </w:r>
      <w:r w:rsidR="0088163F">
        <w:t>two</w:t>
      </w:r>
      <w:r>
        <w:t xml:space="preserve"> to seven project team members. The team should include representatives from every engineering group that will be involved in the development of the work product being estimated.</w:t>
      </w:r>
    </w:p>
    <w:p w:rsidR="003B4149" w:rsidRDefault="003B4149" w:rsidP="003B4149">
      <w:pPr>
        <w:pStyle w:val="ListParagraph"/>
        <w:numPr>
          <w:ilvl w:val="0"/>
          <w:numId w:val="6"/>
        </w:numPr>
      </w:pPr>
      <w:r w:rsidRPr="00AE3297">
        <w:rPr>
          <w:rStyle w:val="IntenseQuoteChar"/>
        </w:rPr>
        <w:t>Kickoff meeting-</w:t>
      </w:r>
      <w:r>
        <w:t xml:space="preserve"> The moderator prepares the team and leads a discussion to brainstorm assumptions, and decide on the units of estimation.</w:t>
      </w:r>
    </w:p>
    <w:p w:rsidR="003B4149" w:rsidRDefault="003B4149" w:rsidP="003B4149">
      <w:pPr>
        <w:pStyle w:val="ListParagraph"/>
        <w:numPr>
          <w:ilvl w:val="0"/>
          <w:numId w:val="6"/>
        </w:numPr>
      </w:pPr>
      <w:r w:rsidRPr="004863C2">
        <w:rPr>
          <w:rStyle w:val="IntenseEmphasis"/>
        </w:rPr>
        <w:t>Individual preparation</w:t>
      </w:r>
      <w:r>
        <w:t>- After the kickoff meeting, each team member individually generates the initial estimates for each task in the WBS, documenting any missing assumptions.</w:t>
      </w:r>
    </w:p>
    <w:p w:rsidR="003B4149" w:rsidRDefault="003B4149" w:rsidP="003B4149">
      <w:pPr>
        <w:pStyle w:val="ListParagraph"/>
        <w:numPr>
          <w:ilvl w:val="0"/>
          <w:numId w:val="6"/>
        </w:numPr>
      </w:pPr>
      <w:r w:rsidRPr="004863C2">
        <w:rPr>
          <w:rStyle w:val="IntenseEmphasis"/>
        </w:rPr>
        <w:t>Estimation session</w:t>
      </w:r>
      <w:r>
        <w:t xml:space="preserve">- The moderator leads the team through a series of iterative steps to gain consensus on the estimates. At the start of the iteration, the moderator charts the estimates on the whiteboard so the estimators can see the range of estimates. The team resolves issues and revises estimates without revealing specific numbers. The cycle repeats until either </w:t>
      </w:r>
      <w:r w:rsidR="00C14413">
        <w:t xml:space="preserve">resultant </w:t>
      </w:r>
      <w:r w:rsidR="009B5891">
        <w:t xml:space="preserve">variance </w:t>
      </w:r>
      <w:r w:rsidR="00C14413">
        <w:t>&lt;= 20% or pre-defined 3 rounds have been completed.</w:t>
      </w:r>
    </w:p>
    <w:p w:rsidR="003B4149" w:rsidRDefault="003B4149" w:rsidP="003B4149">
      <w:pPr>
        <w:pStyle w:val="ListParagraph"/>
        <w:numPr>
          <w:ilvl w:val="0"/>
          <w:numId w:val="6"/>
        </w:numPr>
      </w:pPr>
      <w:r w:rsidRPr="001826D8">
        <w:rPr>
          <w:rStyle w:val="IntenseEmphasis"/>
        </w:rPr>
        <w:t>Assembling tasks</w:t>
      </w:r>
      <w:r>
        <w:t>- The project manager works with the team to collect the estimates from the team members at the end of the meeting and compiles the final estimates, and assumptions.</w:t>
      </w:r>
    </w:p>
    <w:p w:rsidR="003B4149" w:rsidRDefault="003B4149" w:rsidP="003B4149">
      <w:pPr>
        <w:pStyle w:val="ListParagraph"/>
        <w:numPr>
          <w:ilvl w:val="0"/>
          <w:numId w:val="6"/>
        </w:numPr>
      </w:pPr>
      <w:r w:rsidRPr="001F0D3F">
        <w:rPr>
          <w:rStyle w:val="IntenseQuoteChar"/>
        </w:rPr>
        <w:t>Reviewing results</w:t>
      </w:r>
      <w:r>
        <w:t>- The project manager reviews the final task list with the estimation team.</w:t>
      </w:r>
    </w:p>
    <w:p w:rsidR="00E9541C" w:rsidRPr="00285E35" w:rsidRDefault="00E20D12" w:rsidP="00285E35">
      <w:pPr>
        <w:pStyle w:val="Heading1"/>
      </w:pPr>
      <w:bookmarkStart w:id="11" w:name="_Toc430008723"/>
      <w:r w:rsidRPr="00285E35">
        <w:t>Conclusion</w:t>
      </w:r>
      <w:bookmarkEnd w:id="11"/>
    </w:p>
    <w:p w:rsidR="00AF6DE2" w:rsidRPr="000F4654" w:rsidRDefault="00AF6DE2" w:rsidP="00067A35">
      <w:r w:rsidRPr="00D710B3">
        <w:t xml:space="preserve">Estimating techniques always involve assumptions and guesses. Thus, it is important not to rely on solely one source for any particular estimate. </w:t>
      </w:r>
      <w:r w:rsidRPr="000F4654">
        <w:t>It is good practice to obtain estimates from multiple sources and if possible utilizing different estimating techniques.</w:t>
      </w:r>
    </w:p>
    <w:sectPr w:rsidR="00AF6DE2" w:rsidRPr="000F4654" w:rsidSect="002371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7B4" w:rsidRDefault="00B537B4" w:rsidP="00AF6DE2">
      <w:pPr>
        <w:spacing w:after="0" w:line="240" w:lineRule="auto"/>
      </w:pPr>
      <w:r>
        <w:separator/>
      </w:r>
    </w:p>
  </w:endnote>
  <w:endnote w:type="continuationSeparator" w:id="0">
    <w:p w:rsidR="00B537B4" w:rsidRDefault="00B537B4" w:rsidP="00AF6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E9" w:rsidRDefault="00B703E9">
    <w:pPr>
      <w:pStyle w:val="Footer"/>
    </w:pPr>
    <w:r>
      <w:t xml:space="preserve">Genus </w:t>
    </w:r>
    <w:r w:rsidR="00C9159E">
      <w:t>Innovation</w:t>
    </w:r>
    <w:r>
      <w:t xml:space="preserve"> Limited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7B4" w:rsidRDefault="00B537B4" w:rsidP="00AF6DE2">
      <w:pPr>
        <w:spacing w:after="0" w:line="240" w:lineRule="auto"/>
      </w:pPr>
      <w:r>
        <w:separator/>
      </w:r>
    </w:p>
  </w:footnote>
  <w:footnote w:type="continuationSeparator" w:id="0">
    <w:p w:rsidR="00B537B4" w:rsidRDefault="00B537B4" w:rsidP="00AF6D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E9" w:rsidRDefault="004A4036">
    <w:pPr>
      <w:pStyle w:val="Header"/>
    </w:pPr>
    <w:fldSimple w:instr=" FILENAME  \* Upper  \* MERGEFORMAT ">
      <w:r w:rsidR="00B703E9">
        <w:rPr>
          <w:noProof/>
        </w:rPr>
        <w:t>GDLN_ESTMAT.DOCX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A46"/>
    <w:multiLevelType w:val="hybridMultilevel"/>
    <w:tmpl w:val="467E9FC0"/>
    <w:lvl w:ilvl="0" w:tplc="7638BE9C">
      <w:start w:val="1"/>
      <w:numFmt w:val="bullet"/>
      <w:lvlText w:val=""/>
      <w:lvlJc w:val="left"/>
      <w:pPr>
        <w:tabs>
          <w:tab w:val="num" w:pos="216"/>
        </w:tabs>
        <w:ind w:left="432" w:hanging="216"/>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nsid w:val="02FC3699"/>
    <w:multiLevelType w:val="hybridMultilevel"/>
    <w:tmpl w:val="3840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A3A79"/>
    <w:multiLevelType w:val="hybridMultilevel"/>
    <w:tmpl w:val="D3029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D219A8"/>
    <w:multiLevelType w:val="hybridMultilevel"/>
    <w:tmpl w:val="F360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75407"/>
    <w:multiLevelType w:val="hybridMultilevel"/>
    <w:tmpl w:val="B9B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3219D"/>
    <w:multiLevelType w:val="hybridMultilevel"/>
    <w:tmpl w:val="343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8564C"/>
    <w:multiLevelType w:val="hybridMultilevel"/>
    <w:tmpl w:val="00E4AC90"/>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58C5ED8"/>
    <w:multiLevelType w:val="hybridMultilevel"/>
    <w:tmpl w:val="A5AA0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1C035D"/>
    <w:multiLevelType w:val="hybridMultilevel"/>
    <w:tmpl w:val="5084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7A494B"/>
    <w:multiLevelType w:val="hybridMultilevel"/>
    <w:tmpl w:val="15826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C560EB"/>
    <w:multiLevelType w:val="hybridMultilevel"/>
    <w:tmpl w:val="00003EC4"/>
    <w:lvl w:ilvl="0" w:tplc="E4B8183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7366DB"/>
    <w:multiLevelType w:val="hybridMultilevel"/>
    <w:tmpl w:val="40AA1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7"/>
  </w:num>
  <w:num w:numId="4">
    <w:abstractNumId w:val="6"/>
  </w:num>
  <w:num w:numId="5">
    <w:abstractNumId w:val="2"/>
  </w:num>
  <w:num w:numId="6">
    <w:abstractNumId w:val="4"/>
  </w:num>
  <w:num w:numId="7">
    <w:abstractNumId w:val="9"/>
  </w:num>
  <w:num w:numId="8">
    <w:abstractNumId w:val="5"/>
  </w:num>
  <w:num w:numId="9">
    <w:abstractNumId w:val="3"/>
  </w:num>
  <w:num w:numId="10">
    <w:abstractNumId w:val="10"/>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3554"/>
  </w:hdrShapeDefaults>
  <w:footnotePr>
    <w:footnote w:id="-1"/>
    <w:footnote w:id="0"/>
  </w:footnotePr>
  <w:endnotePr>
    <w:endnote w:id="-1"/>
    <w:endnote w:id="0"/>
  </w:endnotePr>
  <w:compat/>
  <w:rsids>
    <w:rsidRoot w:val="00AF6DE2"/>
    <w:rsid w:val="00002386"/>
    <w:rsid w:val="00034061"/>
    <w:rsid w:val="00051483"/>
    <w:rsid w:val="00053EEF"/>
    <w:rsid w:val="00055A02"/>
    <w:rsid w:val="0006010F"/>
    <w:rsid w:val="00067A35"/>
    <w:rsid w:val="000741F4"/>
    <w:rsid w:val="00085EBF"/>
    <w:rsid w:val="00094A75"/>
    <w:rsid w:val="000A3964"/>
    <w:rsid w:val="000C3CF0"/>
    <w:rsid w:val="000C63D5"/>
    <w:rsid w:val="000D1259"/>
    <w:rsid w:val="000F6CAF"/>
    <w:rsid w:val="001548D3"/>
    <w:rsid w:val="00176F8B"/>
    <w:rsid w:val="001A37BD"/>
    <w:rsid w:val="001B1BDF"/>
    <w:rsid w:val="001E304B"/>
    <w:rsid w:val="001F0718"/>
    <w:rsid w:val="00216324"/>
    <w:rsid w:val="00221AA8"/>
    <w:rsid w:val="00222910"/>
    <w:rsid w:val="0023710C"/>
    <w:rsid w:val="00285E35"/>
    <w:rsid w:val="00295B6F"/>
    <w:rsid w:val="002D2622"/>
    <w:rsid w:val="002D3C8A"/>
    <w:rsid w:val="003311DF"/>
    <w:rsid w:val="00340E80"/>
    <w:rsid w:val="00357D9E"/>
    <w:rsid w:val="00384A6D"/>
    <w:rsid w:val="003A3A30"/>
    <w:rsid w:val="003B4149"/>
    <w:rsid w:val="003C1905"/>
    <w:rsid w:val="003C36ED"/>
    <w:rsid w:val="003F0B25"/>
    <w:rsid w:val="003F6035"/>
    <w:rsid w:val="004171B8"/>
    <w:rsid w:val="00495F1F"/>
    <w:rsid w:val="00497B01"/>
    <w:rsid w:val="004A4036"/>
    <w:rsid w:val="004F4B08"/>
    <w:rsid w:val="00524A1A"/>
    <w:rsid w:val="00530828"/>
    <w:rsid w:val="00540F96"/>
    <w:rsid w:val="005633E7"/>
    <w:rsid w:val="00575815"/>
    <w:rsid w:val="00590166"/>
    <w:rsid w:val="005B1D10"/>
    <w:rsid w:val="005C4741"/>
    <w:rsid w:val="005D71BA"/>
    <w:rsid w:val="005E0140"/>
    <w:rsid w:val="006417A5"/>
    <w:rsid w:val="00696A90"/>
    <w:rsid w:val="006A27CF"/>
    <w:rsid w:val="006A41FA"/>
    <w:rsid w:val="006B0D20"/>
    <w:rsid w:val="006E2C57"/>
    <w:rsid w:val="00706525"/>
    <w:rsid w:val="007328D9"/>
    <w:rsid w:val="00752E50"/>
    <w:rsid w:val="007776D9"/>
    <w:rsid w:val="007D47F6"/>
    <w:rsid w:val="007E649C"/>
    <w:rsid w:val="00810994"/>
    <w:rsid w:val="00815D5E"/>
    <w:rsid w:val="00827886"/>
    <w:rsid w:val="00842DC2"/>
    <w:rsid w:val="00873E37"/>
    <w:rsid w:val="0088163F"/>
    <w:rsid w:val="00887953"/>
    <w:rsid w:val="00891576"/>
    <w:rsid w:val="008A2735"/>
    <w:rsid w:val="00914939"/>
    <w:rsid w:val="00932CBC"/>
    <w:rsid w:val="0093325E"/>
    <w:rsid w:val="009840B7"/>
    <w:rsid w:val="00995583"/>
    <w:rsid w:val="009A1735"/>
    <w:rsid w:val="009B1587"/>
    <w:rsid w:val="009B5891"/>
    <w:rsid w:val="009F2296"/>
    <w:rsid w:val="009F65BF"/>
    <w:rsid w:val="00A25E18"/>
    <w:rsid w:val="00A61795"/>
    <w:rsid w:val="00A64C75"/>
    <w:rsid w:val="00A707FA"/>
    <w:rsid w:val="00A81587"/>
    <w:rsid w:val="00A86EDD"/>
    <w:rsid w:val="00A92708"/>
    <w:rsid w:val="00A942FC"/>
    <w:rsid w:val="00AF3289"/>
    <w:rsid w:val="00AF5BBA"/>
    <w:rsid w:val="00AF6DE2"/>
    <w:rsid w:val="00B039A9"/>
    <w:rsid w:val="00B06279"/>
    <w:rsid w:val="00B34A34"/>
    <w:rsid w:val="00B537B4"/>
    <w:rsid w:val="00B703E9"/>
    <w:rsid w:val="00BB0C58"/>
    <w:rsid w:val="00BB60C8"/>
    <w:rsid w:val="00BD78A2"/>
    <w:rsid w:val="00BF7053"/>
    <w:rsid w:val="00C060C1"/>
    <w:rsid w:val="00C14413"/>
    <w:rsid w:val="00C41BBA"/>
    <w:rsid w:val="00C50317"/>
    <w:rsid w:val="00C523AB"/>
    <w:rsid w:val="00C62C38"/>
    <w:rsid w:val="00C9159E"/>
    <w:rsid w:val="00CA7F48"/>
    <w:rsid w:val="00CF7C97"/>
    <w:rsid w:val="00D06847"/>
    <w:rsid w:val="00D62D8C"/>
    <w:rsid w:val="00D77A2B"/>
    <w:rsid w:val="00DC32BC"/>
    <w:rsid w:val="00E075DD"/>
    <w:rsid w:val="00E14323"/>
    <w:rsid w:val="00E20D12"/>
    <w:rsid w:val="00E67028"/>
    <w:rsid w:val="00E9541C"/>
    <w:rsid w:val="00EA2883"/>
    <w:rsid w:val="00EB3E2D"/>
    <w:rsid w:val="00F02068"/>
    <w:rsid w:val="00F06842"/>
    <w:rsid w:val="00F25618"/>
    <w:rsid w:val="00FB2B63"/>
    <w:rsid w:val="00FE5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0C"/>
  </w:style>
  <w:style w:type="paragraph" w:styleId="Heading1">
    <w:name w:val="heading 1"/>
    <w:basedOn w:val="Normal"/>
    <w:next w:val="Normal"/>
    <w:link w:val="Heading1Char"/>
    <w:uiPriority w:val="9"/>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 w:type="paragraph" w:styleId="Revision">
    <w:name w:val="Revision"/>
    <w:hidden/>
    <w:uiPriority w:val="99"/>
    <w:semiHidden/>
    <w:rsid w:val="00053EEF"/>
    <w:pPr>
      <w:spacing w:after="0" w:line="240" w:lineRule="auto"/>
    </w:pPr>
  </w:style>
  <w:style w:type="table" w:styleId="LightShading-Accent1">
    <w:name w:val="Light Shading Accent 1"/>
    <w:basedOn w:val="TableNormal"/>
    <w:uiPriority w:val="60"/>
    <w:rsid w:val="00053E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s>
</file>

<file path=word/webSettings.xml><?xml version="1.0" encoding="utf-8"?>
<w:webSettings xmlns:r="http://schemas.openxmlformats.org/officeDocument/2006/relationships" xmlns:w="http://schemas.openxmlformats.org/wordprocessingml/2006/main">
  <w:divs>
    <w:div w:id="2884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DB7E1-005D-4B18-86D3-0A87F72E1FB9}">
  <ds:schemaRefs>
    <ds:schemaRef ds:uri="http://schemas.microsoft.com/sharepoint/v3/contenttype/forms"/>
  </ds:schemaRefs>
</ds:datastoreItem>
</file>

<file path=customXml/itemProps2.xml><?xml version="1.0" encoding="utf-8"?>
<ds:datastoreItem xmlns:ds="http://schemas.openxmlformats.org/officeDocument/2006/customXml" ds:itemID="{F570CF22-A959-4181-A96B-9470697FC8B3}">
  <ds:schemaRefs>
    <ds:schemaRef ds:uri="http://schemas.microsoft.com/office/2006/metadata/properties"/>
  </ds:schemaRefs>
</ds:datastoreItem>
</file>

<file path=customXml/itemProps3.xml><?xml version="1.0" encoding="utf-8"?>
<ds:datastoreItem xmlns:ds="http://schemas.openxmlformats.org/officeDocument/2006/customXml" ds:itemID="{1D419286-D8FE-430B-AFF5-D69DEFFC2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FD6140D-FEAD-4AA0-9826-C0D766C5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Estimation Guidelines</vt:lpstr>
    </vt:vector>
  </TitlesOfParts>
  <Company/>
  <LinksUpToDate>false</LinksUpToDate>
  <CharactersWithSpaces>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Guidelines</dc:title>
  <dc:subject/>
  <dc:creator>Vaibhav Garg</dc:creator>
  <cp:keywords/>
  <dc:description/>
  <cp:lastModifiedBy>hcl.sundeep</cp:lastModifiedBy>
  <cp:revision>56</cp:revision>
  <dcterms:created xsi:type="dcterms:W3CDTF">2015-06-15T09:42:00Z</dcterms:created>
  <dcterms:modified xsi:type="dcterms:W3CDTF">2015-09-14T10:13:00Z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ies>
</file>