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E1F6E"/>
          <w:sz w:val="72"/>
          <w:szCs w:val="72"/>
        </w:rPr>
        <w:t xml:space="preserve">HOSTINVO</w:t>
      </w:r>
    </w:p>
    <w:p>
      <w:pPr>
        <w:spacing w:before="0" w:after="80"/>
        <w:jc w:val="center"/>
      </w:pPr>
      <w:r>
        <w:rPr>
          <w:rFonts w:ascii="Arial" w:cs="Arial" w:eastAsia="Arial" w:hAnsi="Arial"/>
          <w:color w:val="1565C0"/>
          <w:sz w:val="36"/>
          <w:szCs w:val="36"/>
        </w:rPr>
        <w:t xml:space="preserve">Architecture &amp; Implementation Review</w:t>
      </w:r>
    </w:p>
    <w:p>
      <w:pPr>
        <w:pBdr>
          <w:bottom w:val="single" w:color="2196F3" w:sz="8" w:space="4"/>
        </w:pBdr>
        <w:spacing w:before="0" w:after="400"/>
        <w:jc w:val="center"/>
      </w:pPr>
      <w:r>
        <w:rPr>
          <w:rFonts w:ascii="Arial" w:cs="Arial" w:eastAsia="Arial" w:hAnsi="Arial"/>
          <w:i/>
          <w:iCs/>
          <w:color w:val="666666"/>
          <w:sz w:val="18"/>
          <w:szCs w:val="18"/>
        </w:rPr>
        <w:t xml:space="preserve">Reviewed against: HOSTINVO_PROJECT_MASTER.md + System_Architecture_v2   |   08 March 2026</w:t>
      </w:r>
    </w:p>
    <w:p>
      <w:pPr>
        <w:pStyle w:val="Heading1"/>
        <w:spacing w:before="360" w:after="160"/>
      </w:pPr>
      <w:r>
        <w:rPr>
          <w:rFonts w:ascii="Arial" w:cs="Arial" w:eastAsia="Arial" w:hAnsi="Arial"/>
          <w:b/>
          <w:bCs/>
          <w:color w:val="0E1F6E"/>
          <w:sz w:val="30"/>
          <w:szCs w:val="30"/>
        </w:rPr>
        <w:t xml:space="preserve">1. Executive Summary</w:t>
      </w:r>
    </w:p>
    <w:p>
      <w:pPr>
        <w:spacing w:before="60" w:after="80"/>
      </w:pPr>
      <w:r>
        <w:rPr>
          <w:rFonts w:ascii="Arial" w:cs="Arial" w:eastAsia="Arial" w:hAnsi="Arial"/>
          <w:color w:val="1A1A2E"/>
          <w:sz w:val="20"/>
          <w:szCs w:val="20"/>
        </w:rPr>
        <w:t xml:space="preserve">This review compares the current Hostinvo documentation and schema artifacts against the finalized System Architecture v2 specification and HOSTINVO_PROJECT_MASTER.md. The platform concept is strong and well-reasoned, but the existing implementation documents reveal a significant gap between the planned architecture and what has been formally captured or built.</w:t>
      </w:r>
    </w:p>
    <w:p>
      <w:pPr>
        <w:spacing w:before="60" w:after="80"/>
      </w:pPr>
      <w:r>
        <w:rPr>
          <w:rFonts w:ascii="Arial" w:cs="Arial" w:eastAsia="Arial" w:hAnsi="Arial"/>
          <w:color w:val="1A1A2E"/>
          <w:sz w:val="20"/>
          <w:szCs w:val="20"/>
        </w:rPr>
        <w:t xml:space="preserve">The most critical finding is that the current DATABASE_SCHEMA.md contains no multi-tenancy columns (tenant_id), no UUID primary keys, no monetary-value integrity rules, and is missing approximately 35+ tables required by the architecture. If migrations are generated from this schema, the entire SaaS isolation model will be broken from day one.</w:t>
      </w:r>
    </w:p>
    <w:p>
      <w:pPr>
        <w:spacing w:before="60" w:after="60"/>
      </w:pPr>
      <w:r>
        <w:t xml:space="preserve"/>
      </w:r>
    </w:p>
    <w:p>
      <w:pPr>
        <w:pStyle w:val="Heading1"/>
        <w:spacing w:before="360" w:after="160"/>
      </w:pPr>
      <w:r>
        <w:rPr>
          <w:rFonts w:ascii="Arial" w:cs="Arial" w:eastAsia="Arial" w:hAnsi="Arial"/>
          <w:b/>
          <w:bCs/>
          <w:color w:val="0E1F6E"/>
          <w:sz w:val="30"/>
          <w:szCs w:val="30"/>
        </w:rPr>
        <w:t xml:space="preserve">2. Key Issues</w:t>
      </w:r>
    </w:p>
    <w:p>
      <w:pPr>
        <w:spacing w:before="60" w:after="80"/>
      </w:pPr>
      <w:r>
        <w:rPr>
          <w:rFonts w:ascii="Arial" w:cs="Arial" w:eastAsia="Arial" w:hAnsi="Arial"/>
          <w:color w:val="1A1A2E"/>
          <w:sz w:val="20"/>
          <w:szCs w:val="20"/>
        </w:rPr>
        <w:t xml:space="preserve">The table below lists all identified issues ordered by severity. CRITICAL issues block correct system operation. HIGH issues introduce security or data integrity risk. MEDIUM issues affect maintainability or compliance with architectural decisions. LOW issues are code quality / best-practice gaps.</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160"/>
      </w:tblGrid>
      <w:tr>
        <w:trPr>
          <w:tblHeader/>
        </w:trPr>
        <w:tc>
          <w:tcPr>
            <w:tcW w:type="dxa" w:w="120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SEVERITY</w:t>
            </w:r>
          </w:p>
        </w:tc>
        <w:tc>
          <w:tcPr>
            <w:tcW w:type="dxa" w:w="220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AREA</w:t>
            </w:r>
          </w:p>
        </w:tc>
        <w:tc>
          <w:tcPr>
            <w:tcW w:type="dxa" w:w="616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ISSUE</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Multi-Tenancy</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DATABASE_SCHEMA.md has zero tenant_id columns on any table. Every module (clients, services, invoices, orders, domains, tickets, servers) must carry tenant_id to enforce data isolation. Without this, one tenant can query another tenant's data.</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Multi-Tenancy</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tenants or tenant_settings tables exist in the current schema. The entire SaaS tenancy model cannot function.</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The price column on Products is likely a DECIMAL or FLOAT. Architecture v2 mandates all monetary values stored as INTEGER (cents/halalas). Floating-point money causes rounding errors and billing discrepancies.</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Primary keys on all tables are listed as plain id with no type specified. Architecture v2 requires UUID primary keys on all public-facing models. Auto-increment integers expose enumeration attack surface and break multi-tenant portability.</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The Users table has a single role column instead of a full RBAC model (roles, permissions, role_user, permission_role tables). This prevents per-tenant role scoping and policy-based authorization.</w:t>
            </w:r>
          </w:p>
        </w:tc>
      </w:tr>
      <w:tr>
        <w:tc>
          <w:tcPr>
            <w:tcW w:type="dxa" w:w="12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CRITICAL</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Security</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The Servers table has no api_token column. Panel credentials (WHM token, Plesk API key) must be stored encrypted via Laravel Crypt. No encryption mechanism is defined.</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Approximately 35 tables required by v2 are absent from DATABASE_SCHEMA.md: subscriptions, credit_balances, invoice_items, order_items, taxes, coupons, service_credentials, service_usage, service_suspensions, provisioning_logs, server_groups, server_packages, panel_metadata, domain_contacts, domain_renewals, registrar_logs, ticket_replies, ticket_departments, knowledge_base_articles, notification_templates, email_logs, audit_logs, webhook_logs, scheduled_task_logs, and more.</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Provisioning Engine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PROVISIONING_ENGINE.md defines only 5 lifecycle operations. Architecture v2 requires 8: CreateAccount, SuspendAccount, UnsuspendAccount, TerminateAccount, ChangePackage, ResetPassword, SyncUsage, and SyncServiceStatus. ResetPassword and both Sync operations are missing.</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Provisioning Engine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ProvisioningDriverInterface contract is defined. Without a formal interface, drivers cannot be swapped, tested in isolation, or extended. The driver folder structure alone is not sufficient.</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Provisioning Engine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ServerSelector, ProvisioningJobDispatcher, or ProvisioningLogger classes are defined. These are core to load balancing, async job dispatch, and operational observability respectively.</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Architecture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SYSTEM_ARCHITECTURE.md contains no mention of multi-tenancy, TenantScope global query scopes, ResolveTenant middleware, or the Super Admin guard. The architecture doc is misaligned with v2.</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Architecture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Repository pattern is referenced in any existing doc. Architecture v2 mandates Repository interfaces and Eloquent implementations bound in the service container for all data-access layers.</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Architecture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Form Request classes or Policy classes are referenced. v2 requires all input validation through dedicated Form Request classes and all authorization through Laravel Policies — never inline validate() or Gate checks in controllers.</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Security</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audit_logs table or audit logging mechanism is defined. Every admin and provisioning action must log user_id, tenant_id, IP address, action, model_type, model_id, before state, and after state.</w:t>
            </w:r>
          </w:p>
        </w:tc>
      </w:tr>
      <w:tr>
        <w:tc>
          <w:tcPr>
            <w:tcW w:type="dxa" w:w="1200"/>
            <w:tcBorders>
              <w:top w:val="single" w:color="C5CAD9" w:sz="1"/>
              <w:left w:val="single" w:color="C5CAD9" w:sz="1"/>
              <w:bottom w:val="single" w:color="C5CAD9" w:sz="1"/>
              <w:right w:val="single" w:color="C5CAD9" w:sz="1"/>
            </w:tcBorders>
            <w:shd w:fill="B71C1C"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HIGH</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Security</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rate limiting middleware is specified anywhere. v2 requires Redis-backed throttle at 60 req/min per authenticated user and 10 req/min for auth endpoints.</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Module Roadmap</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MODULE_ROADMAP.md defines 13 phases. Architecture v2 defines 16 phases. Missing phases: Domain Management (Phase 14), Localization Completion (Phase 15), and Security &amp; Hardening (Phase 16).</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Docker</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DOCKER_SETUP.md lists 6 containers but omits the mailpit mail-catcher service. Development email testing has no container. v2 requires axllent/mailpit on ports 1025 (SMTP) and 8025 (UI).</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Localization</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localization architecture is referenced in any current document. v2 requires Laravel lang files (lang/en/, lang/ar/), next-intl for frontend, RTL dir attribute on &lt;html&gt;, Tailwind RTL plugin with logical CSS properties, and bilingual email templates.</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soft deletes (deleted_at) are defined on any table. Architecture v2 requires SoftDeletes on all client-facing entities: clients, invoices, services, domains, and tickets.</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compound indexes defined. v2 requires indexes on (tenant_id, status), (tenant_id, client_id), and (tenant_id, due_date) across all major tables for query performance.</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JSONB columns defined for flexible payloads. Notification data, audit before/after states, and provisioning log responses should use PostgreSQL JSONB columns.</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Database 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Timestamp columns (created_at) are present on Users only. All tables must use TIMESTAMP WITH TIME ZONE stored in UTC as per v2.</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API Design</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API versioning prefix (/api/v1/) or response envelope format ({ data, meta, errors }) is referenced in any current document. These must be standardized before any controllers are written.</w:t>
            </w:r>
          </w:p>
        </w:tc>
      </w:tr>
      <w:tr>
        <w:tc>
          <w:tcPr>
            <w:tcW w:type="dxa" w:w="12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MEDIUM</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Queue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queue tier architecture is defined (critical / default / low queues with separate worker counts and retry policies). All provisioning and payment jobs must be dispatched to the critical queue.</w:t>
            </w:r>
          </w:p>
        </w:tc>
      </w:tr>
      <w:tr>
        <w:tc>
          <w:tcPr>
            <w:tcW w:type="dxa" w:w="12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Codebase</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Laravel Events + Listeners pattern is referenced. Cross-module side effects (e.g. OrderPaidEvent triggering provisioning) must use the event/listener pattern — never direct cross-module service calls.</w:t>
            </w:r>
          </w:p>
        </w:tc>
      </w:tr>
      <w:tr>
        <w:tc>
          <w:tcPr>
            <w:tcW w:type="dxa" w:w="12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Frontend</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Zustand global store structure is defined for auth, tenant settings, locale, and notifications. These stores must be established before any portal or admin pages are built.</w:t>
            </w:r>
          </w:p>
        </w:tc>
      </w:tr>
      <w:tr>
        <w:tc>
          <w:tcPr>
            <w:tcW w:type="dxa" w:w="12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Frontend</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TanStack Query (React Query) caching strategy is defined. All API calls from Next.js must go through a configured Axios instance with CSRF interceptor, not raw fetch.</w:t>
            </w:r>
          </w:p>
        </w:tc>
      </w:tr>
      <w:tr>
        <w:tc>
          <w:tcPr>
            <w:tcW w:type="dxa" w:w="12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Provisioning</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No exponential back-off retry policy is documented for provisioning jobs (1 min, 5 min, 15 min across 3 attempts). This must be configured in the job class, not just in queue:work flags.</w:t>
            </w:r>
          </w:p>
        </w:tc>
      </w:tr>
      <w:tr>
        <w:tc>
          <w:tcPr>
            <w:tcW w:type="dxa" w:w="12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LOW</w:t>
            </w:r>
          </w:p>
        </w:tc>
        <w:tc>
          <w:tcPr>
            <w:tcW w:type="dxa" w:w="22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r>
              <w:rPr>
                <w:rFonts w:ascii="Arial" w:cs="Arial" w:eastAsia="Arial" w:hAnsi="Arial"/>
                <w:b/>
                <w:bCs/>
                <w:color w:val="0E1F6E"/>
                <w:sz w:val="19"/>
                <w:szCs w:val="19"/>
              </w:rPr>
              <w:t xml:space="preserve">Schema</w:t>
            </w:r>
          </w:p>
        </w:tc>
        <w:tc>
          <w:tcPr>
            <w:tcW w:type="dxa" w:w="61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The Clients table has user_id but no explicit foreign key type or tenant_id. It is unclear whether user_id references the users table correctly or whether it serves as the login account link.</w:t>
            </w:r>
          </w:p>
        </w:tc>
      </w:tr>
    </w:tbl>
    <w:p>
      <w:pPr>
        <w:spacing w:before="60" w:after="60"/>
      </w:pPr>
      <w:r>
        <w:t xml:space="preserve"/>
      </w:r>
    </w:p>
    <w:p>
      <w:pPr>
        <w:pStyle w:val="Heading1"/>
        <w:spacing w:before="360" w:after="160"/>
      </w:pPr>
      <w:r>
        <w:rPr>
          <w:rFonts w:ascii="Arial" w:cs="Arial" w:eastAsia="Arial" w:hAnsi="Arial"/>
          <w:b/>
          <w:bCs/>
          <w:color w:val="0E1F6E"/>
          <w:sz w:val="30"/>
          <w:szCs w:val="30"/>
        </w:rPr>
        <w:t xml:space="preserve">3. Priority Fixes</w:t>
      </w:r>
    </w:p>
    <w:p>
      <w:pPr>
        <w:spacing w:before="60" w:after="80"/>
      </w:pPr>
      <w:r>
        <w:rPr>
          <w:rFonts w:ascii="Arial" w:cs="Arial" w:eastAsia="Arial" w:hAnsi="Arial"/>
          <w:color w:val="1A1A2E"/>
          <w:sz w:val="20"/>
          <w:szCs w:val="20"/>
        </w:rPr>
        <w:t xml:space="preserve">Fixes are ordered by priority. P0 must be resolved before any code is generated. P1 must be resolved before Phase 2 begins. P2 should be resolved within the current sprint. P3 can be addressed incrementally.</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6900"/>
        <w:gridCol w:w="1960"/>
      </w:tblGrid>
      <w:tr>
        <w:trPr>
          <w:tblHeader/>
        </w:trPr>
        <w:tc>
          <w:tcPr>
            <w:tcW w:type="dxa" w:w="70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PRI</w:t>
            </w:r>
          </w:p>
        </w:tc>
        <w:tc>
          <w:tcPr>
            <w:tcW w:type="dxa" w:w="690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FIX</w:t>
            </w:r>
          </w:p>
        </w:tc>
        <w:tc>
          <w:tcPr>
            <w:tcW w:type="dxa" w:w="196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EFFORT</w:t>
            </w:r>
          </w:p>
        </w:tc>
      </w:tr>
      <w:tr>
        <w:tc>
          <w:tcPr>
            <w:tcW w:type="dxa" w:w="7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Rewrite DATABASE_SCHEMA.md to match the full v2 entity group specification. Every table must include tenant_id (UUID FK), appropriate PK type (UUID for public-facing, BIGSERIAL for lookups), deleted_at for soft deletes, and all required columns. This is the single most important document to fix before any migrations are written.</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1–2 days</w:t>
            </w:r>
          </w:p>
        </w:tc>
      </w:tr>
      <w:tr>
        <w:tc>
          <w:tcPr>
            <w:tcW w:type="dxa" w:w="7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tenant_id (UUID, NOT NULL, FK → tenants.id) to every table except tenants itself and internal lookup tables. Apply a Laravel global TenantScope to every Eloquent model. Add ResolveTenant middleware to all authenticated route groups.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2–3 days</w:t>
            </w:r>
          </w:p>
        </w:tc>
      </w:tr>
      <w:tr>
        <w:tc>
          <w:tcPr>
            <w:tcW w:type="dxa" w:w="7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Change all monetary columns (price, total_amount, total, amount) to INTEGER type to store values in the smallest currency unit (cents for USD, halalas for SAR). Add a comment to each migration documenting the unit.</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Replace the single role column on the users table with a full RBAC schema: roles table, permissions table, role_user pivot, permission_role pivot. Implement Laravel Spatie/Permission or a custom Eloquent Policy setup scoped per tenant.</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2 days</w:t>
            </w:r>
          </w:p>
        </w:tc>
      </w:tr>
      <w:tr>
        <w:tc>
          <w:tcPr>
            <w:tcW w:type="dxa" w:w="700"/>
            <w:tcBorders>
              <w:top w:val="single" w:color="C5CAD9" w:sz="1"/>
              <w:left w:val="single" w:color="C5CAD9" w:sz="1"/>
              <w:bottom w:val="single" w:color="C5CAD9" w:sz="1"/>
              <w:right w:val="single" w:color="C5CAD9" w:sz="1"/>
            </w:tcBorders>
            <w:shd w:fill="C62828"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P0</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api_token column (TEXT, encrypted) to the servers table. Implement encryption/decryption using Laravel Crypt in the Server model's accessors and mutators. Never store raw panel credentials.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0.5 days</w:t>
            </w:r>
          </w:p>
        </w:tc>
      </w:tr>
      <w:tr>
        <w:tc>
          <w:tcPr>
            <w:tcW w:type="dxa" w:w="7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Define the ProvisioningDriverInterface contract with all 8 required method signatures: createAccount, suspendAccount, unsuspendAccount, terminateAccount, changePackage, resetPassword, syncUsage, syncServiceStatus. Both CpanelDriver and PleskDriver must implement this interface.</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Create ServerSelector class (picks server by lowest active account count per product group), ProvisioningJobDispatcher (dispatches to critical queue with 3-attempt exponential backoff), and ProvisioningLogger (writes all API calls and responses to provisioning_logs table).</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2 days</w:t>
            </w:r>
          </w:p>
        </w:tc>
      </w:tr>
      <w:tr>
        <w:tc>
          <w:tcPr>
            <w:tcW w:type="dxa" w:w="7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all missing database tables as documented in Section 2 HIGH issues. At minimum: subscriptions, credit_balances, service_credentials, service_usage, provisioning_logs, audit_logs, notification_templates, email_logs, webhook_logs, ticket_replies, ticket_departments.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2–3 days</w:t>
            </w:r>
          </w:p>
        </w:tc>
      </w:tr>
      <w:tr>
        <w:tc>
          <w:tcPr>
            <w:tcW w:type="dxa" w:w="7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Establish the queue tier architecture in config/queue.php: critical queue (2 workers, 3 retries, backoff 60/300/900s), default queue (2 workers, 3 retries, backoff 60/180s), low queue (1 worker, 2 retries, backoff 120s). Update docker-compose.yml queue-worker container command accordingly.</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E6510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P1</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audit_logs table with columns: id, tenant_id, user_id, ip_address, action, model_type, model_id, before (JSONB), after (JSONB), created_at. Create AuditLogger service and register it as a listener on all admin and provisioning events.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mailpit container to docker-compose.yml (image: axllent/mailpit, ports: 1025:1025, 8025:8025). Update .env.example with MAIL_HOST=mailpit, MAIL_PORT=1025, MAIL_FROM_ADDRESS.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0.5 days</w:t>
            </w:r>
          </w:p>
        </w:tc>
      </w:tr>
      <w:tr>
        <w:tc>
          <w:tcPr>
            <w:tcW w:type="dxa" w:w="700"/>
            <w:tcBorders>
              <w:top w:val="single" w:color="C5CAD9" w:sz="1"/>
              <w:left w:val="single" w:color="C5CAD9" w:sz="1"/>
              <w:bottom w:val="single" w:color="C5CAD9" w:sz="1"/>
              <w:right w:val="single" w:color="C5CAD9"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Phase 14 (Domain Management), Phase 15 (Localization Completion), and Phase 16 (Security &amp; Hardening) to MODULE_ROADMAP.md to match the v2 phase plan.</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0.5 days</w:t>
            </w:r>
          </w:p>
        </w:tc>
      </w:tr>
      <w:tr>
        <w:tc>
          <w:tcPr>
            <w:tcW w:type="dxa" w:w="700"/>
            <w:tcBorders>
              <w:top w:val="single" w:color="C5CAD9" w:sz="1"/>
              <w:left w:val="single" w:color="C5CAD9" w:sz="1"/>
              <w:bottom w:val="single" w:color="C5CAD9" w:sz="1"/>
              <w:right w:val="single" w:color="C5CAD9"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Define the standard API response envelope in an ApiResponse helper class or trait: { data: {}, meta: {}, errors: [] }. Apply to all controller responses. Set base prefix /api/v1/ in routes/api.php route group.</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soft deletes (deleted_at TIMESTAMP WITH TIME ZONE) to all client-facing entity migrations: clients, invoices, services, domains, tickets. Add SoftDeletes trait to corresponding Eloquent models.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0.5 days</w:t>
            </w:r>
          </w:p>
        </w:tc>
      </w:tr>
      <w:tr>
        <w:tc>
          <w:tcPr>
            <w:tcW w:type="dxa" w:w="700"/>
            <w:tcBorders>
              <w:top w:val="single" w:color="C5CAD9" w:sz="1"/>
              <w:left w:val="single" w:color="C5CAD9" w:sz="1"/>
              <w:bottom w:val="single" w:color="C5CAD9" w:sz="1"/>
              <w:right w:val="single" w:color="C5CAD9" w:sz="1"/>
            </w:tcBorders>
            <w:shd w:fill="1565C0"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P2</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Add compound database indexes to all major migrations: (tenant_id, status), (tenant_id, client_id), (tenant_id, due_date). Add to: invoices, services, orders, tickets, domains.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0.5 days</w:t>
            </w:r>
          </w:p>
        </w:tc>
      </w:tr>
      <w:tr>
        <w:tc>
          <w:tcPr>
            <w:tcW w:type="dxa" w:w="7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Create directory scaffold for localization files: lang/en/, lang/ar/ in backend; messages/en.json, messages/ar.json in frontend. Ensure all user-facing strings use Lang::get() in Laravel and useTranslations() in Next.js — no hardcoded strings.</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Configure Tailwind RTL plugin in tailwind.config.ts. Replace all directional utility classes (ml-, mr-, pl-, pr-) with logical equivalents (ms-, me-, ps-, pe-). Set dir attribute dynamically in Next.js root layout based on active locale.</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1 day</w:t>
            </w:r>
          </w:p>
        </w:tc>
      </w:tr>
      <w:tr>
        <w:tc>
          <w:tcPr>
            <w:tcW w:type="dxa" w:w="7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Create Repository interfaces and Eloquent implementations for all core modules. Bind in AppServiceProvider. Start with ClientRepositoryInterface and InvoiceRepositoryInterface as the pattern to follow.</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2 days</w:t>
            </w:r>
          </w:p>
        </w:tc>
      </w:tr>
      <w:tr>
        <w:tc>
          <w:tcPr>
            <w:tcW w:type="dxa" w:w="700"/>
            <w:tcBorders>
              <w:top w:val="single" w:color="C5CAD9" w:sz="1"/>
              <w:left w:val="single" w:color="C5CAD9" w:sz="1"/>
              <w:bottom w:val="single" w:color="C5CAD9" w:sz="1"/>
              <w:right w:val="single" w:color="C5CAD9" w:sz="1"/>
            </w:tcBorders>
            <w:shd w:fill="558B2F"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P3</w:t>
            </w:r>
          </w:p>
        </w:tc>
        <w:tc>
          <w:tcPr>
            <w:tcW w:type="dxa" w:w="690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Review all future controller implementations to ensure they delegate immediately to a Service class and contain no business logic. Maximum 10 lines per controller action.</w:t>
            </w:r>
          </w:p>
        </w:tc>
        <w:tc>
          <w:tcPr>
            <w:tcW w:type="dxa" w:w="196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0E1F6E"/>
                <w:sz w:val="18"/>
                <w:szCs w:val="18"/>
              </w:rPr>
              <w:t xml:space="preserve">Ongoing</w:t>
            </w:r>
          </w:p>
        </w:tc>
      </w:tr>
    </w:tbl>
    <w:p>
      <w:pPr>
        <w:spacing w:before="60" w:after="60"/>
      </w:pPr>
      <w:r>
        <w:t xml:space="preserve"/>
      </w:r>
    </w:p>
    <w:p>
      <w:pPr>
        <w:pStyle w:val="Heading1"/>
        <w:spacing w:before="360" w:after="160"/>
      </w:pPr>
      <w:r>
        <w:rPr>
          <w:rFonts w:ascii="Arial" w:cs="Arial" w:eastAsia="Arial" w:hAnsi="Arial"/>
          <w:b/>
          <w:bCs/>
          <w:color w:val="0E1F6E"/>
          <w:sz w:val="30"/>
          <w:szCs w:val="30"/>
        </w:rPr>
        <w:t xml:space="preserve">4. Refactoring Recommendations</w:t>
      </w:r>
    </w:p>
    <w:p>
      <w:pPr>
        <w:pStyle w:val="Heading2"/>
        <w:pBdr>
          <w:bottom w:val="single" w:color="2196F3" w:sz="4" w:space="1"/>
        </w:pBdr>
        <w:spacing w:before="280" w:after="120"/>
      </w:pPr>
      <w:r>
        <w:rPr>
          <w:rFonts w:ascii="Arial" w:cs="Arial" w:eastAsia="Arial" w:hAnsi="Arial"/>
          <w:b/>
          <w:bCs/>
          <w:color w:val="1565C0"/>
          <w:sz w:val="24"/>
          <w:szCs w:val="24"/>
        </w:rPr>
        <w:t xml:space="preserve">4.1  Schema Rebuild Strategy</w:t>
      </w:r>
    </w:p>
    <w:p>
      <w:pPr>
        <w:spacing w:before="60" w:after="80"/>
      </w:pPr>
      <w:r>
        <w:rPr>
          <w:rFonts w:ascii="Arial" w:cs="Arial" w:eastAsia="Arial" w:hAnsi="Arial"/>
          <w:color w:val="1A1A2E"/>
          <w:sz w:val="20"/>
          <w:szCs w:val="20"/>
        </w:rPr>
        <w:t xml:space="preserve">Rather than patching the current DATABASE_SCHEMA.md incrementally, it should be fully replaced. The v2 architecture document already contains the complete entity group specification with column details. The recommended approach:</w:t>
      </w:r>
    </w:p>
    <w:p>
      <w:pPr>
        <w:pStyle w:val="ListParagraph"/>
        <w:numPr>
          <w:ilvl w:val="0"/>
          <w:numId w:val="2"/>
        </w:numPr>
        <w:spacing w:before="40" w:after="40"/>
      </w:pPr>
      <w:r>
        <w:rPr>
          <w:rFonts w:ascii="Arial" w:cs="Arial" w:eastAsia="Arial" w:hAnsi="Arial"/>
          <w:color w:val="1A1A2E"/>
          <w:sz w:val="20"/>
          <w:szCs w:val="20"/>
        </w:rPr>
        <w:t xml:space="preserve">Create a new schema document directly from Section 6 of Hostinvo_System_Architecture_v2.docx.</w:t>
      </w:r>
    </w:p>
    <w:p>
      <w:pPr>
        <w:pStyle w:val="ListParagraph"/>
        <w:numPr>
          <w:ilvl w:val="0"/>
          <w:numId w:val="2"/>
        </w:numPr>
        <w:spacing w:before="40" w:after="40"/>
      </w:pPr>
      <w:r>
        <w:rPr>
          <w:rFonts w:ascii="Arial" w:cs="Arial" w:eastAsia="Arial" w:hAnsi="Arial"/>
          <w:color w:val="1A1A2E"/>
          <w:sz w:val="20"/>
          <w:szCs w:val="20"/>
        </w:rPr>
        <w:t xml:space="preserve">Generate Laravel migrations in strict phase order: Identity and Tenancy tables first, then Clients, then Catalog, then Orders and Billing, then Hosting and Servers, then Domains and Support, then Notification and Automation tables last.</w:t>
      </w:r>
    </w:p>
    <w:p>
      <w:pPr>
        <w:pStyle w:val="ListParagraph"/>
        <w:numPr>
          <w:ilvl w:val="0"/>
          <w:numId w:val="2"/>
        </w:numPr>
        <w:spacing w:before="40" w:after="40"/>
      </w:pPr>
      <w:r>
        <w:rPr>
          <w:rFonts w:ascii="Arial" w:cs="Arial" w:eastAsia="Arial" w:hAnsi="Arial"/>
          <w:color w:val="1A1A2E"/>
          <w:sz w:val="20"/>
          <w:szCs w:val="20"/>
        </w:rPr>
        <w:t xml:space="preserve">Every migration file must include the tenant_id foreign key, appropriate index definitions, and a JSONB column where flexible payload storage is needed.</w:t>
      </w:r>
    </w:p>
    <w:p>
      <w:pPr>
        <w:pStyle w:val="ListParagraph"/>
        <w:numPr>
          <w:ilvl w:val="0"/>
          <w:numId w:val="2"/>
        </w:numPr>
        <w:spacing w:before="40" w:after="40"/>
      </w:pPr>
      <w:r>
        <w:rPr>
          <w:rFonts w:ascii="Arial" w:cs="Arial" w:eastAsia="Arial" w:hAnsi="Arial"/>
          <w:color w:val="1A1A2E"/>
          <w:sz w:val="20"/>
          <w:szCs w:val="20"/>
        </w:rPr>
        <w:t xml:space="preserve">Use a database seeder per module (TenantSeeder, ClientSeeder, ProductSeeder) rather than a single DatabaseSeeder to keep dev data manageable.</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4.2  Provisioning Engine Refactor</w:t>
      </w:r>
    </w:p>
    <w:p>
      <w:pPr>
        <w:spacing w:before="60" w:after="80"/>
      </w:pPr>
      <w:r>
        <w:rPr>
          <w:rFonts w:ascii="Arial" w:cs="Arial" w:eastAsia="Arial" w:hAnsi="Arial"/>
          <w:color w:val="1A1A2E"/>
          <w:sz w:val="20"/>
          <w:szCs w:val="20"/>
        </w:rPr>
        <w:t xml:space="preserve">The current PROVISIONING_ENGINE.md reads as a stub. Before Phase 8 begins, the following structural decisions must be formalized in the documentation and enforced in code:</w:t>
      </w:r>
    </w:p>
    <w:p>
      <w:pPr>
        <w:pStyle w:val="ListParagraph"/>
        <w:numPr>
          <w:ilvl w:val="0"/>
          <w:numId w:val="2"/>
        </w:numPr>
        <w:spacing w:before="40" w:after="40"/>
      </w:pPr>
      <w:r>
        <w:rPr>
          <w:rFonts w:ascii="Arial" w:cs="Arial" w:eastAsia="Arial" w:hAnsi="Arial"/>
          <w:color w:val="1A1A2E"/>
          <w:sz w:val="20"/>
          <w:szCs w:val="20"/>
        </w:rPr>
        <w:t xml:space="preserve">Define ProvisioningDriverInterface in App\Provisioning\Contracts\ with PHP 8.3 typed method signatures and return type declarations.</w:t>
      </w:r>
    </w:p>
    <w:p>
      <w:pPr>
        <w:pStyle w:val="ListParagraph"/>
        <w:numPr>
          <w:ilvl w:val="0"/>
          <w:numId w:val="2"/>
        </w:numPr>
        <w:spacing w:before="40" w:after="40"/>
      </w:pPr>
      <w:r>
        <w:rPr>
          <w:rFonts w:ascii="Arial" w:cs="Arial" w:eastAsia="Arial" w:hAnsi="Arial"/>
          <w:color w:val="1A1A2E"/>
          <w:sz w:val="20"/>
          <w:szCs w:val="20"/>
        </w:rPr>
        <w:t xml:space="preserve">Define ProvisionPayload and ProvisionResult as dedicated DTO classes (readonly class in PHP 8.2+), not plain arrays. This makes driver contracts type-safe and easier to test.</w:t>
      </w:r>
    </w:p>
    <w:p>
      <w:pPr>
        <w:pStyle w:val="ListParagraph"/>
        <w:numPr>
          <w:ilvl w:val="0"/>
          <w:numId w:val="2"/>
        </w:numPr>
        <w:spacing w:before="40" w:after="40"/>
      </w:pPr>
      <w:r>
        <w:rPr>
          <w:rFonts w:ascii="Arial" w:cs="Arial" w:eastAsia="Arial" w:hAnsi="Arial"/>
          <w:color w:val="1A1A2E"/>
          <w:sz w:val="20"/>
          <w:szCs w:val="20"/>
        </w:rPr>
        <w:t xml:space="preserve">ServerSelector must query the servers table filtered by panel_type and product group, ordering by active service count ascending. Never hardcode a server ID anywhere.</w:t>
      </w:r>
    </w:p>
    <w:p>
      <w:pPr>
        <w:pStyle w:val="ListParagraph"/>
        <w:numPr>
          <w:ilvl w:val="0"/>
          <w:numId w:val="2"/>
        </w:numPr>
        <w:spacing w:before="40" w:after="40"/>
      </w:pPr>
      <w:r>
        <w:rPr>
          <w:rFonts w:ascii="Arial" w:cs="Arial" w:eastAsia="Arial" w:hAnsi="Arial"/>
          <w:color w:val="1A1A2E"/>
          <w:sz w:val="20"/>
          <w:szCs w:val="20"/>
        </w:rPr>
        <w:t xml:space="preserve">ProvisionAccountJob must be idempotent: if called twice for the same service_id, it must check current service status before making the API call to prevent duplicate account creation.</w:t>
      </w:r>
    </w:p>
    <w:p>
      <w:pPr>
        <w:pStyle w:val="ListParagraph"/>
        <w:numPr>
          <w:ilvl w:val="0"/>
          <w:numId w:val="2"/>
        </w:numPr>
        <w:spacing w:before="40" w:after="40"/>
      </w:pPr>
      <w:r>
        <w:rPr>
          <w:rFonts w:ascii="Arial" w:cs="Arial" w:eastAsia="Arial" w:hAnsi="Arial"/>
          <w:color w:val="1A1A2E"/>
          <w:sz w:val="20"/>
          <w:szCs w:val="20"/>
        </w:rPr>
        <w:t xml:space="preserve">ProvisioningLogger must write a record before the API call (with status: pending) and update it after (with status: success or failed and the raw API response in a JSONB column).</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4.3  Layered Architecture Enforcement</w:t>
      </w:r>
    </w:p>
    <w:p>
      <w:pPr>
        <w:spacing w:before="60" w:after="80"/>
      </w:pPr>
      <w:r>
        <w:rPr>
          <w:rFonts w:ascii="Arial" w:cs="Arial" w:eastAsia="Arial" w:hAnsi="Arial"/>
          <w:color w:val="1A1A2E"/>
          <w:sz w:val="20"/>
          <w:szCs w:val="20"/>
        </w:rPr>
        <w:t xml:space="preserve">The architecture mandates a strict separation of concerns that must be enforced from the first controller written. Suggested enforcement mechanisms:</w:t>
      </w:r>
    </w:p>
    <w:p>
      <w:pPr>
        <w:pStyle w:val="ListParagraph"/>
        <w:numPr>
          <w:ilvl w:val="0"/>
          <w:numId w:val="2"/>
        </w:numPr>
        <w:spacing w:before="40" w:after="40"/>
      </w:pPr>
      <w:r>
        <w:rPr>
          <w:rFonts w:ascii="Arial" w:cs="Arial" w:eastAsia="Arial" w:hAnsi="Arial"/>
          <w:color w:val="1A1A2E"/>
          <w:sz w:val="20"/>
          <w:szCs w:val="20"/>
        </w:rPr>
        <w:t xml:space="preserve">Add a PHPStan or Laravel Pint rule that flags any Eloquent query inside a Controller class. Controllers must only instantiate Form Requests and call a single Service method.</w:t>
      </w:r>
    </w:p>
    <w:p>
      <w:pPr>
        <w:pStyle w:val="ListParagraph"/>
        <w:numPr>
          <w:ilvl w:val="0"/>
          <w:numId w:val="2"/>
        </w:numPr>
        <w:spacing w:before="40" w:after="40"/>
      </w:pPr>
      <w:r>
        <w:rPr>
          <w:rFonts w:ascii="Arial" w:cs="Arial" w:eastAsia="Arial" w:hAnsi="Arial"/>
          <w:color w:val="1A1A2E"/>
          <w:sz w:val="20"/>
          <w:szCs w:val="20"/>
        </w:rPr>
        <w:t xml:space="preserve">All Service classes must be injected through the constructor (not instantiated with new inside controllers). Use Laravel's automatic dependency injection.</w:t>
      </w:r>
    </w:p>
    <w:p>
      <w:pPr>
        <w:pStyle w:val="ListParagraph"/>
        <w:numPr>
          <w:ilvl w:val="0"/>
          <w:numId w:val="2"/>
        </w:numPr>
        <w:spacing w:before="40" w:after="40"/>
      </w:pPr>
      <w:r>
        <w:rPr>
          <w:rFonts w:ascii="Arial" w:cs="Arial" w:eastAsia="Arial" w:hAnsi="Arial"/>
          <w:color w:val="1A1A2E"/>
          <w:sz w:val="20"/>
          <w:szCs w:val="20"/>
        </w:rPr>
        <w:t xml:space="preserve">All cross-module communication must go through Laravel Events. For example: when BillingService determines a service should be suspended, it must fire a ServiceOverdueEvent — not call ProvisioningService directly.</w:t>
      </w:r>
    </w:p>
    <w:p>
      <w:pPr>
        <w:pStyle w:val="ListParagraph"/>
        <w:numPr>
          <w:ilvl w:val="0"/>
          <w:numId w:val="2"/>
        </w:numPr>
        <w:spacing w:before="40" w:after="40"/>
      </w:pPr>
      <w:r>
        <w:rPr>
          <w:rFonts w:ascii="Arial" w:cs="Arial" w:eastAsia="Arial" w:hAnsi="Arial"/>
          <w:color w:val="1A1A2E"/>
          <w:sz w:val="20"/>
          <w:szCs w:val="20"/>
        </w:rPr>
        <w:t xml:space="preserve">Create a base TenantAwareRepository abstract class that all repository implementations extend. It must apply the tenant_id scope on all find, list, and paginate methods automatically.</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4.4  Security Hardening Before First Release</w:t>
      </w:r>
    </w:p>
    <w:p>
      <w:pPr>
        <w:spacing w:before="60" w:after="80"/>
      </w:pPr>
      <w:r>
        <w:rPr>
          <w:rFonts w:ascii="Arial" w:cs="Arial" w:eastAsia="Arial" w:hAnsi="Arial"/>
          <w:color w:val="1A1A2E"/>
          <w:sz w:val="20"/>
          <w:szCs w:val="20"/>
        </w:rPr>
        <w:t xml:space="preserve">Several security controls must be built into the foundation — they cannot be retrofitted easily after modules are built:</w:t>
      </w:r>
    </w:p>
    <w:p>
      <w:pPr>
        <w:pStyle w:val="ListParagraph"/>
        <w:numPr>
          <w:ilvl w:val="0"/>
          <w:numId w:val="2"/>
        </w:numPr>
        <w:spacing w:before="40" w:after="40"/>
      </w:pPr>
      <w:r>
        <w:rPr>
          <w:rFonts w:ascii="Arial" w:cs="Arial" w:eastAsia="Arial" w:hAnsi="Arial"/>
          <w:color w:val="1A1A2E"/>
          <w:sz w:val="20"/>
          <w:szCs w:val="20"/>
        </w:rPr>
        <w:t xml:space="preserve">Implement the audit_logs write on every admin action using a Laravel Observer or a dedicated AuditService called from all Service classes. The audit trail must capture the before and after state as JSONB.</w:t>
      </w:r>
    </w:p>
    <w:p>
      <w:pPr>
        <w:pStyle w:val="ListParagraph"/>
        <w:numPr>
          <w:ilvl w:val="0"/>
          <w:numId w:val="2"/>
        </w:numPr>
        <w:spacing w:before="40" w:after="40"/>
      </w:pPr>
      <w:r>
        <w:rPr>
          <w:rFonts w:ascii="Arial" w:cs="Arial" w:eastAsia="Arial" w:hAnsi="Arial"/>
          <w:color w:val="1A1A2E"/>
          <w:sz w:val="20"/>
          <w:szCs w:val="20"/>
        </w:rPr>
        <w:t xml:space="preserve">Stripe webhook verification must use Stripe\Webhook::constructEvent() with the STRIPE_WEBHOOK_SECRET. Reject any webhook that fails signature verification with a 403 before processing.</w:t>
      </w:r>
    </w:p>
    <w:p>
      <w:pPr>
        <w:pStyle w:val="ListParagraph"/>
        <w:numPr>
          <w:ilvl w:val="0"/>
          <w:numId w:val="2"/>
        </w:numPr>
        <w:spacing w:before="40" w:after="40"/>
      </w:pPr>
      <w:r>
        <w:rPr>
          <w:rFonts w:ascii="Arial" w:cs="Arial" w:eastAsia="Arial" w:hAnsi="Arial"/>
          <w:color w:val="1A1A2E"/>
          <w:sz w:val="20"/>
          <w:szCs w:val="20"/>
        </w:rPr>
        <w:t xml:space="preserve">PayPal IPN verification must POST the received data back to PayPal's verification endpoint and only proceed if the response is VERIFIED. This must happen synchronously before dispatching any job.</w:t>
      </w:r>
    </w:p>
    <w:p>
      <w:pPr>
        <w:pStyle w:val="ListParagraph"/>
        <w:numPr>
          <w:ilvl w:val="0"/>
          <w:numId w:val="2"/>
        </w:numPr>
        <w:spacing w:before="40" w:after="40"/>
      </w:pPr>
      <w:r>
        <w:rPr>
          <w:rFonts w:ascii="Arial" w:cs="Arial" w:eastAsia="Arial" w:hAnsi="Arial"/>
          <w:color w:val="1A1A2E"/>
          <w:sz w:val="20"/>
          <w:szCs w:val="20"/>
        </w:rPr>
        <w:t xml:space="preserve">Apply Content-Security-Policy headers via a Laravel middleware on all API responses. At minimum: default-src 'self', no inline scripts, no eval.</w:t>
      </w:r>
    </w:p>
    <w:p>
      <w:pPr>
        <w:pStyle w:val="ListParagraph"/>
        <w:numPr>
          <w:ilvl w:val="0"/>
          <w:numId w:val="2"/>
        </w:numPr>
        <w:spacing w:before="40" w:after="40"/>
      </w:pPr>
      <w:r>
        <w:rPr>
          <w:rFonts w:ascii="Arial" w:cs="Arial" w:eastAsia="Arial" w:hAnsi="Arial"/>
          <w:color w:val="1A1A2E"/>
          <w:sz w:val="20"/>
          <w:szCs w:val="20"/>
        </w:rPr>
        <w:t xml:space="preserve">WHM API tokens must be scoped to the minimum required privileges: account creation, suspension, unsuspension, termination, package management only. Document the required WHM ACL list in the provisioning driver's README.</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4.5  Localization-First Development</w:t>
      </w:r>
    </w:p>
    <w:p>
      <w:pPr>
        <w:spacing w:before="60" w:after="80"/>
      </w:pPr>
      <w:r>
        <w:rPr>
          <w:rFonts w:ascii="Arial" w:cs="Arial" w:eastAsia="Arial" w:hAnsi="Arial"/>
          <w:color w:val="1A1A2E"/>
          <w:sz w:val="20"/>
          <w:szCs w:val="20"/>
        </w:rPr>
        <w:t xml:space="preserve">Localization is listed as Phase 15 in the roadmap, but RTL and translation readiness cannot be retrofitted into a completed frontend. The following must be true from the first UI component written:</w:t>
      </w:r>
    </w:p>
    <w:p>
      <w:pPr>
        <w:pStyle w:val="ListParagraph"/>
        <w:numPr>
          <w:ilvl w:val="0"/>
          <w:numId w:val="2"/>
        </w:numPr>
        <w:spacing w:before="40" w:after="40"/>
      </w:pPr>
      <w:r>
        <w:rPr>
          <w:rFonts w:ascii="Arial" w:cs="Arial" w:eastAsia="Arial" w:hAnsi="Arial"/>
          <w:color w:val="1A1A2E"/>
          <w:sz w:val="20"/>
          <w:szCs w:val="20"/>
        </w:rPr>
        <w:t xml:space="preserve">Every Next.js component must use useTranslations() for all user-visible strings. No hardcoded English text anywhere in JSX.</w:t>
      </w:r>
    </w:p>
    <w:p>
      <w:pPr>
        <w:pStyle w:val="ListParagraph"/>
        <w:numPr>
          <w:ilvl w:val="0"/>
          <w:numId w:val="2"/>
        </w:numPr>
        <w:spacing w:before="40" w:after="40"/>
      </w:pPr>
      <w:r>
        <w:rPr>
          <w:rFonts w:ascii="Arial" w:cs="Arial" w:eastAsia="Arial" w:hAnsi="Arial"/>
          <w:color w:val="1A1A2E"/>
          <w:sz w:val="20"/>
          <w:szCs w:val="20"/>
        </w:rPr>
        <w:t xml:space="preserve">All Tailwind spacing, padding, margin, and positioning must use logical CSS properties: ms-, me-, ps-, pe-, start-, end-. Never ml-, mr-, pl-, pr-, left-, right-.</w:t>
      </w:r>
    </w:p>
    <w:p>
      <w:pPr>
        <w:pStyle w:val="ListParagraph"/>
        <w:numPr>
          <w:ilvl w:val="0"/>
          <w:numId w:val="2"/>
        </w:numPr>
        <w:spacing w:before="40" w:after="40"/>
      </w:pPr>
      <w:r>
        <w:rPr>
          <w:rFonts w:ascii="Arial" w:cs="Arial" w:eastAsia="Arial" w:hAnsi="Arial"/>
          <w:color w:val="1A1A2E"/>
          <w:sz w:val="20"/>
          <w:szCs w:val="20"/>
        </w:rPr>
        <w:t xml:space="preserve">The Next.js root layout must set lang and dir on the &lt;html&gt; element based on the active locale from next-intl.</w:t>
      </w:r>
    </w:p>
    <w:p>
      <w:pPr>
        <w:pStyle w:val="ListParagraph"/>
        <w:numPr>
          <w:ilvl w:val="0"/>
          <w:numId w:val="2"/>
        </w:numPr>
        <w:spacing w:before="40" w:after="40"/>
      </w:pPr>
      <w:r>
        <w:rPr>
          <w:rFonts w:ascii="Arial" w:cs="Arial" w:eastAsia="Arial" w:hAnsi="Arial"/>
          <w:color w:val="1A1A2E"/>
          <w:sz w:val="20"/>
          <w:szCs w:val="20"/>
        </w:rPr>
        <w:t xml:space="preserve">Create the messages/en.json and messages/ar.json files with the full key structure before building the first page, even if Arabic values are placeholder strings initially.</w:t>
      </w:r>
    </w:p>
    <w:p>
      <w:pPr>
        <w:pStyle w:val="ListParagraph"/>
        <w:numPr>
          <w:ilvl w:val="0"/>
          <w:numId w:val="2"/>
        </w:numPr>
        <w:spacing w:before="40" w:after="40"/>
      </w:pPr>
      <w:r>
        <w:rPr>
          <w:rFonts w:ascii="Arial" w:cs="Arial" w:eastAsia="Arial" w:hAnsi="Arial"/>
          <w:color w:val="1A1A2E"/>
          <w:sz w:val="20"/>
          <w:szCs w:val="20"/>
        </w:rPr>
        <w:t xml:space="preserve">Currency display must use Intl.NumberFormat with the locale and currency code — never string concatenation of symbol + amount.</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4.6  Frontend State Management</w:t>
      </w:r>
    </w:p>
    <w:p>
      <w:pPr>
        <w:spacing w:before="60" w:after="80"/>
      </w:pPr>
      <w:r>
        <w:rPr>
          <w:rFonts w:ascii="Arial" w:cs="Arial" w:eastAsia="Arial" w:hAnsi="Arial"/>
          <w:color w:val="1A1A2E"/>
          <w:sz w:val="20"/>
          <w:szCs w:val="20"/>
        </w:rPr>
        <w:t xml:space="preserve">The Next.js frontend requires four global Zustand stores established before any page is built:</w:t>
      </w:r>
    </w:p>
    <w:p>
      <w:pPr>
        <w:pStyle w:val="ListParagraph"/>
        <w:numPr>
          <w:ilvl w:val="0"/>
          <w:numId w:val="2"/>
        </w:numPr>
        <w:spacing w:before="40" w:after="40"/>
      </w:pPr>
      <w:r>
        <w:rPr>
          <w:rFonts w:ascii="Arial" w:cs="Arial" w:eastAsia="Arial" w:hAnsi="Arial"/>
          <w:color w:val="1A1A2E"/>
          <w:sz w:val="20"/>
          <w:szCs w:val="20"/>
        </w:rPr>
        <w:t xml:space="preserve">authStore: current user, token status, login/logout actions.</w:t>
      </w:r>
    </w:p>
    <w:p>
      <w:pPr>
        <w:pStyle w:val="ListParagraph"/>
        <w:numPr>
          <w:ilvl w:val="0"/>
          <w:numId w:val="2"/>
        </w:numPr>
        <w:spacing w:before="40" w:after="40"/>
      </w:pPr>
      <w:r>
        <w:rPr>
          <w:rFonts w:ascii="Arial" w:cs="Arial" w:eastAsia="Arial" w:hAnsi="Arial"/>
          <w:color w:val="1A1A2E"/>
          <w:sz w:val="20"/>
          <w:szCs w:val="20"/>
        </w:rPr>
        <w:t xml:space="preserve">tenantStore: tenant settings, currency, language preference, branding config.</w:t>
      </w:r>
    </w:p>
    <w:p>
      <w:pPr>
        <w:pStyle w:val="ListParagraph"/>
        <w:numPr>
          <w:ilvl w:val="0"/>
          <w:numId w:val="2"/>
        </w:numPr>
        <w:spacing w:before="40" w:after="40"/>
      </w:pPr>
      <w:r>
        <w:rPr>
          <w:rFonts w:ascii="Arial" w:cs="Arial" w:eastAsia="Arial" w:hAnsi="Arial"/>
          <w:color w:val="1A1A2E"/>
          <w:sz w:val="20"/>
          <w:szCs w:val="20"/>
        </w:rPr>
        <w:t xml:space="preserve">localeStore: active locale (en/ar), toggle action that also updates the dir attribute and next-intl locale.</w:t>
      </w:r>
    </w:p>
    <w:p>
      <w:pPr>
        <w:pStyle w:val="ListParagraph"/>
        <w:numPr>
          <w:ilvl w:val="0"/>
          <w:numId w:val="2"/>
        </w:numPr>
        <w:spacing w:before="40" w:after="40"/>
      </w:pPr>
      <w:r>
        <w:rPr>
          <w:rFonts w:ascii="Arial" w:cs="Arial" w:eastAsia="Arial" w:hAnsi="Arial"/>
          <w:color w:val="1A1A2E"/>
          <w:sz w:val="20"/>
          <w:szCs w:val="20"/>
        </w:rPr>
        <w:t xml:space="preserve">notificationStore: in-app notification queue, unread count, mark-read actions.</w:t>
      </w:r>
    </w:p>
    <w:p>
      <w:pPr>
        <w:spacing w:before="60" w:after="80"/>
      </w:pPr>
      <w:r>
        <w:rPr>
          <w:rFonts w:ascii="Arial" w:cs="Arial" w:eastAsia="Arial" w:hAnsi="Arial"/>
          <w:color w:val="1A1A2E"/>
          <w:sz w:val="20"/>
          <w:szCs w:val="20"/>
        </w:rPr>
        <w:t xml:space="preserve">All API calls must go through a single configured Axios instance (lib/api.ts) with: baseURL set to /api/v1/, withCredentials: true for Sanctum cookie auth, a CSRF request interceptor, and a global 401 response interceptor that triggers authStore logout.</w:t>
      </w:r>
    </w:p>
    <w:p>
      <w:pPr>
        <w:spacing w:before="60" w:after="60"/>
      </w:pPr>
      <w:r>
        <w:t xml:space="preserve"/>
      </w:r>
    </w:p>
    <w:p>
      <w:pPr>
        <w:pStyle w:val="Heading1"/>
        <w:spacing w:before="360" w:after="160"/>
      </w:pPr>
      <w:r>
        <w:rPr>
          <w:rFonts w:ascii="Arial" w:cs="Arial" w:eastAsia="Arial" w:hAnsi="Arial"/>
          <w:b/>
          <w:bCs/>
          <w:color w:val="0E1F6E"/>
          <w:sz w:val="30"/>
          <w:szCs w:val="30"/>
        </w:rPr>
        <w:t xml:space="preserve">5. Schema Risks</w:t>
      </w:r>
    </w:p>
    <w:p>
      <w:pPr>
        <w:pStyle w:val="Heading2"/>
        <w:pBdr>
          <w:bottom w:val="single" w:color="2196F3" w:sz="4" w:space="1"/>
        </w:pBdr>
        <w:spacing w:before="280" w:after="120"/>
      </w:pPr>
      <w:r>
        <w:rPr>
          <w:rFonts w:ascii="Arial" w:cs="Arial" w:eastAsia="Arial" w:hAnsi="Arial"/>
          <w:b/>
          <w:bCs/>
          <w:color w:val="1565C0"/>
          <w:sz w:val="24"/>
          <w:szCs w:val="24"/>
        </w:rPr>
        <w:t xml:space="preserve">5.1  Risk: No Tenant Isolation = Data Leakage</w:t>
      </w:r>
    </w:p>
    <w:p>
      <w:pPr>
        <w:spacing w:before="60" w:after="80"/>
      </w:pPr>
      <w:r>
        <w:rPr>
          <w:rFonts w:ascii="Arial" w:cs="Arial" w:eastAsia="Arial" w:hAnsi="Arial"/>
          <w:b/>
          <w:bCs/>
          <w:color w:val="C62828"/>
          <w:sz w:val="20"/>
          <w:szCs w:val="20"/>
        </w:rPr>
        <w:t xml:space="preserve">Risk Level: CRITICAL</w:t>
      </w:r>
    </w:p>
    <w:p>
      <w:pPr>
        <w:spacing w:before="60" w:after="80"/>
      </w:pPr>
      <w:r>
        <w:rPr>
          <w:rFonts w:ascii="Arial" w:cs="Arial" w:eastAsia="Arial" w:hAnsi="Arial"/>
          <w:color w:val="1A1A2E"/>
          <w:sz w:val="20"/>
          <w:szCs w:val="20"/>
        </w:rPr>
        <w:t xml:space="preserve">Every table in the current schema is missing tenant_id. In a shared-database multi-tenant model, this means a query like Client::all() will return clients belonging to all tenants. Without a global TenantScope Eloquent scope applied to every model, any bug, missing where clause, or junior developer mistake will expose cross-tenant data. This is not a future refactor risk — it will happen on the first query made by any controller that forgets to add a where clause.</w:t>
      </w:r>
    </w:p>
    <w:p>
      <w:pPr>
        <w:spacing w:before="60" w:after="80"/>
      </w:pPr>
      <w:r>
        <w:rPr>
          <w:rFonts w:ascii="Arial" w:cs="Arial" w:eastAsia="Arial" w:hAnsi="Arial"/>
          <w:color w:val="1A1A2E"/>
          <w:sz w:val="20"/>
          <w:szCs w:val="20"/>
        </w:rPr>
        <w:t xml:space="preserve">Fix: Add tenant_id to every migration before generating any code. Apply TenantScope as a global scope in every model's booted() method.</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5.2  Risk: Floating-Point Money = Billing Errors</w:t>
      </w:r>
    </w:p>
    <w:p>
      <w:pPr>
        <w:spacing w:before="60" w:after="80"/>
      </w:pPr>
      <w:r>
        <w:rPr>
          <w:rFonts w:ascii="Arial" w:cs="Arial" w:eastAsia="Arial" w:hAnsi="Arial"/>
          <w:b/>
          <w:bCs/>
          <w:color w:val="C62828"/>
          <w:sz w:val="20"/>
          <w:szCs w:val="20"/>
        </w:rPr>
        <w:t xml:space="preserve">Risk Level: CRITICAL</w:t>
      </w:r>
    </w:p>
    <w:p>
      <w:pPr>
        <w:spacing w:before="60" w:after="80"/>
      </w:pPr>
      <w:r>
        <w:rPr>
          <w:rFonts w:ascii="Arial" w:cs="Arial" w:eastAsia="Arial" w:hAnsi="Arial"/>
          <w:color w:val="1A1A2E"/>
          <w:sz w:val="20"/>
          <w:szCs w:val="20"/>
        </w:rPr>
        <w:t xml:space="preserve">Storing monetary values as DECIMAL or FLOAT introduces IEEE 754 floating-point rounding errors. For example, 0.1 + 0.2 in floating-point arithmetic does not equal 0.3. In a billing system, these errors accumulate across invoice line items, tax calculations, and payment reconciliation. Even a single halalah or cent of discrepancy per invoice compounds into significant financial reporting errors at scale.</w:t>
      </w:r>
    </w:p>
    <w:p>
      <w:pPr>
        <w:spacing w:before="60" w:after="80"/>
      </w:pPr>
      <w:r>
        <w:rPr>
          <w:rFonts w:ascii="Arial" w:cs="Arial" w:eastAsia="Arial" w:hAnsi="Arial"/>
          <w:color w:val="1A1A2E"/>
          <w:sz w:val="20"/>
          <w:szCs w:val="20"/>
        </w:rPr>
        <w:t xml:space="preserve">Fix: Store all monetary values as INTEGER in the smallest currency unit. Add a PHP Money value object or a custom Eloquent cast that converts to/from the display format. Document the currency unit in every migration comment.</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5.3  Risk: Integer PKs = Enumeration Attack</w:t>
      </w:r>
    </w:p>
    <w:p>
      <w:pPr>
        <w:spacing w:before="60" w:after="80"/>
      </w:pPr>
      <w:r>
        <w:rPr>
          <w:rFonts w:ascii="Arial" w:cs="Arial" w:eastAsia="Arial" w:hAnsi="Arial"/>
          <w:b/>
          <w:bCs/>
          <w:color w:val="E65100"/>
          <w:sz w:val="20"/>
          <w:szCs w:val="20"/>
        </w:rPr>
        <w:t xml:space="preserve">Risk Level: HIGH</w:t>
      </w:r>
    </w:p>
    <w:p>
      <w:pPr>
        <w:spacing w:before="60" w:after="80"/>
      </w:pPr>
      <w:r>
        <w:rPr>
          <w:rFonts w:ascii="Arial" w:cs="Arial" w:eastAsia="Arial" w:hAnsi="Arial"/>
          <w:color w:val="1A1A2E"/>
          <w:sz w:val="20"/>
          <w:szCs w:val="20"/>
        </w:rPr>
        <w:t xml:space="preserve">Auto-increment integer primary keys on public-facing entities (clients, invoices, services) allow attackers to enumerate records by incrementing the ID in API requests. For example, if /api/v1/invoices/1042 is valid, an attacker can try 1041, 1043, etc. even if authorization checks are in place — they learn the total record count and can probe for authorization bypass bugs.</w:t>
      </w:r>
    </w:p>
    <w:p>
      <w:pPr>
        <w:spacing w:before="60" w:after="80"/>
      </w:pPr>
      <w:r>
        <w:rPr>
          <w:rFonts w:ascii="Arial" w:cs="Arial" w:eastAsia="Arial" w:hAnsi="Arial"/>
          <w:color w:val="1A1A2E"/>
          <w:sz w:val="20"/>
          <w:szCs w:val="20"/>
        </w:rPr>
        <w:t xml:space="preserve">Fix: Use UUID v4 (or ULID for sortability) primary keys on all public-facing entities. Use BIGSERIAL only for internal lookup tables (roles, permissions, server_groups) that are never exposed in API responses or URLs.</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5.4  Risk: Missing Subscriptions Table = No Recurring Billing</w:t>
      </w:r>
    </w:p>
    <w:p>
      <w:pPr>
        <w:spacing w:before="60" w:after="80"/>
      </w:pPr>
      <w:r>
        <w:rPr>
          <w:rFonts w:ascii="Arial" w:cs="Arial" w:eastAsia="Arial" w:hAnsi="Arial"/>
          <w:b/>
          <w:bCs/>
          <w:color w:val="E65100"/>
          <w:sz w:val="20"/>
          <w:szCs w:val="20"/>
        </w:rPr>
        <w:t xml:space="preserve">Risk Level: HIGH</w:t>
      </w:r>
    </w:p>
    <w:p>
      <w:pPr>
        <w:spacing w:before="60" w:after="80"/>
      </w:pPr>
      <w:r>
        <w:rPr>
          <w:rFonts w:ascii="Arial" w:cs="Arial" w:eastAsia="Arial" w:hAnsi="Arial"/>
          <w:color w:val="1A1A2E"/>
          <w:sz w:val="20"/>
          <w:szCs w:val="20"/>
        </w:rPr>
        <w:t xml:space="preserve">The subscriptions table is absent from the current schema. Without it, there is no way to track: the next billing date, the billing cycle, the grace period, whether auto-renewal is enabled, or which invoice a subscription generated. The GenerateRecurringInvoices scheduled task cannot function without this table.</w:t>
      </w:r>
    </w:p>
    <w:p>
      <w:pPr>
        <w:spacing w:before="60" w:after="80"/>
      </w:pPr>
      <w:r>
        <w:rPr>
          <w:rFonts w:ascii="Arial" w:cs="Arial" w:eastAsia="Arial" w:hAnsi="Arial"/>
          <w:color w:val="1A1A2E"/>
          <w:sz w:val="20"/>
          <w:szCs w:val="20"/>
        </w:rPr>
        <w:t xml:space="preserve">Fix: Add the subscriptions table with columns: id (UUID), tenant_id, client_id, service_id, product_id, status, billing_cycle, next_billing_date, grace_period_days, auto_renew (boolean), created_at, updated_at, deleted_at.</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5.5  Risk: Missing service_credentials Table = Insecure Credential Storage</w:t>
      </w:r>
    </w:p>
    <w:p>
      <w:pPr>
        <w:spacing w:before="60" w:after="80"/>
      </w:pPr>
      <w:r>
        <w:rPr>
          <w:rFonts w:ascii="Arial" w:cs="Arial" w:eastAsia="Arial" w:hAnsi="Arial"/>
          <w:b/>
          <w:bCs/>
          <w:color w:val="E65100"/>
          <w:sz w:val="20"/>
          <w:szCs w:val="20"/>
        </w:rPr>
        <w:t xml:space="preserve">Risk Level: HIGH</w:t>
      </w:r>
    </w:p>
    <w:p>
      <w:pPr>
        <w:spacing w:before="60" w:after="80"/>
      </w:pPr>
      <w:r>
        <w:rPr>
          <w:rFonts w:ascii="Arial" w:cs="Arial" w:eastAsia="Arial" w:hAnsi="Arial"/>
          <w:color w:val="1A1A2E"/>
          <w:sz w:val="20"/>
          <w:szCs w:val="20"/>
        </w:rPr>
        <w:t xml:space="preserve">Hosting account credentials (cPanel username, password, FTP password) must be stored in a dedicated service_credentials table with all sensitive values encrypted using Laravel Crypt, not stored as plain columns on the services table. The current schema has no such table. Storing credentials directly on the services table increases the blast radius of any SQL injection or unauthorized DB access.</w:t>
      </w:r>
    </w:p>
    <w:p>
      <w:pPr>
        <w:spacing w:before="60" w:after="80"/>
      </w:pPr>
      <w:r>
        <w:rPr>
          <w:rFonts w:ascii="Arial" w:cs="Arial" w:eastAsia="Arial" w:hAnsi="Arial"/>
          <w:color w:val="1A1A2E"/>
          <w:sz w:val="20"/>
          <w:szCs w:val="20"/>
        </w:rPr>
        <w:t xml:space="preserve">Fix: Create service_credentials with: id, service_id (UUID FK), key (e.g. cpanel_password, ftp_password), value (TEXT, encrypted via Crypt::encrypt before insert, Crypt::decrypt on retrieval). Never log these values.</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5.6  Risk: No Audit Trail = Compliance and Forensic Failure</w:t>
      </w:r>
    </w:p>
    <w:p>
      <w:pPr>
        <w:spacing w:before="60" w:after="80"/>
      </w:pPr>
      <w:r>
        <w:rPr>
          <w:rFonts w:ascii="Arial" w:cs="Arial" w:eastAsia="Arial" w:hAnsi="Arial"/>
          <w:b/>
          <w:bCs/>
          <w:color w:val="E65100"/>
          <w:sz w:val="20"/>
          <w:szCs w:val="20"/>
        </w:rPr>
        <w:t xml:space="preserve">Risk Level: HIGH</w:t>
      </w:r>
    </w:p>
    <w:p>
      <w:pPr>
        <w:spacing w:before="60" w:after="80"/>
      </w:pPr>
      <w:r>
        <w:rPr>
          <w:rFonts w:ascii="Arial" w:cs="Arial" w:eastAsia="Arial" w:hAnsi="Arial"/>
          <w:color w:val="1A1A2E"/>
          <w:sz w:val="20"/>
          <w:szCs w:val="20"/>
        </w:rPr>
        <w:t xml:space="preserve">The audit_logs table is absent. Without it, there is no way to answer: who suspended this account and when? what changed on this invoice? which admin deleted this client? For a SaaS billing platform handling financial data, this is both a compliance risk and a support liability. When a dispute arises between a tenant and their client, there must be a reliable audit trail.</w:t>
      </w:r>
    </w:p>
    <w:p>
      <w:pPr>
        <w:spacing w:before="60" w:after="80"/>
      </w:pPr>
      <w:r>
        <w:rPr>
          <w:rFonts w:ascii="Arial" w:cs="Arial" w:eastAsia="Arial" w:hAnsi="Arial"/>
          <w:color w:val="1A1A2E"/>
          <w:sz w:val="20"/>
          <w:szCs w:val="20"/>
        </w:rPr>
        <w:t xml:space="preserve">Fix: Create audit_logs with: id (BIGSERIAL), tenant_id (UUID), user_id (UUID), ip_address (INET), action (VARCHAR), model_type (VARCHAR), model_id (UUID), before (JSONB), after (JSONB), created_at (TIMESTAMPTZ). This table should never be soft-deleted.</w:t>
      </w:r>
    </w:p>
    <w:p>
      <w:pPr>
        <w:spacing w:before="60" w:after="60"/>
      </w:pPr>
      <w:r>
        <w:t xml:space="preserve"/>
      </w:r>
    </w:p>
    <w:p>
      <w:pPr>
        <w:pStyle w:val="Heading2"/>
        <w:pBdr>
          <w:bottom w:val="single" w:color="2196F3" w:sz="4" w:space="1"/>
        </w:pBdr>
        <w:spacing w:before="280" w:after="120"/>
      </w:pPr>
      <w:r>
        <w:rPr>
          <w:rFonts w:ascii="Arial" w:cs="Arial" w:eastAsia="Arial" w:hAnsi="Arial"/>
          <w:b/>
          <w:bCs/>
          <w:color w:val="1565C0"/>
          <w:sz w:val="24"/>
          <w:szCs w:val="24"/>
        </w:rPr>
        <w:t xml:space="preserve">5.7  Risk: webhook_logs Absence = No Payment Debugging</w:t>
      </w:r>
    </w:p>
    <w:p>
      <w:pPr>
        <w:spacing w:before="60" w:after="80"/>
      </w:pPr>
      <w:r>
        <w:rPr>
          <w:rFonts w:ascii="Arial" w:cs="Arial" w:eastAsia="Arial" w:hAnsi="Arial"/>
          <w:b/>
          <w:bCs/>
          <w:color w:val="1565C0"/>
          <w:sz w:val="20"/>
          <w:szCs w:val="20"/>
        </w:rPr>
        <w:t xml:space="preserve">Risk Level: MEDIUM</w:t>
      </w:r>
    </w:p>
    <w:p>
      <w:pPr>
        <w:spacing w:before="60" w:after="80"/>
      </w:pPr>
      <w:r>
        <w:rPr>
          <w:rFonts w:ascii="Arial" w:cs="Arial" w:eastAsia="Arial" w:hAnsi="Arial"/>
          <w:color w:val="1A1A2E"/>
          <w:sz w:val="20"/>
          <w:szCs w:val="20"/>
        </w:rPr>
        <w:t xml:space="preserve">Without a webhook_logs table, failed payment webhooks from Stripe or PayPal are invisible. When a payment fails silently (webhook received but not processed), there is no record of the raw payload, the failure reason, or the timestamp. This makes billing disputes impossible to resolve and Stripe/PayPal integration bugs impossible to diagnose.</w:t>
      </w:r>
    </w:p>
    <w:p>
      <w:pPr>
        <w:spacing w:before="60" w:after="80"/>
      </w:pPr>
      <w:r>
        <w:rPr>
          <w:rFonts w:ascii="Arial" w:cs="Arial" w:eastAsia="Arial" w:hAnsi="Arial"/>
          <w:color w:val="1A1A2E"/>
          <w:sz w:val="20"/>
          <w:szCs w:val="20"/>
        </w:rPr>
        <w:t xml:space="preserve">Fix: Create webhook_logs with: id, tenant_id, gateway (stripe/paypal), event_type, payload (JSONB), status (received/processed/failed), error_message, created_at. Write a record on every incoming webhook regardless of outcome.</w:t>
      </w:r>
    </w:p>
    <w:p>
      <w:pPr>
        <w:spacing w:before="60" w:after="60"/>
      </w:pPr>
      <w:r>
        <w:t xml:space="preserve"/>
      </w:r>
    </w:p>
    <w:p>
      <w:pPr>
        <w:pStyle w:val="Heading1"/>
        <w:spacing w:before="360" w:after="160"/>
      </w:pPr>
      <w:r>
        <w:rPr>
          <w:rFonts w:ascii="Arial" w:cs="Arial" w:eastAsia="Arial" w:hAnsi="Arial"/>
          <w:b/>
          <w:bCs/>
          <w:color w:val="0E1F6E"/>
          <w:sz w:val="30"/>
          <w:szCs w:val="30"/>
        </w:rPr>
        <w:t xml:space="preserve">6. Pre-Code Checklist</w:t>
      </w:r>
    </w:p>
    <w:p>
      <w:pPr>
        <w:spacing w:before="60" w:after="80"/>
      </w:pPr>
      <w:r>
        <w:rPr>
          <w:rFonts w:ascii="Arial" w:cs="Arial" w:eastAsia="Arial" w:hAnsi="Arial"/>
          <w:color w:val="1A1A2E"/>
          <w:sz w:val="20"/>
          <w:szCs w:val="20"/>
        </w:rPr>
        <w:t xml:space="preserve">Before generating any Laravel controller, migration, or Next.js component, verify the following:</w:t>
      </w:r>
    </w:p>
    <w:p>
      <w:pPr>
        <w:spacing w:before="60" w:after="60"/>
      </w:pPr>
      <w: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700"/>
        <w:gridCol w:w="8860"/>
      </w:tblGrid>
      <w:tr>
        <w:trPr>
          <w:tblHeader/>
        </w:trPr>
        <w:tc>
          <w:tcPr>
            <w:tcW w:type="dxa" w:w="70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w:t>
            </w:r>
          </w:p>
        </w:tc>
        <w:tc>
          <w:tcPr>
            <w:tcW w:type="dxa" w:w="8860"/>
            <w:tcBorders>
              <w:top w:val="single" w:color="1565C0" w:sz="1"/>
              <w:left w:val="single" w:color="1565C0" w:sz="1"/>
              <w:bottom w:val="single" w:color="1565C0" w:sz="1"/>
              <w:right w:val="single" w:color="1565C0" w:sz="1"/>
            </w:tcBorders>
            <w:shd w:fill="0E1F6E" w:val="clear"/>
            <w:tcMar>
              <w:top w:type="dxa" w:w="100"/>
              <w:left w:type="dxa" w:w="140"/>
              <w:bottom w:type="dxa" w:w="100"/>
              <w:right w:type="dxa" w:w="140"/>
            </w:tcMar>
          </w:tcPr>
          <w:p>
            <w:r>
              <w:rPr>
                <w:rFonts w:ascii="Arial" w:cs="Arial" w:eastAsia="Arial" w:hAnsi="Arial"/>
                <w:b/>
                <w:bCs/>
                <w:color w:val="FFFFFF"/>
                <w:sz w:val="19"/>
                <w:szCs w:val="19"/>
              </w:rPr>
              <w:t xml:space="preserve">REQUIREMENT</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DATABASE_SCHEMA.md fully rewritten to match v2 entity groups with all tables and columns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Every table migration includes tenant_id UUID FK referencing tenants.id</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All monetary columns are INTEGER type with currency unit documented in migration comment</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Public-facing entity PKs are UUID; internal lookup table PKs are BIGSERIAL</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soft deletes (deleted_at) added to: clients, invoices, services, domains, tickets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Compound indexes added: (tenant_id, status), (tenant_id, client_id), (tenant_id, due_date)</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TenantScope global Eloquent scope created and applied to all tenant-aware models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ResolveTenant middleware created and applied to all authenticated route groups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ProvisioningDriverInterface defined with all 8 typed method signatures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ServerSelector, ProvisioningJobDispatcher, ProvisioningLogger classes scaffolded</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Queue tiers configured: critical, default, low — with separate workers and retry policies</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audit_logs table migration created and AuditLogger service registered</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api_token column on servers table uses Crypt::encrypt / Crypt::decrypt</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API route group prefixed /api/v1/ with standard response envelope applied globally</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messages/en.json and messages/ar.json created with full key structure</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All Next.js Tailwind classes use logical properties (ms-, me-, ps-, pe-)</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mailpit service added to docker-compose.yml</w:t>
            </w:r>
          </w:p>
        </w:tc>
      </w:tr>
      <w:tr>
        <w:tc>
          <w:tcPr>
            <w:tcW w:type="dxa" w:w="700"/>
            <w:tcBorders>
              <w:top w:val="single" w:color="C5CAD9" w:sz="1"/>
              <w:left w:val="single" w:color="C5CAD9" w:sz="1"/>
              <w:bottom w:val="single" w:color="C5CAD9" w:sz="1"/>
              <w:right w:val="single" w:color="C5CAD9" w:sz="1"/>
            </w:tcBorders>
            <w:shd w:fill="F4F6FA" w:val="clear"/>
            <w:tcMar>
              <w:top w:type="dxa" w:w="100"/>
              <w:left w:type="dxa" w:w="140"/>
              <w:bottom w:type="dxa" w:w="100"/>
              <w:right w:type="dxa" w:w="140"/>
            </w:tcMar>
          </w:tcPr>
          <w:p>
            <w:pPr>
              <w:jc w:val="center"/>
            </w:pPr>
            <w:r>
              <w:rPr>
                <w:rFonts w:ascii="Arial" w:cs="Arial" w:eastAsia="Arial" w:hAnsi="Arial"/>
                <w:color w:val="1565C0"/>
                <w:sz w:val="22"/>
                <w:szCs w:val="22"/>
              </w:rPr>
              <w:t xml:space="preserve">☐</w:t>
            </w:r>
          </w:p>
        </w:tc>
        <w:tc>
          <w:tcPr>
            <w:tcW w:type="dxa" w:w="8860"/>
            <w:tcBorders>
              <w:top w:val="single" w:color="C5CAD9" w:sz="1"/>
              <w:left w:val="single" w:color="C5CAD9" w:sz="1"/>
              <w:bottom w:val="single" w:color="C5CAD9" w:sz="1"/>
              <w:right w:val="single" w:color="C5CAD9" w:sz="1"/>
            </w:tcBorders>
            <w:tcMar>
              <w:top w:type="dxa" w:w="100"/>
              <w:left w:type="dxa" w:w="140"/>
              <w:bottom w:type="dxa" w:w="100"/>
              <w:right w:type="dxa" w:w="140"/>
            </w:tcMar>
          </w:tcPr>
          <w:p>
            <w:r>
              <w:rPr>
                <w:rFonts w:ascii="Arial" w:cs="Arial" w:eastAsia="Arial" w:hAnsi="Arial"/>
                <w:color w:val="1A1A2E"/>
                <w:sz w:val="19"/>
                <w:szCs w:val="19"/>
              </w:rPr>
              <w:t xml:space="preserve">webhook_logs table migration created and WebhookController logs all incoming events</w:t>
            </w:r>
          </w:p>
        </w:tc>
      </w:tr>
    </w:tbl>
    <w:p>
      <w:pPr>
        <w:spacing w:before="60" w:after="60"/>
      </w:pPr>
      <w:r>
        <w:t xml:space="preserve"/>
      </w:r>
    </w:p>
    <w:p>
      <w:pPr>
        <w:spacing w:before="60" w:after="60"/>
      </w:pPr>
      <w:r>
        <w:t xml:space="preserve"/>
      </w:r>
    </w:p>
    <w:p>
      <w:pPr>
        <w:pBdr>
          <w:top w:val="single" w:color="0E1F6E" w:sz="6" w:space="4"/>
          <w:bottom w:val="single" w:color="2196F3" w:sz="2" w:space="4"/>
        </w:pBdr>
        <w:spacing w:before="200" w:after="100"/>
        <w:jc w:val="center"/>
      </w:pPr>
      <w:r>
        <w:rPr>
          <w:rFonts w:ascii="Arial" w:cs="Arial" w:eastAsia="Arial" w:hAnsi="Arial"/>
          <w:i/>
          <w:iCs/>
          <w:color w:val="888888"/>
          <w:sz w:val="16"/>
          <w:szCs w:val="16"/>
        </w:rPr>
        <w:t xml:space="preserve">Hostinvo Architecture Review  ·  Generated for internal use  ·  Do not distribute</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196F3" w:sz="4" w:space="2"/>
      </w:pBdr>
      <w:jc w:val="center"/>
    </w:pPr>
    <w:r>
      <w:rPr>
        <w:rFonts w:ascii="Arial" w:cs="Arial" w:eastAsia="Arial" w:hAnsi="Arial"/>
        <w:color w:val="888888"/>
        <w:sz w:val="16"/>
        <w:szCs w:val="16"/>
      </w:rPr>
      <w:t xml:space="preserve">Hostinvo Architecture Review  |  Confidential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E1F6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2026-03-08T18:50:22.141Z</dcterms:created>
  <dcterms:modified xsi:type="dcterms:W3CDTF">2026-03-08T18:50:22.141Z</dcterms:modified>
</cp:coreProperties>
</file>

<file path=docProps/custom.xml><?xml version="1.0" encoding="utf-8"?>
<Properties xmlns="http://schemas.openxmlformats.org/officeDocument/2006/custom-properties" xmlns:vt="http://schemas.openxmlformats.org/officeDocument/2006/docPropsVTypes"/>
</file>