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D1B4B"/>
          <w:sz w:val="72"/>
          <w:szCs w:val="72"/>
        </w:rPr>
        <w:t xml:space="preserve">HOSTINVO</w:t>
      </w:r>
    </w:p>
    <w:p>
      <w:pPr>
        <w:pBdr>
          <w:bottom w:val="single" w:color="1E88E5" w:sz="8" w:space="4"/>
        </w:pBdr>
        <w:spacing w:before="0" w:after="120"/>
      </w:pPr>
      <w:r>
        <w:rPr>
          <w:rFonts w:ascii="Arial" w:cs="Arial" w:eastAsia="Arial" w:hAnsi="Arial"/>
          <w:b/>
          <w:bCs/>
          <w:color w:val="1565C0"/>
          <w:sz w:val="40"/>
          <w:szCs w:val="40"/>
        </w:rPr>
        <w:t xml:space="preserve">Phase 16 — Security &amp; Hardening Review</w:t>
      </w:r>
    </w:p>
    <w:p>
      <w:pPr>
        <w:spacing w:before="120" w:after="40"/>
      </w:pPr>
      <w:r>
        <w:rPr>
          <w:rFonts w:ascii="Arial" w:cs="Arial" w:eastAsia="Arial" w:hAnsi="Arial"/>
          <w:b/>
          <w:bCs/>
          <w:color w:val="555555"/>
          <w:sz w:val="20"/>
          <w:szCs w:val="20"/>
        </w:rPr>
        <w:t xml:space="preserve">Review Date: </w:t>
      </w:r>
      <w:r>
        <w:rPr>
          <w:rFonts w:ascii="Arial" w:cs="Arial" w:eastAsia="Arial" w:hAnsi="Arial"/>
          <w:color w:val="333333"/>
          <w:sz w:val="20"/>
          <w:szCs w:val="20"/>
        </w:rPr>
        <w:t xml:space="preserve">09 March 2026</w:t>
      </w:r>
    </w:p>
    <w:p>
      <w:pPr>
        <w:spacing w:before="40" w:after="40"/>
      </w:pPr>
      <w:r>
        <w:rPr>
          <w:rFonts w:ascii="Arial" w:cs="Arial" w:eastAsia="Arial" w:hAnsi="Arial"/>
          <w:b/>
          <w:bCs/>
          <w:color w:val="555555"/>
          <w:sz w:val="20"/>
          <w:szCs w:val="20"/>
        </w:rPr>
        <w:t xml:space="preserve">Reviewed Against: </w:t>
      </w:r>
      <w:r>
        <w:rPr>
          <w:rFonts w:ascii="Arial" w:cs="Arial" w:eastAsia="Arial" w:hAnsi="Arial"/>
          <w:color w:val="333333"/>
          <w:sz w:val="20"/>
          <w:szCs w:val="20"/>
        </w:rPr>
        <w:t xml:space="preserve">HOSTINVO_PROJECT_MASTER.md · Hostinvo_System_Architecture_v2.docx · DATABASE_SCHEMA.md · PROVISIONING_ENGINE.md · MODULE_ROADMAP.md · DOCKER_SETUP.md</w:t>
      </w:r>
    </w:p>
    <w:p>
      <w:pPr>
        <w:spacing w:before="40" w:after="200"/>
      </w:pPr>
      <w:r>
        <w:rPr>
          <w:rFonts w:ascii="Arial" w:cs="Arial" w:eastAsia="Arial" w:hAnsi="Arial"/>
          <w:b/>
          <w:bCs/>
          <w:color w:val="555555"/>
          <w:sz w:val="20"/>
          <w:szCs w:val="20"/>
        </w:rPr>
        <w:t xml:space="preserve">Scope: </w:t>
      </w:r>
      <w:r>
        <w:rPr>
          <w:rFonts w:ascii="Arial" w:cs="Arial" w:eastAsia="Arial" w:hAnsi="Arial"/>
          <w:color w:val="333333"/>
          <w:sz w:val="20"/>
          <w:szCs w:val="20"/>
        </w:rPr>
        <w:t xml:space="preserve">Multi-tenancy isolation · Authorization · Authentication · Secrets management · Provisioning security · Queue safety · Input validation · Rate limiting · Audit logging · Localization safety</w:t>
      </w:r>
    </w:p>
    <w:p>
      <w:pPr>
        <w:pStyle w:val="Heading2"/>
        <w:spacing w:before="280" w:after="120"/>
      </w:pPr>
      <w:r>
        <w:rPr>
          <w:rFonts w:ascii="Arial" w:cs="Arial" w:eastAsia="Arial" w:hAnsi="Arial"/>
          <w:b/>
          <w:bCs/>
          <w:color w:val="1565C0"/>
          <w:sz w:val="28"/>
          <w:szCs w:val="28"/>
        </w:rPr>
        <w:t xml:space="preserve">1. Executive Summary</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360"/>
        <w:gridCol w:w="1400"/>
      </w:tblGrid>
      <w:tr>
        <w:tc>
          <w:tcPr>
            <w:tcW w:type="dxa" w:w="2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Total Issues</w:t>
            </w:r>
          </w:p>
        </w:tc>
        <w:tc>
          <w:tcPr>
            <w:tcW w:type="dxa" w:w="2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Critical</w:t>
            </w:r>
          </w:p>
        </w:tc>
        <w:tc>
          <w:tcPr>
            <w:tcW w:type="dxa" w:w="2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High</w:t>
            </w:r>
          </w:p>
        </w:tc>
        <w:tc>
          <w:tcPr>
            <w:tcW w:type="dxa" w:w="2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Medium</w:t>
            </w:r>
          </w:p>
        </w:tc>
        <w:tc>
          <w:tcPr>
            <w:tcW w:type="dxa" w:w="23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Low</w:t>
            </w:r>
          </w:p>
        </w:tc>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Pre-Code Blocking</w:t>
            </w:r>
          </w:p>
        </w:tc>
      </w:tr>
      <w:tr>
        <w:tc>
          <w:tcPr>
            <w:tcW w:type="dxa" w:w="2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bCs/>
                <w:color w:val="0D1B4B"/>
                <w:sz w:val="18"/>
                <w:szCs w:val="18"/>
              </w:rPr>
              <w:t xml:space="preserve">27</w:t>
            </w:r>
          </w:p>
        </w:tc>
        <w:tc>
          <w:tcPr>
            <w:tcW w:type="dxa" w:w="24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r>
              <w:rPr>
                <w:rFonts w:ascii="Arial" w:cs="Arial" w:eastAsia="Arial" w:hAnsi="Arial"/>
                <w:b/>
                <w:bCs/>
                <w:color w:val="C62828"/>
                <w:sz w:val="18"/>
                <w:szCs w:val="18"/>
              </w:rPr>
              <w:t xml:space="preserve">5</w:t>
            </w:r>
          </w:p>
        </w:tc>
        <w:tc>
          <w:tcPr>
            <w:tcW w:type="dxa" w:w="2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r>
              <w:rPr>
                <w:rFonts w:ascii="Arial" w:cs="Arial" w:eastAsia="Arial" w:hAnsi="Arial"/>
                <w:b/>
                <w:bCs/>
                <w:color w:val="E65100"/>
                <w:sz w:val="18"/>
                <w:szCs w:val="18"/>
              </w:rPr>
              <w:t xml:space="preserve">8</w:t>
            </w:r>
          </w:p>
        </w:tc>
        <w:tc>
          <w:tcPr>
            <w:tcW w:type="dxa" w:w="2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r>
              <w:rPr>
                <w:rFonts w:ascii="Arial" w:cs="Arial" w:eastAsia="Arial" w:hAnsi="Arial"/>
                <w:b/>
                <w:bCs/>
                <w:color w:val="F57F17"/>
                <w:sz w:val="18"/>
                <w:szCs w:val="18"/>
              </w:rPr>
              <w:t xml:space="preserve">8</w:t>
            </w:r>
          </w:p>
        </w:tc>
        <w:tc>
          <w:tcPr>
            <w:tcW w:type="dxa" w:w="236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r>
              <w:rPr>
                <w:rFonts w:ascii="Arial" w:cs="Arial" w:eastAsia="Arial" w:hAnsi="Arial"/>
                <w:b/>
                <w:bCs/>
                <w:color w:val="2E7D32"/>
                <w:sz w:val="18"/>
                <w:szCs w:val="18"/>
              </w:rPr>
              <w:t xml:space="preserve">6</w:t>
            </w:r>
          </w:p>
        </w:tc>
        <w:tc>
          <w:tcPr>
            <w:tcW w:type="dxa" w:w="14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r>
              <w:rPr>
                <w:rFonts w:ascii="Arial" w:cs="Arial" w:eastAsia="Arial" w:hAnsi="Arial"/>
                <w:b/>
                <w:bCs/>
                <w:color w:val="C62828"/>
                <w:sz w:val="18"/>
                <w:szCs w:val="18"/>
              </w:rPr>
              <w:t xml:space="preserve">5 (P0)</w:t>
            </w:r>
          </w:p>
        </w:tc>
      </w:tr>
    </w:tbl>
    <w:p>
      <w:pPr>
        <w:spacing w:before="120" w:after="0"/>
      </w:pPr>
      <w:r>
        <w:t xml:space="preserve"/>
      </w:r>
    </w:p>
    <w:p>
      <w:pPr>
        <w:spacing w:before="60" w:after="60"/>
      </w:pPr>
      <w:r>
        <w:rPr>
          <w:rFonts w:ascii="Arial" w:cs="Arial" w:eastAsia="Arial" w:hAnsi="Arial"/>
          <w:color w:val="2D2D2D"/>
          <w:sz w:val="20"/>
          <w:szCs w:val="20"/>
        </w:rPr>
        <w:t xml:space="preserve">Five issues are P0-blocking: they must be resolved before any Laravel controller, migration, or Next.js component is generated. Three of the critical issues (password_reset_tokens scoping, job payload password exposure, and session tenant isolation) affect the foundational Phase 1-2 deliverables and require schema changes. All critical and high issues must be resolved before Phase 16 is considered complete.</w:t>
      </w:r>
    </w:p>
    <w:p>
      <w:pPr>
        <w:pBdr>
          <w:bottom w:val="single" w:color="BDD7EE" w:sz="4" w:space="1"/>
        </w:pBdr>
        <w:spacing w:before="120" w:after="120"/>
      </w:pPr>
      <w:r>
        <w:t xml:space="preserve"/>
      </w:r>
    </w:p>
    <w:p>
      <w:pPr>
        <w:pStyle w:val="Heading2"/>
        <w:spacing w:before="280" w:after="120"/>
      </w:pPr>
      <w:r>
        <w:rPr>
          <w:rFonts w:ascii="Arial" w:cs="Arial" w:eastAsia="Arial" w:hAnsi="Arial"/>
          <w:b/>
          <w:bCs/>
          <w:color w:val="1565C0"/>
          <w:sz w:val="28"/>
          <w:szCs w:val="28"/>
        </w:rPr>
        <w:t xml:space="preserve">2. Critical Issues — Must Fix Before Code Generation</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1560"/>
      </w:tblGrid>
      <w:tr>
        <w:trPr>
          <w:tblHeader/>
        </w:trPr>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6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Issue Description</w:t>
            </w:r>
          </w:p>
        </w:tc>
        <w:tc>
          <w:tcPr>
            <w:tcW w:type="dxa" w:w="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Files Affected</w:t>
            </w:r>
          </w:p>
        </w:tc>
      </w:tr>
      <w:tr>
        <w:tc>
          <w:tcPr>
            <w:tcW w:type="dxa" w:w="14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Multi-Tenancy</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password_reset_tokens table has no tenant_id. If the same email exists in two different tenants, a reset token generated for one tenant could authenticate the same email in another tenant. Email is the PK and tokens are not scoped per tenant.</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database/migrations/*_create_password_reset_tokens_table.php
App\Http\Controllers\Api\Auth\PasswordResetController.php</w:t>
            </w:r>
          </w:p>
        </w:tc>
      </w:tr>
      <w:tr>
        <w:tc>
          <w:tcPr>
            <w:tcW w:type="dxa" w:w="14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Queue / Secret Leakage</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ProvisionPayload is serialized raw into the jobs and failed_jobs tables by Laravel's queue system. Even though ProvisioningLogger sanitizes its log, the actual queued Job payload in jobs.payload and failed_jobs.payload contains the full serialized ProvisionAccountJob including the password field on ProvisionPayload. This exposes plaintext passwords in the database.</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app/Provisioning/DTOs/ProvisionPayload.php
app/Jobs/ProvisionAccountJob.php
database/migrations/*_create_jobs_table.php</w:t>
            </w:r>
          </w:p>
        </w:tc>
      </w:tr>
      <w:tr>
        <w:tc>
          <w:tcPr>
            <w:tcW w:type="dxa" w:w="14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Multi-Tenancy</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sessions table has no tenant_id. A user authenticated to TenantA could theoretically reuse a session token to access TenantB endpoints if ResolveTenant middleware resolves tenant solely from the authenticated user record and session hijacking occurs. Cross-session contamination risk is elevated in shared-database models.</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database/migrations/*_create_sessions_table.php
app/Http/Middleware/ResolveTenant.php</w:t>
            </w:r>
          </w:p>
        </w:tc>
      </w:tr>
      <w:tr>
        <w:tc>
          <w:tcPr>
            <w:tcW w:type="dxa" w:w="14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Provisioning Security</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ssl_verify field on servers table defaults to true but can be set to false. There is no code-level guard preventing ssl_verify=false from being used in production environments. A misconfigured production server accepting a self-signed certificate would silently expose all WHM/Plesk API calls to MITM attacks.</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app/Provisioning/Drivers/Cpanel/CpanelDriver.php
app/Provisioning/Drivers/Plesk/PleskDriver.php
app/Http/Requests/StoreServerRequest.php</w:t>
            </w:r>
          </w:p>
        </w:tc>
      </w:tr>
      <w:tr>
        <w:tc>
          <w:tcPr>
            <w:tcW w:type="dxa" w:w="14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Authorization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permissions table has no tenant_id. Permissions are defined globally across all tenants. A tenant admin who can assign roles could potentially assign a permission that was intended for another tenant's module or escalate to Super Admin-level access if the permission name space is shared.</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database/migrations/*_create_permissions_table.php
app/Models/Permission.php
app/Policies/*Policy.php</w:t>
            </w:r>
          </w:p>
        </w:tc>
      </w:tr>
    </w:tbl>
    <w:p>
      <w:pPr>
        <w:spacing w:before="200" w:after="0"/>
      </w:pPr>
      <w:r>
        <w:t xml:space="preserve"/>
      </w:r>
    </w:p>
    <w:p>
      <w:pPr>
        <w:pBdr>
          <w:bottom w:val="single" w:color="BDD7EE" w:sz="4" w:space="1"/>
        </w:pBdr>
        <w:spacing w:before="120" w:after="120"/>
      </w:pPr>
      <w:r>
        <w:t xml:space="preserve"/>
      </w:r>
    </w:p>
    <w:p>
      <w:pPr>
        <w:pStyle w:val="Heading2"/>
        <w:spacing w:before="280" w:after="120"/>
      </w:pPr>
      <w:r>
        <w:rPr>
          <w:rFonts w:ascii="Arial" w:cs="Arial" w:eastAsia="Arial" w:hAnsi="Arial"/>
          <w:b/>
          <w:bCs/>
          <w:color w:val="1565C0"/>
          <w:sz w:val="28"/>
          <w:szCs w:val="28"/>
        </w:rPr>
        <w:t xml:space="preserve">3. High Issues — Fix Before Phase 7 (Payment Gateways)</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1560"/>
      </w:tblGrid>
      <w:tr>
        <w:trPr>
          <w:tblHeader/>
        </w:trPr>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6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Issue Description</w:t>
            </w:r>
          </w:p>
        </w:tc>
        <w:tc>
          <w:tcPr>
            <w:tcW w:type="dxa" w:w="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Files Affected</w:t>
            </w:r>
          </w:p>
        </w:tc>
      </w:tr>
      <w:tr>
        <w:tc>
          <w:tcPr>
            <w:tcW w:type="dxa" w:w="1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Queue / Tenant Isolation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jobs and failed_jobs tables have no tenant_id. The failed_jobs admin viewer in the Admin Dashboard would show all tenants' failed jobs to any tenant admin who accesses it, leaking other tenants' provisioning payloads, email addresses, and invoice data.</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database/migrations/*_create_failed_jobs_table.php
app/Http/Controllers/Api/Admin/AutomationController.php</w:t>
            </w:r>
          </w:p>
        </w:tc>
      </w:tr>
      <w:tr>
        <w:tc>
          <w:tcPr>
            <w:tcW w:type="dxa" w:w="1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Input Validation / XSS</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knowledge_base_articles.content_en and content_ar are TEXT columns intended to store rich HTML content. There is no mention of HTML sanitization before storage or rendering. An admin who inserts a &lt;script&gt; tag or an on* event handler into article content would expose all clients viewing that article to stored XSS.</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app/Services/KnowledgeBaseService.php
frontend/src/app/[locale]/portal/knowledge-base/*</w:t>
            </w:r>
          </w:p>
        </w:tc>
      </w:tr>
      <w:tr>
        <w:tc>
          <w:tcPr>
            <w:tcW w:type="dxa" w:w="1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Input Validation / XSS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ticket_replies.message is a TEXT column with no stated sanitization policy. Staff replies rendered as HTML in the client portal or admin dashboard without sanitization create stored XSS vectors. An attacker with a compromised staff account could inject malicious scripts into ticket replies seen by clients.</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app/Services/TicketService.php
frontend/src/app/[locale]/portal/tickets/*
frontend/src/components/portal/TicketReply.tsx</w:t>
            </w:r>
          </w:p>
        </w:tc>
      </w:tr>
      <w:tr>
        <w:tc>
          <w:tcPr>
            <w:tcW w:type="dxa" w:w="1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Authentication</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The forgot-password endpoint returns information that allows email enumeration. If the API returns different responses for registered vs unregistered emails (e.g. 200 for found, 404 for not found), an attacker can enumerate valid client email addresses.</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app/Http/Controllers/Api/Auth/PasswordResetController.php
app/Services/AuthService.php</w:t>
            </w:r>
          </w:p>
        </w:tc>
      </w:tr>
      <w:tr>
        <w:tc>
          <w:tcPr>
            <w:tcW w:type="dxa" w:w="1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Webhook Security</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The webhook route /api/v1/webhooks/{gateway} uses a dynamic {gateway} path parameter. If this value is passed to any downstream method without strict validation (e.g. DriverFactory::make($gateway)), it could trigger an UnsupportedPanelException with the raw user-supplied value reflected in the error response, or worse, be used in a path or class resolution context.</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app/Http/Controllers/Api/WebhookController.php
routes/api.php</w:t>
            </w:r>
          </w:p>
        </w:tc>
      </w:tr>
      <w:tr>
        <w:tc>
          <w:tcPr>
            <w:tcW w:type="dxa" w:w="1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Secrets / APP_KEY</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All server api_token and service_credentials values are encrypted using Laravel Crypt which depends on APP_KEY. There is no documented key rotation strategy. If APP_KEY is rotated (e.g. after a security incident), all encrypted credentials become permanently unreadable, causing total provisioning failure for all tenants.</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app/Models/Server.php (api_token accessor/mutator)
app/Models/ServiceCredential.php
.env / .env.example</w:t>
            </w:r>
          </w:p>
        </w:tc>
      </w:tr>
      <w:tr>
        <w:tc>
          <w:tcPr>
            <w:tcW w:type="dxa" w:w="1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Rate Limiting</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No rate limiting is defined for ticket creation, knowledge base search, or domain lookup endpoints. These endpoints could be abused for spam (mass ticket creation), resource exhaustion (bulk search queries), or data harvesting.</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routes/api.php
app/Http/Controllers/Api/TicketController.php
app/Http/Controllers/Api/DomainController.php</w:t>
            </w:r>
          </w:p>
        </w:tc>
      </w:tr>
      <w:tr>
        <w:tc>
          <w:tcPr>
            <w:tcW w:type="dxa" w:w="14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CORS Configuration</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No CORS configuration is documented anywhere in the architecture or setup docs. The default Laravel CORS config allows all origins for API routes, which in a SaaS multi-tenant context means any website can make authenticated cross-origin requests if the user's Sanctum cookie is present in the browser.</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config/cors.php
docker/nginx/conf.d/default.conf</w:t>
            </w:r>
          </w:p>
        </w:tc>
      </w:tr>
    </w:tbl>
    <w:p>
      <w:pPr>
        <w:spacing w:before="200" w:after="0"/>
      </w:pPr>
      <w:r>
        <w:t xml:space="preserve"/>
      </w:r>
    </w:p>
    <w:p>
      <w:pPr>
        <w:pBdr>
          <w:bottom w:val="single" w:color="BDD7EE" w:sz="4" w:space="1"/>
        </w:pBdr>
        <w:spacing w:before="120" w:after="120"/>
      </w:pPr>
      <w:r>
        <w:t xml:space="preserve"/>
      </w:r>
    </w:p>
    <w:p>
      <w:pPr>
        <w:pStyle w:val="Heading2"/>
        <w:spacing w:before="280" w:after="120"/>
      </w:pPr>
      <w:r>
        <w:rPr>
          <w:rFonts w:ascii="Arial" w:cs="Arial" w:eastAsia="Arial" w:hAnsi="Arial"/>
          <w:b/>
          <w:bCs/>
          <w:color w:val="1565C0"/>
          <w:sz w:val="28"/>
          <w:szCs w:val="28"/>
        </w:rPr>
        <w:t xml:space="preserve">4. Medium Issues — Resolve Within Current Sprint</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1560"/>
      </w:tblGrid>
      <w:tr>
        <w:trPr>
          <w:tblHeader/>
        </w:trPr>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6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Issue Description</w:t>
            </w:r>
          </w:p>
        </w:tc>
        <w:tc>
          <w:tcPr>
            <w:tcW w:type="dxa" w:w="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Files Affected</w:t>
            </w:r>
          </w:p>
        </w:tc>
      </w:tr>
      <w:tr>
        <w:tc>
          <w:tcPr>
            <w:tcW w:type="dxa" w:w="1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Mass Assignment</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Eloquent models are not documented with explicit $fillable or $guarded arrays. Without these, any model that receives $request-&gt;all() or uses Model::create($request-&gt;all()) is vulnerable to mass-assignment attacks where an attacker adds unexpected fields (e.g. tenant_id, role_id, credit_balance) to POST bodies.</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app/Models/*.php (all models)</w:t>
            </w:r>
          </w:p>
        </w:tc>
      </w:tr>
      <w:tr>
        <w:tc>
          <w:tcPr>
            <w:tcW w:type="dxa" w:w="1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Audit Logging</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Client self-service actions (paying an invoice, creating a ticket, updating profile) are tracked in client_activity_logs but not in audit_logs. If a dispute arises about a client payment or ticket modification, the audit trail is in a less-structured log with no before/after JSONB state comparison.</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app/Services/BillingService.php
app/Services/TicketService.php
app/Services/ClientService.php</w:t>
            </w:r>
          </w:p>
        </w:tc>
      </w:tr>
      <w:tr>
        <w:tc>
          <w:tcPr>
            <w:tcW w:type="dxa" w:w="1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Attachment Validation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ticket_replies.attachments is a JSONB column storing file metadata. There is no documented validation of file types, file sizes, MIME type verification, or virus scanning. Malicious files (executables, PHP scripts) could be uploaded and stored.</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app/Http/Requests/StoreTicketReplyRequest.php
app/Services/TicketService.php</w:t>
            </w:r>
          </w:p>
        </w:tc>
      </w:tr>
      <w:tr>
        <w:tc>
          <w:tcPr>
            <w:tcW w:type="dxa" w:w="1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Brute Force Protection</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Rate limiting at 10 req/min on auth endpoints provides protection against rapid brute force but not slow brute force (1 req/10 min over many hours). There is no account lockout policy after N consecutive failed login attempts.</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app/Services/AuthService.php
app/Http/Middleware/ThrottleRequests.php</w:t>
            </w:r>
          </w:p>
        </w:tc>
      </w:tr>
      <w:tr>
        <w:tc>
          <w:tcPr>
            <w:tcW w:type="dxa" w:w="1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Security Headers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The Nginx config in DOCKER_SETUP.md only defines X-Frame-Options, X-Content-Type-Options, and X-XSS-Protection. Missing headers include: Content-Security-Policy, Strict-Transport-Security, Referrer-Policy, and Permissions-Policy. Without CSP, XSS attacks have no secondary mitigation.</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docker/nginx/conf.d/default.conf
app/Http/Middleware/SecurityHeaders.php (to be created)</w:t>
            </w:r>
          </w:p>
        </w:tc>
      </w:tr>
      <w:tr>
        <w:tc>
          <w:tcPr>
            <w:tcW w:type="dxa" w:w="1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Redis Security</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The docker-compose.yml and .env.example show REDIS_PASSWORD=null. Redis with no password on a Docker bridge network is acceptable for development, but there is no documented process to enforce password protection in production. Queue payloads (including job data) stored in Redis would be readable by anyone with Redis access.</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docker/nginx/conf.d/default.conf
docker-compose.yml
.env.example</w:t>
            </w:r>
          </w:p>
        </w:tc>
      </w:tr>
      <w:tr>
        <w:tc>
          <w:tcPr>
            <w:tcW w:type="dxa" w:w="1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Localization / RTL Injection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Arabic (RTL) text stored in user-controlled fields (company_name, ticket subjects, knowledge base content) and rendered alongside LTR UI elements could cause Unicode Bidi algorithm issues. An attacker could use Unicode control characters (RLO, LRO) to visually reverse adjacent text, creating spoofed content in the interface.</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app/Services/ClientService.php
frontend/src/components/admin/*.tsx
frontend/src/components/portal/*.tsx</w:t>
            </w:r>
          </w:p>
        </w:tc>
      </w:tr>
      <w:tr>
        <w:tc>
          <w:tcPr>
            <w:tcW w:type="dxa" w:w="14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Email Log Retention</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email_logs stores recipient email addresses and subject lines indefinitely (no TTL or archiving policy). For users in GDPR or PDPL (Saudi Personal Data Law) jurisdictions, retaining email metadata beyond operational necessity may constitute a compliance violation.</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database/migrations/*_create_email_logs_table.php
app/Console/Commands/PurgeEmailLogs.php (to be created)</w:t>
            </w:r>
          </w:p>
        </w:tc>
      </w:tr>
    </w:tbl>
    <w:p>
      <w:pPr>
        <w:spacing w:before="200" w:after="0"/>
      </w:pPr>
      <w:r>
        <w:t xml:space="preserve"/>
      </w:r>
    </w:p>
    <w:p>
      <w:pPr>
        <w:pBdr>
          <w:bottom w:val="single" w:color="BDD7EE" w:sz="4" w:space="1"/>
        </w:pBdr>
        <w:spacing w:before="120" w:after="120"/>
      </w:pPr>
      <w:r>
        <w:t xml:space="preserve"/>
      </w:r>
    </w:p>
    <w:p>
      <w:pPr>
        <w:pStyle w:val="Heading2"/>
        <w:spacing w:before="280" w:after="120"/>
      </w:pPr>
      <w:r>
        <w:rPr>
          <w:rFonts w:ascii="Arial" w:cs="Arial" w:eastAsia="Arial" w:hAnsi="Arial"/>
          <w:b/>
          <w:bCs/>
          <w:color w:val="1565C0"/>
          <w:sz w:val="28"/>
          <w:szCs w:val="28"/>
        </w:rPr>
        <w:t xml:space="preserve">5. Low Issues — Address Incrementally</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1560"/>
      </w:tblGrid>
      <w:tr>
        <w:trPr>
          <w:tblHeader/>
        </w:trPr>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6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30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Issue Description</w:t>
            </w:r>
          </w:p>
        </w:tc>
        <w:tc>
          <w:tcPr>
            <w:tcW w:type="dxa" w:w="15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Files Affected</w:t>
            </w:r>
          </w:p>
        </w:tc>
      </w:tr>
      <w:tr>
        <w:tc>
          <w:tcPr>
            <w:tcW w:type="dxa" w:w="14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Dependency Vulnerabilities</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No automated dependency vulnerability scanning is implemented. Composer and npm packages accumulate security vulnerabilities over time. Without scanning in CI, a known CVE could remain in production for months.</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composer.json
package.json
.github/workflows/ (to be created)</w:t>
            </w:r>
          </w:p>
        </w:tc>
      </w:tr>
      <w:tr>
        <w:tc>
          <w:tcPr>
            <w:tcW w:type="dxa" w:w="14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Docker Container Security</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The scheduler and queue-worker containers run as the default root user in the Docker image. Running PHP-FPM processes as root in containers increases blast radius if a remote code execution vulnerability is exploited.</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docker/php/Dockerfile</w:t>
            </w:r>
          </w:p>
        </w:tc>
      </w:tr>
      <w:tr>
        <w:tc>
          <w:tcPr>
            <w:tcW w:type="dxa" w:w="14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Scheduler Idempotency</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Scheduled tasks (GenerateRecurringInvoices, SuspendOverdueServices, etc.) are not documented as idempotent. If the scheduler container restarts mid-execution, a task could run twice within the same minute, potentially generating duplicate invoices or double-suspending services.</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app/Console/Commands/GenerateRecurringInvoices.php
app/Console/Commands/SuspendOverdueServices.php</w:t>
            </w:r>
          </w:p>
        </w:tc>
      </w:tr>
      <w:tr>
        <w:tc>
          <w:tcPr>
            <w:tcW w:type="dxa" w:w="14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Webhook Log Payload Size</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webhook_logs.payload is a JSONB column storing the raw webhook body. Stripe and PayPal payloads can include full customer objects, card details (last 4 digits, brand), and nested subscription data. Over time at scale, this table will grow very large and may contain more personal data than necessary.</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database/migrations/*_create_webhook_logs_table.php
app/Http/Controllers/Api/WebhookController.php</w:t>
            </w:r>
          </w:p>
        </w:tc>
      </w:tr>
      <w:tr>
        <w:tc>
          <w:tcPr>
            <w:tcW w:type="dxa" w:w="14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API Error Information Disclosure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The standard error envelope { message, errors: { field: [...] } } could leak internal class names, stack traces, or database structure in non-production environments if APP_DEBUG=true is accidentally left on. Error messages from ProvisioningException include raw API error text from cPanel/Plesk which may contain server IPs or hostnames.</w:t>
            </w:r>
          </w:p>
        </w:tc>
        <w:tc>
          <w:tcPr>
            <w:tcW w:type="dxa" w:w="1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app/Exceptions/Handler.php
app/Exceptions/ProvisioningException.php</w:t>
            </w:r>
          </w:p>
        </w:tc>
      </w:tr>
      <w:tr>
        <w:tc>
          <w:tcPr>
            <w:tcW w:type="dxa" w:w="14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6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Missing CHANGELOG.md</w:t>
            </w:r>
          </w:p>
        </w:tc>
        <w:tc>
          <w:tcPr>
            <w:tcW w:type="dxa" w:w="30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MODULE_ROADMAP.md lists CHANGELOG.md initialization as a Phase 16 deliverable but it has not been created. Without a changelog, security patch versions cannot be communicated to self-hosted tenants or tracked for compliance.</w:t>
            </w:r>
          </w:p>
        </w:tc>
        <w:tc>
          <w:tcPr>
            <w:tcW w:type="dxa" w:w="15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CHANGELOG.md (missing)</w:t>
            </w:r>
          </w:p>
        </w:tc>
      </w:tr>
    </w:tbl>
    <w:p>
      <w:pPr>
        <w:spacing w:before="200" w:after="0"/>
      </w:pPr>
      <w:r>
        <w:t xml:space="preserve"/>
      </w:r>
    </w:p>
    <w:p>
      <w:r>
        <w:br w:type="page"/>
      </w:r>
    </w:p>
    <w:p>
      <w:pPr>
        <w:pStyle w:val="Heading2"/>
        <w:spacing w:before="280" w:after="120"/>
      </w:pPr>
      <w:r>
        <w:rPr>
          <w:rFonts w:ascii="Arial" w:cs="Arial" w:eastAsia="Arial" w:hAnsi="Arial"/>
          <w:b/>
          <w:bCs/>
          <w:color w:val="1565C0"/>
          <w:sz w:val="28"/>
          <w:szCs w:val="28"/>
        </w:rPr>
        <w:t xml:space="preserve">6. Recommended Fixes — Implementation Order</w:t>
      </w:r>
    </w:p>
    <w:p>
      <w:pPr>
        <w:spacing w:before="60" w:after="60"/>
      </w:pPr>
      <w:r>
        <w:rPr>
          <w:rFonts w:ascii="Arial" w:cs="Arial" w:eastAsia="Arial" w:hAnsi="Arial"/>
          <w:color w:val="2D2D2D"/>
          <w:sz w:val="20"/>
          <w:szCs w:val="20"/>
        </w:rPr>
        <w:t xml:space="preserve">Fixes are ordered by priority. Resolve P0 before generating any code. P1 before Phase 2. P2 before Phase 7. P3 incrementally.</w:t>
      </w:r>
    </w:p>
    <w:p>
      <w:pPr>
        <w:spacing w:before="80" w:after="0"/>
      </w:pPr>
      <w:r>
        <w:t xml:space="preserve"/>
      </w:r>
    </w:p>
    <w:p>
      <w:pPr>
        <w:pStyle w:val="Heading3"/>
        <w:spacing w:before="200" w:after="80"/>
      </w:pPr>
      <w:r>
        <w:rPr>
          <w:rFonts w:ascii="Arial" w:cs="Arial" w:eastAsia="Arial" w:hAnsi="Arial"/>
          <w:b/>
          <w:bCs/>
          <w:color w:val="1E88E5"/>
          <w:sz w:val="22"/>
          <w:szCs w:val="22"/>
        </w:rPr>
        <w:t xml:space="preserve">P0 — Before Any Code Is Generated</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960"/>
      </w:tblGrid>
      <w:tr>
        <w:trPr>
          <w:tblHeader/>
        </w:trPr>
        <w:tc>
          <w:tcPr>
            <w:tcW w:type="dxa" w:w="12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109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Recommended Fix</w:t>
            </w:r>
          </w:p>
        </w:tc>
      </w:tr>
      <w:tr>
        <w:tc>
          <w:tcPr>
            <w:tcW w:type="dxa" w:w="12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Multi-Tenancy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Add tenant_id UUID NOT NULL FK column to password_reset_tokens. Validate the tenant during reset: look up the user by (email, tenant_id) pair, not email alone. Resolve tenant_id from the request host or a signed URL parameter.</w:t>
            </w:r>
          </w:p>
        </w:tc>
      </w:tr>
      <w:tr>
        <w:tc>
          <w:tcPr>
            <w:tcW w:type="dxa" w:w="12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Queue / Secret Leakage</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Remove password from ProvisionPayload entirely. Generate and store the encrypted password in service_credentials BEFORE dispatching the job. Pass only the service_id to the job. The driver retrieves the credential via Crypt::decrypt at runtime. This ensures no secret ever enters the queue payload.</w:t>
            </w:r>
          </w:p>
        </w:tc>
      </w:tr>
      <w:tr>
        <w:tc>
          <w:tcPr>
            <w:tcW w:type="dxa" w:w="12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Multi-Tenancy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Add tenant_id to the sessions table. Stamp tenant_id when writing the session. In ResolveTenant middleware, assert that session.tenant_id matches the authenticated user's tenant_id. Invalidate the session immediately on mismatch.</w:t>
            </w:r>
          </w:p>
        </w:tc>
      </w:tr>
      <w:tr>
        <w:tc>
          <w:tcPr>
            <w:tcW w:type="dxa" w:w="12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Provisioning Security</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In StoreServerRequest and UpdateServerRequest, add a validation rule: if APP_ENV=production, reject ssl_verify=false with a 422 and a clear error message. In the drivers, log a CRITICAL-level warning whenever ssl_verify=false is used, regardless of environment.</w:t>
            </w:r>
          </w:p>
        </w:tc>
      </w:tr>
      <w:tr>
        <w:tc>
          <w:tcPr>
            <w:tcW w:type="dxa" w:w="1200"/>
            <w:tcBorders>
              <w:top w:val="single" w:color="BDD7EE" w:sz="1"/>
              <w:left w:val="single" w:color="BDD7EE" w:sz="1"/>
              <w:bottom w:val="single" w:color="BDD7EE" w:sz="1"/>
              <w:right w:val="single" w:color="BDD7EE" w:sz="1"/>
            </w:tcBorders>
            <w:shd w:fill="FFEBEE" w:val="clear"/>
            <w:tcMar>
              <w:top w:type="dxa" w:w="80"/>
              <w:left w:type="dxa" w:w="140"/>
              <w:bottom w:type="dxa" w:w="80"/>
              <w:right w:type="dxa" w:w="140"/>
            </w:tcMar>
          </w:tcPr>
          <w:p>
            <w:pPr>
              <w:jc w:val="center"/>
            </w:pPr>
            <w:r>
              <w:rPr>
                <w:rFonts w:ascii="Arial" w:cs="Arial" w:eastAsia="Arial" w:hAnsi="Arial"/>
                <w:b/>
                <w:bCs/>
                <w:color w:val="C62828"/>
                <w:sz w:val="18"/>
                <w:szCs w:val="18"/>
              </w:rPr>
              <w:t xml:space="preserve">CRITICAL</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Authorization</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Add tenant_id (nullable, NULL = platform-level) to permissions. Seed a fixed set of platform permissions at deployment. Allow tenant-scoped permissions to be created per tenant but prevent tenants from creating permissions that match platform-level Super Admin permission names. Enforce this in the PermissionPolicy.</w:t>
            </w:r>
          </w:p>
        </w:tc>
      </w:tr>
    </w:tbl>
    <w:p>
      <w:pPr>
        <w:spacing w:before="200" w:after="0"/>
      </w:pPr>
      <w:r>
        <w:t xml:space="preserve"/>
      </w:r>
    </w:p>
    <w:p>
      <w:pPr>
        <w:pStyle w:val="Heading3"/>
        <w:spacing w:before="200" w:after="80"/>
      </w:pPr>
      <w:r>
        <w:rPr>
          <w:rFonts w:ascii="Arial" w:cs="Arial" w:eastAsia="Arial" w:hAnsi="Arial"/>
          <w:b/>
          <w:bCs/>
          <w:color w:val="1E88E5"/>
          <w:sz w:val="22"/>
          <w:szCs w:val="22"/>
        </w:rPr>
        <w:t xml:space="preserve">P1 — Before Phase 2 (Auth &amp; Tenancy)</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960"/>
      </w:tblGrid>
      <w:tr>
        <w:trPr>
          <w:tblHeader/>
        </w:trPr>
        <w:tc>
          <w:tcPr>
            <w:tcW w:type="dxa" w:w="12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109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Recommended Fix</w:t>
            </w:r>
          </w:p>
        </w:tc>
      </w:tr>
      <w:tr>
        <w:tc>
          <w:tcPr>
            <w:tcW w:type="dxa" w:w="12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Queue / Tenant Isolation</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Add tenant_id to failed_jobs. Middleware must scope the failed jobs API endpoint by tenant_id. In the queue worker, stamp tenant_id from the resolved app('tenant') when dispatching jobs. Alternatively, restrict failed_jobs viewing to Super Admin only.</w:t>
            </w:r>
          </w:p>
        </w:tc>
      </w:tr>
      <w:tr>
        <w:tc>
          <w:tcPr>
            <w:tcW w:type="dxa" w:w="12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Input Validation / XSS</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On the backend: run all content_en / content_ar through HTMLPurifier (PHP) before persisting. Configure a strict allowlist of tags (h1-h6, p, ul, ol, li, a, img, strong, em, blockquote, code, pre). On the frontend: render using dangerouslySetInnerHTML only after passing through DOMPurify with the same allowlist. Never render raw HTML without sanitization.</w:t>
            </w:r>
          </w:p>
        </w:tc>
      </w:tr>
      <w:tr>
        <w:tc>
          <w:tcPr>
            <w:tcW w:type="dxa" w:w="12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Input Validation / XSS</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Apply the same HTMLPurifier + DOMPurify pipeline as article content. If replies are plain text only (no rich formatting needed), store and render as plain text with newline-to-&lt;br&gt; conversion on the frontend, which eliminates the XSS surface entirely.</w:t>
            </w:r>
          </w:p>
        </w:tc>
      </w:tr>
      <w:tr>
        <w:tc>
          <w:tcPr>
            <w:tcW w:type="dxa" w:w="12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Authentication</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Always return HTTP 200 with the same generic message regardless of whether the email exists: 'If this email is registered, you will receive a reset link.' Never expose whether the email was found. Add rate limiting (10 req/min per IP) specifically on this endpoint, separate from the general auth throttle.</w:t>
            </w:r>
          </w:p>
        </w:tc>
      </w:tr>
    </w:tbl>
    <w:p>
      <w:pPr>
        <w:spacing w:before="200" w:after="0"/>
      </w:pPr>
      <w:r>
        <w:t xml:space="preserve"/>
      </w:r>
    </w:p>
    <w:p>
      <w:pPr>
        <w:pStyle w:val="Heading3"/>
        <w:spacing w:before="200" w:after="80"/>
      </w:pPr>
      <w:r>
        <w:rPr>
          <w:rFonts w:ascii="Arial" w:cs="Arial" w:eastAsia="Arial" w:hAnsi="Arial"/>
          <w:b/>
          <w:bCs/>
          <w:color w:val="1E88E5"/>
          <w:sz w:val="22"/>
          <w:szCs w:val="22"/>
        </w:rPr>
        <w:t xml:space="preserve">P2 — Before Phase 7 (Payment Gateways)</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960"/>
      </w:tblGrid>
      <w:tr>
        <w:trPr>
          <w:tblHeader/>
        </w:trPr>
        <w:tc>
          <w:tcPr>
            <w:tcW w:type="dxa" w:w="12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109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Recommended Fix</w:t>
            </w:r>
          </w:p>
        </w:tc>
      </w:tr>
      <w:tr>
        <w:tc>
          <w:tcPr>
            <w:tcW w:type="dxa" w:w="12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Webhook Security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Use an explicit route list instead of a dynamic parameter: Route::post('/webhooks/stripe', [...]) and Route::post('/webhooks/paypal', [...]). If a dynamic approach is required, validate against a strict allowlist ['stripe', 'paypal'] before any further processing. Return 404 for any unrecognized gateway name.</w:t>
            </w:r>
          </w:p>
        </w:tc>
      </w:tr>
      <w:tr>
        <w:tc>
          <w:tcPr>
            <w:tcW w:type="dxa" w:w="12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Secrets / APP_KEY</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Document and implement a key rotation procedure: (1) Set APP_KEY_PREVIOUS to the old key. (2) On model read, try Crypt::decrypt with current key; on failure, try previous key and re-encrypt with new key. (3) Run an Artisan command to migrate all encrypted values. Use Laravel's built-in key:rotate support if on Laravel 11.x.</w:t>
            </w:r>
          </w:p>
        </w:tc>
      </w:tr>
      <w:tr>
        <w:tc>
          <w:tcPr>
            <w:tcW w:type="dxa" w:w="12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Rate Limiting</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Apply specific throttle middleware: POST /tickets at 10/min per client, GET /knowledge-base/search at 30/min per user, GET /domains at 60/min per user. Use Redis-backed throttle with per-client rate keys, not just per-IP.</w:t>
            </w:r>
          </w:p>
        </w:tc>
      </w:tr>
      <w:tr>
        <w:tc>
          <w:tcPr>
            <w:tcW w:type="dxa" w:w="1200"/>
            <w:tcBorders>
              <w:top w:val="single" w:color="BDD7EE" w:sz="1"/>
              <w:left w:val="single" w:color="BDD7EE" w:sz="1"/>
              <w:bottom w:val="single" w:color="BDD7EE" w:sz="1"/>
              <w:right w:val="single" w:color="BDD7EE" w:sz="1"/>
            </w:tcBorders>
            <w:shd w:fill="FFF3E0" w:val="clear"/>
            <w:tcMar>
              <w:top w:type="dxa" w:w="80"/>
              <w:left w:type="dxa" w:w="140"/>
              <w:bottom w:type="dxa" w:w="80"/>
              <w:right w:type="dxa" w:w="140"/>
            </w:tcMar>
          </w:tcPr>
          <w:p>
            <w:pPr>
              <w:jc w:val="center"/>
            </w:pPr>
            <w:r>
              <w:rPr>
                <w:rFonts w:ascii="Arial" w:cs="Arial" w:eastAsia="Arial" w:hAnsi="Arial"/>
                <w:b/>
                <w:bCs/>
                <w:color w:val="E65100"/>
                <w:sz w:val="18"/>
                <w:szCs w:val="18"/>
              </w:rPr>
              <w:t xml:space="preserve">HIGH</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CORS Configuration</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Set allowed_origins in config/cors.php to an explicit list of your frontend domains. Never use '*' with credentials. Set supports_credentials: true only for the SPA frontend origin. Webhook endpoints (/api/v1/webhooks/*) should explicitly reject browser-originated requests (check Content-Type and User-Agent).</w:t>
            </w:r>
          </w:p>
        </w:tc>
      </w:tr>
      <w:tr>
        <w:tc>
          <w:tcPr>
            <w:tcW w:type="dxa" w:w="12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Mass Assignment</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Every Eloquent model must define a $fillable array listing only the columns that should be mass-assignable. Explicitly exclude: tenant_id (set by middleware), credit_balance (managed by BillingService), status on sensitive models (managed by state machines). Add a test that asserts no model has $guarded = [].</w:t>
            </w:r>
          </w:p>
        </w:tc>
      </w:tr>
      <w:tr>
        <w:tc>
          <w:tcPr>
            <w:tcW w:type="dxa" w:w="12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Audit Logging</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Extend AuditLogger to cover client-initiated state changes that have financial or service impact: invoice payments, service cancellation requests, profile email changes, and ticket status transitions. The audit_logs.user_id should be nullable to distinguish between admin actions and client actions.</w:t>
            </w:r>
          </w:p>
        </w:tc>
      </w:tr>
      <w:tr>
        <w:tc>
          <w:tcPr>
            <w:tcW w:type="dxa" w:w="12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Attachment Validation</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Define a strict allowlist of permitted MIME types (pdf, jpg, png, txt, zip). Validate MIME type by file content (not extension) using PHP's finfo. Set a maximum file size (e.g. 10 MB). Store files outside the webroot or in a private cloud storage bucket, never in the public/ directory. Generate signed temporary URLs for download.</w:t>
            </w:r>
          </w:p>
        </w:tc>
      </w:tr>
      <w:tr>
        <w:tc>
          <w:tcPr>
            <w:tcW w:type="dxa" w:w="12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Brute Force Protection</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Track failed login attempts per (email, tenant_id) pair in Redis with a 15-minute TTL. After 10 consecutive failures, lock the account for 30 minutes and notify the account owner. Log all lockout events to audit_logs. Provide an admin unlock endpoint.</w:t>
            </w:r>
          </w:p>
        </w:tc>
      </w:tr>
      <w:tr>
        <w:tc>
          <w:tcPr>
            <w:tcW w:type="dxa" w:w="12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Security Headers</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Add a SecurityHeaders middleware in Laravel applied to all responses. At minimum: Content-Security-Policy: default-src 'self'; script-src 'self'; style-src 'self' 'unsafe-inline'; img-src 'self' data: https:; Strict-Transport-Security: max-age=31536000; includeSubDomains (production only); Referrer-Policy: strict-origin-when-cross-origin; Permissions-Policy: geolocation=(), camera=(), microphone=().</w:t>
            </w:r>
          </w:p>
        </w:tc>
      </w:tr>
      <w:tr>
        <w:tc>
          <w:tcPr>
            <w:tcW w:type="dxa" w:w="12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Redis Security</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Set REDIS_PASSWORD to a strong random value (32+ characters) in all non-development environments. Add the requirepass directive to the Redis container configuration. Document this as a mandatory step in the production deployment checklist. Consider enabling Redis TLS for production deployments.</w:t>
            </w:r>
          </w:p>
        </w:tc>
      </w:tr>
      <w:tr>
        <w:tc>
          <w:tcPr>
            <w:tcW w:type="dxa" w:w="12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Localization / RTL Injection</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Strip or escape Unicode Bidi override characters (U+202A, U+202B, U+202C, U+202D, U+202E, U+2066-U+2069, U+200F) from all user-supplied text fields before storage. On the frontend, use CSS unicode-bidi: isolate on containers that render user-supplied content to prevent cross-element Bidi propagation.</w:t>
            </w:r>
          </w:p>
        </w:tc>
      </w:tr>
      <w:tr>
        <w:tc>
          <w:tcPr>
            <w:tcW w:type="dxa" w:w="1200"/>
            <w:tcBorders>
              <w:top w:val="single" w:color="BDD7EE" w:sz="1"/>
              <w:left w:val="single" w:color="BDD7EE" w:sz="1"/>
              <w:bottom w:val="single" w:color="BDD7EE" w:sz="1"/>
              <w:right w:val="single" w:color="BDD7EE" w:sz="1"/>
            </w:tcBorders>
            <w:shd w:fill="FFFDE7" w:val="clear"/>
            <w:tcMar>
              <w:top w:type="dxa" w:w="80"/>
              <w:left w:type="dxa" w:w="140"/>
              <w:bottom w:type="dxa" w:w="80"/>
              <w:right w:type="dxa" w:w="140"/>
            </w:tcMar>
          </w:tcPr>
          <w:p>
            <w:pPr>
              <w:jc w:val="center"/>
            </w:pPr>
            <w:r>
              <w:rPr>
                <w:rFonts w:ascii="Arial" w:cs="Arial" w:eastAsia="Arial" w:hAnsi="Arial"/>
                <w:b/>
                <w:bCs/>
                <w:color w:val="F57F17"/>
                <w:sz w:val="18"/>
                <w:szCs w:val="18"/>
              </w:rPr>
              <w:t xml:space="preserve">MEDIUM</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Email Log Retention</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Add a retention_days column to email_logs or implement a tenant-configurable setting. Create a CleanupEmailLogs scheduled task (monthly) that purges records older than the retention period. Default to 90 days. Document this in the privacy policy template provided to tenants.</w:t>
            </w:r>
          </w:p>
        </w:tc>
      </w:tr>
    </w:tbl>
    <w:p>
      <w:pPr>
        <w:spacing w:before="200" w:after="0"/>
      </w:pPr>
      <w:r>
        <w:t xml:space="preserve"/>
      </w:r>
    </w:p>
    <w:p>
      <w:pPr>
        <w:pStyle w:val="Heading3"/>
        <w:spacing w:before="200" w:after="80"/>
      </w:pPr>
      <w:r>
        <w:rPr>
          <w:rFonts w:ascii="Arial" w:cs="Arial" w:eastAsia="Arial" w:hAnsi="Arial"/>
          <w:b/>
          <w:bCs/>
          <w:color w:val="1E88E5"/>
          <w:sz w:val="22"/>
          <w:szCs w:val="22"/>
        </w:rPr>
        <w:t xml:space="preserve">P3 — Incremental / Ongoing</w:t>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0960"/>
      </w:tblGrid>
      <w:tr>
        <w:trPr>
          <w:tblHeader/>
        </w:trPr>
        <w:tc>
          <w:tcPr>
            <w:tcW w:type="dxa" w:w="12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4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Area</w:t>
            </w:r>
          </w:p>
        </w:tc>
        <w:tc>
          <w:tcPr>
            <w:tcW w:type="dxa" w:w="109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Recommended Fix</w:t>
            </w:r>
          </w:p>
        </w:tc>
      </w:tr>
      <w:tr>
        <w:tc>
          <w:tcPr>
            <w:tcW w:type="dxa" w:w="12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Dependency Vulnerabilities</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Add composer audit and npm audit to the CI pipeline (GitHub Actions or equivalent). Run on every pull request. Block merges if high or critical CVEs are found. Consider adding dependabot or Renovate for automated dependency update PRs.</w:t>
            </w:r>
          </w:p>
        </w:tc>
      </w:tr>
      <w:tr>
        <w:tc>
          <w:tcPr>
            <w:tcW w:type="dxa" w:w="12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Docker Container Security</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Create a dedicated www-data or hostinvo user in the Dockerfile. Use USER www-data before the CMD/ENTRYPOINT instruction. Ensure the mounted volume (./backend:/var/www/html) is readable by this user. Add --user www-data to docker compose run commands in setup scripts.</w:t>
            </w:r>
          </w:p>
        </w:tc>
      </w:tr>
      <w:tr>
        <w:tc>
          <w:tcPr>
            <w:tcW w:type="dxa" w:w="12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Scheduler Idempotency</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Use withoutOverlapping() on all scheduler task definitions to prevent concurrent execution. For invoice generation, add a processed_at timestamp to subscriptions and check it before generating. For suspensions, check service.status before calling the driver. Log duplicate-run attempts to scheduled_task_logs.</w:t>
            </w:r>
          </w:p>
        </w:tc>
      </w:tr>
      <w:tr>
        <w:tc>
          <w:tcPr>
            <w:tcW w:type="dxa" w:w="12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Webhook Log Payload Size</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Store only the essential fields needed for debugging: event_type, event_id (Stripe event ID for deduplication), created timestamp, and a processing_status. Store the full payload only if processing fails (for forensic purposes), and purge successful webhook logs after 30 days.</w:t>
            </w:r>
          </w:p>
        </w:tc>
      </w:tr>
      <w:tr>
        <w:tc>
          <w:tcPr>
            <w:tcW w:type="dxa" w:w="12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API Error Information Disclosure</w:t>
            </w:r>
          </w:p>
        </w:tc>
        <w:tc>
          <w:tcPr>
            <w:tcW w:type="dxa" w:w="59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In Handler.php, implement environment-aware error formatting: full detail in local/staging, sanitized generic message in production. Ensure ProvisioningException strips server-specific details (IP, hostname, raw panel error) before the exception message is returned in the API response. Log full details to the application log only.</w:t>
            </w:r>
          </w:p>
        </w:tc>
      </w:tr>
      <w:tr>
        <w:tc>
          <w:tcPr>
            <w:tcW w:type="dxa" w:w="1200"/>
            <w:tcBorders>
              <w:top w:val="single" w:color="BDD7EE" w:sz="1"/>
              <w:left w:val="single" w:color="BDD7EE" w:sz="1"/>
              <w:bottom w:val="single" w:color="BDD7EE" w:sz="1"/>
              <w:right w:val="single" w:color="BDD7EE" w:sz="1"/>
            </w:tcBorders>
            <w:shd w:fill="E8F5E9" w:val="clear"/>
            <w:tcMar>
              <w:top w:type="dxa" w:w="80"/>
              <w:left w:type="dxa" w:w="140"/>
              <w:bottom w:type="dxa" w:w="80"/>
              <w:right w:type="dxa" w:w="140"/>
            </w:tcMar>
          </w:tcPr>
          <w:p>
            <w:pPr>
              <w:jc w:val="center"/>
            </w:pPr>
            <w:r>
              <w:rPr>
                <w:rFonts w:ascii="Arial" w:cs="Arial" w:eastAsia="Arial" w:hAnsi="Arial"/>
                <w:b/>
                <w:bCs/>
                <w:color w:val="2E7D32"/>
                <w:sz w:val="18"/>
                <w:szCs w:val="18"/>
              </w:rPr>
              <w:t xml:space="preserve">LOW</w:t>
            </w:r>
          </w:p>
        </w:tc>
        <w:tc>
          <w:tcPr>
            <w:tcW w:type="dxa" w:w="14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Missing CHANGELOG.md</w:t>
            </w:r>
          </w:p>
        </w:tc>
        <w:tc>
          <w:tcPr>
            <w:tcW w:type="dxa" w:w="59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Create CHANGELOG.md following the Keep a Changelog format (https://keepachangelog.com). Retroactively document Phase 1-15 as v0.1.0 through v0.15.0. Establish a convention: Security fixes must be documented under the [Security] section and released as patch versions.</w:t>
            </w:r>
          </w:p>
        </w:tc>
      </w:tr>
    </w:tbl>
    <w:p>
      <w:pPr>
        <w:spacing w:before="200" w:after="0"/>
      </w:pPr>
      <w:r>
        <w:t xml:space="preserve"/>
      </w:r>
    </w:p>
    <w:p>
      <w:r>
        <w:br w:type="page"/>
      </w:r>
    </w:p>
    <w:p>
      <w:pPr>
        <w:pStyle w:val="Heading2"/>
        <w:spacing w:before="280" w:after="120"/>
      </w:pPr>
      <w:r>
        <w:rPr>
          <w:rFonts w:ascii="Arial" w:cs="Arial" w:eastAsia="Arial" w:hAnsi="Arial"/>
          <w:b/>
          <w:bCs/>
          <w:color w:val="1565C0"/>
          <w:sz w:val="28"/>
          <w:szCs w:val="28"/>
        </w:rPr>
        <w:t xml:space="preserve">7. Updated Pre-Code Security Checklist</w:t>
      </w:r>
    </w:p>
    <w:p>
      <w:pPr>
        <w:spacing w:before="60" w:after="60"/>
      </w:pPr>
      <w:r>
        <w:rPr>
          <w:rFonts w:ascii="Arial" w:cs="Arial" w:eastAsia="Arial" w:hAnsi="Arial"/>
          <w:color w:val="2D2D2D"/>
          <w:sz w:val="20"/>
          <w:szCs w:val="20"/>
        </w:rPr>
        <w:t xml:space="preserve">In addition to the existing checklist in Hostinvo_Architecture_Review.docx, the following items must be verified before generating any controller or migration:</w:t>
      </w:r>
    </w:p>
    <w:p>
      <w:pPr>
        <w:spacing w:before="80" w:after="0"/>
      </w:pPr>
      <w:r>
        <w:t xml:space="preserve"/>
      </w:r>
    </w:p>
    <w:tbl>
      <w:tblPr>
        <w:tblW w:type="dxa" w:w="13560"/>
        <w:tblBorders>
          <w:top w:val="single" w:color="auto" w:sz="4"/>
          <w:left w:val="single" w:color="auto" w:sz="4"/>
          <w:bottom w:val="single" w:color="auto" w:sz="4"/>
          <w:right w:val="single" w:color="auto" w:sz="4"/>
          <w:insideH w:val="single" w:color="auto" w:sz="4"/>
          <w:insideV w:val="single" w:color="auto" w:sz="4"/>
        </w:tblBorders>
      </w:tblPr>
      <w:tblGrid>
        <w:gridCol w:w="800"/>
        <w:gridCol w:w="12760"/>
      </w:tblGrid>
      <w:tr>
        <w:tc>
          <w:tcPr>
            <w:tcW w:type="dxa" w:w="80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Done</w:t>
            </w:r>
          </w:p>
        </w:tc>
        <w:tc>
          <w:tcPr>
            <w:tcW w:type="dxa" w:w="12760"/>
            <w:tcBorders>
              <w:top w:val="single" w:color="FFFFFF" w:sz="1"/>
              <w:left w:val="single" w:color="FFFFFF" w:sz="1"/>
              <w:bottom w:val="single" w:color="FFFFFF" w:sz="1"/>
              <w:right w:val="single" w:color="FFFFFF" w:sz="1"/>
            </w:tcBorders>
            <w:shd w:fill="0D1B4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password_reset_tokens migration adds tenant_id UUID NOT NULL FK → tenants.id</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password reset lookup uses (email, tenant_id) pair — never email alone</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sessions migration adds tenant_id; ResolveTenant middleware validates session.tenant_id === user.tenant_id</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ProvisionPayload does NOT contain a password field — password generated and stored in service_credentials before job dispatch</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jobs and failed_jobs migrations add tenant_id; failed jobs API endpoint scoped by tenant</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permissions migration adds tenant_id (nullable for platform-level); platform permissions are seeded and cannot be overwritten by tenants</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ssl_verify=false blocked in production by StoreServerRequest validation; drivers log CRITICAL warning when ssl_verify=false</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All Eloquent models have explicit $fillable arrays — no model has $guarded = []</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HTMLPurifier installed and configured in KnowledgeBaseService for content_en and content_ar</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DOMPurify configured in the Next.js frontend for all dangerouslySetInnerHTML usage</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Forgot-password endpoint always returns 200 regardless of email existence</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Webhook routes are explicit (not dynamic): POST /webhooks/stripe and POST /webhooks/paypal</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REDIS_PASSWORD set in all non-development environments — documented in production checklist</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APP_KEY rotation procedure documented; models support decryption fallback to APP_KEY_PREVIOUS</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CORS configured with explicit allowed_origins — no wildcard (*) with credentials</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Content-Security-Policy header applied via SecurityHeaders middleware</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Rate limiting applied to: POST /tickets (10/min), POST /auth/forgot-password (10/min IP), GET /knowledge-base/search (30/min)</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AuditLogger covers client self-service financial actions: invoice payments, cancellation requests, profile email changes</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File attachment validation: MIME type allowlist, max 10 MB, stored outside webroot</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Unicode Bidi override characters stripped from all user-supplied text fields before storage</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Scheduler tasks use withoutOverlapping() to prevent double-execution</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Dockerfile creates non-root user; containers run as www-data</w:t>
            </w:r>
          </w:p>
        </w:tc>
      </w:tr>
      <w:tr>
        <w:tc>
          <w:tcPr>
            <w:tcW w:type="dxa" w:w="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b w:val="false"/>
                <w:bCs w:val="false"/>
                <w:color w:val="1A1A2E"/>
                <w:sz w:val="18"/>
                <w:szCs w:val="18"/>
              </w:rPr>
              <w:t xml:space="preserve">composer audit and npm audit added to CI pipeline — high CVEs block merge</w:t>
            </w:r>
          </w:p>
        </w:tc>
      </w:tr>
      <w:tr>
        <w:tc>
          <w:tcPr>
            <w:tcW w:type="dxa" w:w="80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888888"/>
                <w:sz w:val="18"/>
                <w:szCs w:val="18"/>
              </w:rPr>
              <w:t xml:space="preserve">☐</w:t>
            </w:r>
          </w:p>
        </w:tc>
        <w:tc>
          <w:tcPr>
            <w:tcW w:type="dxa" w:w="12760"/>
            <w:tcBorders>
              <w:top w:val="single" w:color="BDD7EE" w:sz="1"/>
              <w:left w:val="single" w:color="BDD7EE" w:sz="1"/>
              <w:bottom w:val="single" w:color="BDD7EE" w:sz="1"/>
              <w:right w:val="single" w:color="BDD7EE" w:sz="1"/>
            </w:tcBorders>
            <w:shd w:fill="EFF6FF" w:val="clear"/>
            <w:tcMar>
              <w:top w:type="dxa" w:w="80"/>
              <w:left w:type="dxa" w:w="140"/>
              <w:bottom w:type="dxa" w:w="80"/>
              <w:right w:type="dxa" w:w="140"/>
            </w:tcMar>
          </w:tcPr>
          <w:p>
            <w:r>
              <w:rPr>
                <w:rFonts w:ascii="Arial" w:cs="Arial" w:eastAsia="Arial" w:hAnsi="Arial"/>
                <w:b w:val="false"/>
                <w:bCs w:val="false"/>
                <w:color w:val="1A1A2E"/>
                <w:sz w:val="18"/>
                <w:szCs w:val="18"/>
              </w:rPr>
              <w:t xml:space="preserve">CHANGELOG.md created and initialized with Phase 1-15 release history</w:t>
            </w:r>
          </w:p>
        </w:tc>
      </w:tr>
    </w:tbl>
    <w:p>
      <w:pPr>
        <w:spacing w:before="200" w:after="0"/>
      </w:pPr>
      <w:r>
        <w:t xml:space="preserve"/>
      </w:r>
    </w:p>
    <w:p>
      <w:pPr>
        <w:pBdr>
          <w:bottom w:val="single" w:color="BDD7EE" w:sz="4" w:space="1"/>
        </w:pBdr>
        <w:spacing w:before="120" w:after="120"/>
      </w:pPr>
      <w:r>
        <w:t xml:space="preserve"/>
      </w:r>
    </w:p>
    <w:p>
      <w:pPr>
        <w:spacing w:before="120" w:after="40"/>
        <w:jc w:val="center"/>
      </w:pPr>
      <w:r>
        <w:rPr>
          <w:rFonts w:ascii="Arial" w:cs="Arial" w:eastAsia="Arial" w:hAnsi="Arial"/>
          <w:i/>
          <w:iCs/>
          <w:color w:val="AAAAAA"/>
          <w:sz w:val="16"/>
          <w:szCs w:val="16"/>
        </w:rPr>
        <w:t xml:space="preserve">Hostinvo Phase 16 Security &amp; Hardening Review · Do Not Distribute</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1"/>
      </w:pBdr>
      <w:tabs>
        <w:tab w:val="right" w:pos="13680"/>
      </w:tabs>
    </w:pPr>
    <w:r>
      <w:rPr>
        <w:rFonts w:ascii="Arial" w:cs="Arial" w:eastAsia="Arial" w:hAnsi="Arial"/>
        <w:color w:val="888888"/>
        <w:sz w:val="16"/>
        <w:szCs w:val="16"/>
      </w:rPr>
      <w:t xml:space="preserve">Reviewed against HOSTINVO_PROJECT_MASTER.md · Hostinvo_System_Architecture_v2.docx · DATABASE_SCHEMA.md · PROVISIONING_ENGINE.md</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13680"/>
      </w:tabs>
    </w:pPr>
    <w:r>
      <w:rPr>
        <w:rFonts w:ascii="Arial" w:cs="Arial" w:eastAsia="Arial" w:hAnsi="Arial"/>
        <w:b/>
        <w:bCs/>
        <w:color w:val="0D1B4B"/>
        <w:sz w:val="22"/>
        <w:szCs w:val="22"/>
      </w:rPr>
      <w:t xml:space="preserve">HOSTINVO  </w:t>
    </w:r>
    <w:r>
      <w:rPr>
        <w:rFonts w:ascii="Arial" w:cs="Arial" w:eastAsia="Arial" w:hAnsi="Arial"/>
        <w:color w:val="1565C0"/>
        <w:sz w:val="20"/>
        <w:szCs w:val="20"/>
      </w:rPr>
      <w:t xml:space="preserve">Phase 16 — Security &amp; Hardening Review</w:t>
    </w:r>
    <w:r>
      <w:rPr>
        <w:sz w:val="20"/>
        <w:szCs w:val="20"/>
      </w:rPr>
      <w:t xml:space="preserve">	</w:t>
    </w:r>
    <w:r>
      <w:rPr>
        <w:rFonts w:ascii="Arial" w:cs="Arial" w:eastAsia="Arial" w:hAnsi="Arial"/>
        <w:i/>
        <w:iCs/>
        <w:color w:val="888888"/>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4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E88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2026-03-08T23:37:15.501Z</dcterms:created>
  <dcterms:modified xsi:type="dcterms:W3CDTF">2026-03-08T23:37:15.502Z</dcterms:modified>
</cp:coreProperties>
</file>

<file path=docProps/custom.xml><?xml version="1.0" encoding="utf-8"?>
<Properties xmlns="http://schemas.openxmlformats.org/officeDocument/2006/custom-properties" xmlns:vt="http://schemas.openxmlformats.org/officeDocument/2006/docPropsVTypes"/>
</file>