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Namal University Mianwali</w:t>
      </w:r>
    </w:p>
    <w:p>
      <w:pPr>
        <w:spacing w:after="960"/>
        <w:jc w:val="center"/>
      </w:pPr>
      <w:r>
        <w:rPr>
          <w:b/>
          <w:i w:val="0"/>
          <w:sz w:val="32"/>
        </w:rPr>
        <w:t>Department of Computer Science</w:t>
      </w:r>
    </w:p>
    <w:p>
      <w:pPr>
        <w:spacing w:after="120"/>
        <w:jc w:val="center"/>
      </w:pPr>
      <w:r>
        <w:rPr>
          <w:b/>
          <w:i w:val="0"/>
          <w:sz w:val="36"/>
        </w:rPr>
        <w:t>Assignment 3: Implementation, Statistical Exploration,</w:t>
      </w:r>
    </w:p>
    <w:p>
      <w:pPr>
        <w:spacing w:after="480"/>
        <w:jc w:val="center"/>
      </w:pPr>
      <w:r>
        <w:rPr>
          <w:b/>
          <w:i w:val="0"/>
          <w:sz w:val="36"/>
        </w:rPr>
        <w:t>and Experimental Evaluation</w:t>
      </w:r>
    </w:p>
    <w:p>
      <w:pPr>
        <w:spacing w:after="120"/>
        <w:jc w:val="center"/>
      </w:pPr>
      <w:r>
        <w:rPr>
          <w:b w:val="0"/>
          <w:i w:val="0"/>
          <w:sz w:val="28"/>
        </w:rPr>
        <w:t>Course: CSC-355 Natural Language Processing</w:t>
      </w:r>
    </w:p>
    <w:p>
      <w:pPr>
        <w:spacing w:after="480"/>
        <w:jc w:val="center"/>
      </w:pPr>
      <w:r>
        <w:rPr>
          <w:b w:val="0"/>
          <w:i w:val="0"/>
          <w:sz w:val="28"/>
        </w:rPr>
        <w:t>Instructor: Dr. Muzamil Ahmed</w:t>
      </w:r>
    </w:p>
    <w:p>
      <w:pPr>
        <w:spacing w:after="120"/>
        <w:jc w:val="center"/>
      </w:pPr>
      <w:r>
        <w:rPr>
          <w:b/>
          <w:i w:val="0"/>
          <w:sz w:val="28"/>
        </w:rPr>
        <w:t>Project Title:</w:t>
      </w:r>
    </w:p>
    <w:p>
      <w:pPr>
        <w:spacing w:after="960"/>
        <w:jc w:val="center"/>
      </w:pPr>
      <w:r>
        <w:rPr>
          <w:b/>
          <w:i/>
          <w:sz w:val="30"/>
        </w:rPr>
        <w:t>"Sentiment Analysis of Code-Switched Urdu-English Social Media Text Using Multilingual Transformer Models"</w:t>
      </w:r>
    </w:p>
    <w:p>
      <w:pPr>
        <w:spacing w:after="960"/>
        <w:jc w:val="center"/>
      </w:pPr>
      <w:r>
        <w:rPr>
          <w:b/>
          <w:sz w:val="28"/>
        </w:rPr>
        <w:t>Submitted By:</w:t>
        <w:br/>
      </w:r>
      <w:r>
        <w:rPr>
          <w:sz w:val="28"/>
        </w:rPr>
        <w:t>Jalal Ur Rahman (NUM-BSCS-2022-42)</w:t>
        <w:br/>
        <w:t>Sultan Haider</w:t>
      </w:r>
    </w:p>
    <w:p>
      <w:pPr>
        <w:spacing w:after="0"/>
        <w:jc w:val="center"/>
      </w:pPr>
      <w:r>
        <w:rPr>
          <w:b w:val="0"/>
          <w:i w:val="0"/>
          <w:sz w:val="28"/>
        </w:rPr>
        <w:t>Date: 20-05-2026</w:t>
      </w:r>
    </w:p>
    <w:p>
      <w:r>
        <w:br w:type="page"/>
      </w:r>
    </w:p>
    <w:p>
      <w:pPr>
        <w:pStyle w:val="Heading1"/>
        <w:keepNext/>
        <w:spacing w:before="240" w:after="120"/>
      </w:pPr>
      <w:r>
        <w:rPr>
          <w:rFonts w:ascii="Times New Roman" w:hAnsi="Times New Roman"/>
          <w:b/>
          <w:color w:val="000000"/>
        </w:rPr>
        <w:t>1. Dataset Analysis and Statistical Exploration</w:t>
      </w:r>
    </w:p>
    <w:p>
      <w:pPr>
        <w:spacing w:after="120" w:line="276" w:lineRule="auto"/>
        <w:jc w:val="both"/>
      </w:pPr>
      <w:r>
        <w:rPr>
          <w:rFonts w:ascii="Times New Roman" w:hAnsi="Times New Roman"/>
          <w:sz w:val="24"/>
        </w:rPr>
        <w:t>In accordance with the objectives of Milestone 3, we have conducted a thorough statistical exploration of the dataset selected for our project. The primary dataset is derived from the SemEval-2020 Task 9 (SentiMix) Hinglish dataset, which comprises authentic code-mixed social media text. Code-mixed text is highly representative of Pakistani digital communication, wherein Roman Urdu and English are integrated seamlessly. The statistical profile of the parsed sentence-level corpus is summarized in the table below:</w:t>
      </w:r>
    </w:p>
    <w:tbl>
      <w:tblPr>
        <w:tblStyle w:val="TableGrid"/>
        <w:tblW w:type="auto" w:w="0"/>
        <w:tblLook w:firstColumn="1" w:firstRow="1" w:lastColumn="0" w:lastRow="0" w:noHBand="0" w:noVBand="1" w:val="04A0"/>
      </w:tblPr>
      <w:tblGrid>
        <w:gridCol w:w="4622"/>
        <w:gridCol w:w="4622"/>
      </w:tblGrid>
      <w:tr>
        <w:tc>
          <w:tcPr>
            <w:tcW w:type="dxa" w:w="5040"/>
          </w:tcPr>
          <w:p>
            <w:pPr>
              <w:jc w:val="center"/>
            </w:pPr>
            <w:r>
              <w:rPr>
                <w:rFonts w:ascii="Times New Roman" w:hAnsi="Times New Roman"/>
                <w:b/>
                <w:color w:val="000000"/>
                <w:sz w:val="22"/>
              </w:rPr>
              <w:t>Metric Description</w:t>
            </w:r>
          </w:p>
        </w:tc>
        <w:tc>
          <w:tcPr>
            <w:tcW w:type="dxa" w:w="2880"/>
          </w:tcPr>
          <w:p>
            <w:pPr>
              <w:jc w:val="center"/>
            </w:pPr>
            <w:r>
              <w:rPr>
                <w:rFonts w:ascii="Times New Roman" w:hAnsi="Times New Roman"/>
                <w:b/>
                <w:color w:val="000000"/>
                <w:sz w:val="22"/>
              </w:rPr>
              <w:t>Value</w:t>
            </w:r>
          </w:p>
        </w:tc>
      </w:tr>
      <w:tr>
        <w:tc>
          <w:tcPr>
            <w:tcW w:type="dxa" w:w="5040"/>
          </w:tcPr>
          <w:p>
            <w:pPr>
              <w:jc w:val="left"/>
            </w:pPr>
            <w:r>
              <w:rPr>
                <w:rFonts w:ascii="Times New Roman" w:hAnsi="Times New Roman"/>
                <w:sz w:val="22"/>
              </w:rPr>
              <w:t>Total Social Media Posts (Tweets)</w:t>
            </w:r>
          </w:p>
        </w:tc>
        <w:tc>
          <w:tcPr>
            <w:tcW w:type="dxa" w:w="2880"/>
          </w:tcPr>
          <w:p>
            <w:pPr>
              <w:jc w:val="center"/>
            </w:pPr>
            <w:r>
              <w:rPr>
                <w:rFonts w:ascii="Times New Roman" w:hAnsi="Times New Roman"/>
                <w:sz w:val="22"/>
              </w:rPr>
              <w:t>18631</w:t>
            </w:r>
          </w:p>
        </w:tc>
      </w:tr>
      <w:tr>
        <w:tc>
          <w:tcPr>
            <w:tcW w:type="dxa" w:w="5040"/>
          </w:tcPr>
          <w:p>
            <w:pPr>
              <w:jc w:val="left"/>
            </w:pPr>
            <w:r>
              <w:rPr>
                <w:rFonts w:ascii="Times New Roman" w:hAnsi="Times New Roman"/>
                <w:sz w:val="22"/>
              </w:rPr>
              <w:t>Total Tokens</w:t>
            </w:r>
          </w:p>
        </w:tc>
        <w:tc>
          <w:tcPr>
            <w:tcW w:type="dxa" w:w="2880"/>
          </w:tcPr>
          <w:p>
            <w:pPr>
              <w:jc w:val="center"/>
            </w:pPr>
            <w:r>
              <w:rPr>
                <w:rFonts w:ascii="Times New Roman" w:hAnsi="Times New Roman"/>
                <w:sz w:val="22"/>
              </w:rPr>
              <w:t>278348</w:t>
            </w:r>
          </w:p>
        </w:tc>
      </w:tr>
      <w:tr>
        <w:tc>
          <w:tcPr>
            <w:tcW w:type="dxa" w:w="5040"/>
          </w:tcPr>
          <w:p>
            <w:pPr>
              <w:jc w:val="left"/>
            </w:pPr>
            <w:r>
              <w:rPr>
                <w:rFonts w:ascii="Times New Roman" w:hAnsi="Times New Roman"/>
                <w:sz w:val="22"/>
              </w:rPr>
              <w:t>Average Post Length (Tokens)</w:t>
            </w:r>
          </w:p>
        </w:tc>
        <w:tc>
          <w:tcPr>
            <w:tcW w:type="dxa" w:w="2880"/>
          </w:tcPr>
          <w:p>
            <w:pPr>
              <w:jc w:val="center"/>
            </w:pPr>
            <w:r>
              <w:rPr>
                <w:rFonts w:ascii="Times New Roman" w:hAnsi="Times New Roman"/>
                <w:sz w:val="22"/>
              </w:rPr>
              <w:t>14.94</w:t>
            </w:r>
          </w:p>
        </w:tc>
      </w:tr>
      <w:tr>
        <w:tc>
          <w:tcPr>
            <w:tcW w:type="dxa" w:w="5040"/>
          </w:tcPr>
          <w:p>
            <w:pPr>
              <w:jc w:val="left"/>
            </w:pPr>
            <w:r>
              <w:rPr>
                <w:rFonts w:ascii="Times New Roman" w:hAnsi="Times New Roman"/>
                <w:sz w:val="22"/>
              </w:rPr>
              <w:t>Maximum Post Length (Tokens)</w:t>
            </w:r>
          </w:p>
        </w:tc>
        <w:tc>
          <w:tcPr>
            <w:tcW w:type="dxa" w:w="2880"/>
          </w:tcPr>
          <w:p>
            <w:pPr>
              <w:jc w:val="center"/>
            </w:pPr>
            <w:r>
              <w:rPr>
                <w:rFonts w:ascii="Times New Roman" w:hAnsi="Times New Roman"/>
                <w:sz w:val="22"/>
              </w:rPr>
              <w:t>56</w:t>
            </w:r>
          </w:p>
        </w:tc>
      </w:tr>
      <w:tr>
        <w:tc>
          <w:tcPr>
            <w:tcW w:type="dxa" w:w="5040"/>
          </w:tcPr>
          <w:p>
            <w:pPr>
              <w:jc w:val="left"/>
            </w:pPr>
            <w:r>
              <w:rPr>
                <w:rFonts w:ascii="Times New Roman" w:hAnsi="Times New Roman"/>
                <w:sz w:val="22"/>
              </w:rPr>
              <w:t>Positive Sentiment Count</w:t>
            </w:r>
          </w:p>
        </w:tc>
        <w:tc>
          <w:tcPr>
            <w:tcW w:type="dxa" w:w="2880"/>
          </w:tcPr>
          <w:p>
            <w:pPr>
              <w:jc w:val="center"/>
            </w:pPr>
            <w:r>
              <w:rPr>
                <w:rFonts w:ascii="Times New Roman" w:hAnsi="Times New Roman"/>
                <w:sz w:val="22"/>
              </w:rPr>
              <w:t>6208</w:t>
            </w:r>
          </w:p>
        </w:tc>
      </w:tr>
      <w:tr>
        <w:tc>
          <w:tcPr>
            <w:tcW w:type="dxa" w:w="5040"/>
          </w:tcPr>
          <w:p>
            <w:pPr>
              <w:jc w:val="left"/>
            </w:pPr>
            <w:r>
              <w:rPr>
                <w:rFonts w:ascii="Times New Roman" w:hAnsi="Times New Roman"/>
                <w:sz w:val="22"/>
              </w:rPr>
              <w:t>Neutral Sentiment Count</w:t>
            </w:r>
          </w:p>
        </w:tc>
        <w:tc>
          <w:tcPr>
            <w:tcW w:type="dxa" w:w="2880"/>
          </w:tcPr>
          <w:p>
            <w:pPr>
              <w:jc w:val="center"/>
            </w:pPr>
            <w:r>
              <w:rPr>
                <w:rFonts w:ascii="Times New Roman" w:hAnsi="Times New Roman"/>
                <w:sz w:val="22"/>
              </w:rPr>
              <w:t>6829</w:t>
            </w:r>
          </w:p>
        </w:tc>
      </w:tr>
      <w:tr>
        <w:tc>
          <w:tcPr>
            <w:tcW w:type="dxa" w:w="5040"/>
          </w:tcPr>
          <w:p>
            <w:pPr>
              <w:jc w:val="left"/>
            </w:pPr>
            <w:r>
              <w:rPr>
                <w:rFonts w:ascii="Times New Roman" w:hAnsi="Times New Roman"/>
                <w:sz w:val="22"/>
              </w:rPr>
              <w:t>Negative Sentiment Count</w:t>
            </w:r>
          </w:p>
        </w:tc>
        <w:tc>
          <w:tcPr>
            <w:tcW w:type="dxa" w:w="2880"/>
          </w:tcPr>
          <w:p>
            <w:pPr>
              <w:jc w:val="center"/>
            </w:pPr>
            <w:r>
              <w:rPr>
                <w:rFonts w:ascii="Times New Roman" w:hAnsi="Times New Roman"/>
                <w:sz w:val="22"/>
              </w:rPr>
              <w:t>5594</w:t>
            </w:r>
          </w:p>
        </w:tc>
      </w:tr>
      <w:tr>
        <w:tc>
          <w:tcPr>
            <w:tcW w:type="dxa" w:w="5040"/>
          </w:tcPr>
          <w:p>
            <w:pPr>
              <w:jc w:val="left"/>
            </w:pPr>
            <w:r>
              <w:rPr>
                <w:rFonts w:ascii="Times New Roman" w:hAnsi="Times New Roman"/>
                <w:sz w:val="22"/>
              </w:rPr>
              <w:t>English-like Script Tokens Count</w:t>
            </w:r>
          </w:p>
        </w:tc>
        <w:tc>
          <w:tcPr>
            <w:tcW w:type="dxa" w:w="2880"/>
          </w:tcPr>
          <w:p>
            <w:pPr>
              <w:jc w:val="center"/>
            </w:pPr>
            <w:r>
              <w:rPr>
                <w:rFonts w:ascii="Times New Roman" w:hAnsi="Times New Roman"/>
                <w:sz w:val="22"/>
              </w:rPr>
              <w:t>261519</w:t>
            </w:r>
          </w:p>
        </w:tc>
      </w:tr>
      <w:tr>
        <w:tc>
          <w:tcPr>
            <w:tcW w:type="dxa" w:w="5040"/>
          </w:tcPr>
          <w:p>
            <w:pPr>
              <w:jc w:val="left"/>
            </w:pPr>
            <w:r>
              <w:rPr>
                <w:rFonts w:ascii="Times New Roman" w:hAnsi="Times New Roman"/>
                <w:sz w:val="22"/>
              </w:rPr>
              <w:t>Urdu / Roman Urdu Keyword Tokens Count</w:t>
            </w:r>
          </w:p>
        </w:tc>
        <w:tc>
          <w:tcPr>
            <w:tcW w:type="dxa" w:w="2880"/>
          </w:tcPr>
          <w:p>
            <w:pPr>
              <w:jc w:val="center"/>
            </w:pPr>
            <w:r>
              <w:rPr>
                <w:rFonts w:ascii="Times New Roman" w:hAnsi="Times New Roman"/>
                <w:sz w:val="22"/>
              </w:rPr>
              <w:t>16829</w:t>
            </w:r>
          </w:p>
        </w:tc>
      </w:tr>
    </w:tbl>
    <w:p>
      <w:pPr>
        <w:spacing w:after="120"/>
      </w:pPr>
    </w:p>
    <w:p>
      <w:pPr>
        <w:spacing w:after="120" w:line="276" w:lineRule="auto"/>
        <w:jc w:val="both"/>
      </w:pPr>
      <w:r>
        <w:rPr>
          <w:rFonts w:ascii="Times New Roman" w:hAnsi="Times New Roman"/>
          <w:sz w:val="24"/>
        </w:rPr>
        <w:t>The sentiment distribution shows that the dataset is relatively balanced, with neutral opinions constituting the largest portion (approx 37.3%), followed by positive (33.3%) and negative (29.5%) sentences. This makes macro F1-score and accuracy reliable benchmarks since class imbalance is minimal. To visually investigate the structural properties of our dataset, we generated five analytical plots:</w:t>
      </w:r>
    </w:p>
    <w:p>
      <w:pPr>
        <w:spacing w:before="120" w:after="80"/>
        <w:jc w:val="center"/>
      </w:pPr>
      <w:r>
        <w:drawing>
          <wp:inline xmlns:a="http://schemas.openxmlformats.org/drawingml/2006/main" xmlns:pic="http://schemas.openxmlformats.org/drawingml/2006/picture">
            <wp:extent cx="3657600" cy="22860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3657600" cy="2286000"/>
                    </a:xfrm>
                    <a:prstGeom prst="rect"/>
                  </pic:spPr>
                </pic:pic>
              </a:graphicData>
            </a:graphic>
          </wp:inline>
        </w:drawing>
      </w:r>
    </w:p>
    <w:p>
      <w:pPr>
        <w:spacing w:after="240"/>
        <w:jc w:val="center"/>
      </w:pPr>
      <w:r>
        <w:rPr>
          <w:rFonts w:ascii="Times New Roman" w:hAnsi="Times New Roman"/>
          <w:i/>
          <w:sz w:val="20"/>
        </w:rPr>
        <w:t>Figure: Sentiment Class Distribution (Positive, Negative, Neutral)</w:t>
      </w:r>
    </w:p>
    <w:p>
      <w:pPr>
        <w:spacing w:before="120" w:after="80"/>
        <w:jc w:val="center"/>
      </w:pPr>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sentence_length_histogram.png"/>
                    <pic:cNvPicPr/>
                  </pic:nvPicPr>
                  <pic:blipFill>
                    <a:blip r:embed="rId10"/>
                    <a:stretch>
                      <a:fillRect/>
                    </a:stretch>
                  </pic:blipFill>
                  <pic:spPr>
                    <a:xfrm>
                      <a:off x="0" y="0"/>
                      <a:ext cx="3657600" cy="2286000"/>
                    </a:xfrm>
                    <a:prstGeom prst="rect"/>
                  </pic:spPr>
                </pic:pic>
              </a:graphicData>
            </a:graphic>
          </wp:inline>
        </w:drawing>
      </w:r>
    </w:p>
    <w:p>
      <w:pPr>
        <w:spacing w:after="240"/>
        <w:jc w:val="center"/>
      </w:pPr>
      <w:r>
        <w:rPr>
          <w:rFonts w:ascii="Times New Roman" w:hAnsi="Times New Roman"/>
          <w:i/>
          <w:sz w:val="20"/>
        </w:rPr>
        <w:t>Figure: Post Length Distribution showing token frequencies per sentence</w:t>
      </w:r>
    </w:p>
    <w:p>
      <w:pPr>
        <w:spacing w:before="120" w:after="80"/>
        <w:jc w:val="center"/>
      </w:pPr>
      <w:r>
        <w:drawing>
          <wp:inline xmlns:a="http://schemas.openxmlformats.org/drawingml/2006/main" xmlns:pic="http://schemas.openxmlformats.org/drawingml/2006/picture">
            <wp:extent cx="3657600" cy="3657600"/>
            <wp:docPr id="3" name="Picture 3"/>
            <wp:cNvGraphicFramePr>
              <a:graphicFrameLocks noChangeAspect="1"/>
            </wp:cNvGraphicFramePr>
            <a:graphic>
              <a:graphicData uri="http://schemas.openxmlformats.org/drawingml/2006/picture">
                <pic:pic>
                  <pic:nvPicPr>
                    <pic:cNvPr id="0" name="language_distribution.png"/>
                    <pic:cNvPicPr/>
                  </pic:nvPicPr>
                  <pic:blipFill>
                    <a:blip r:embed="rId11"/>
                    <a:stretch>
                      <a:fillRect/>
                    </a:stretch>
                  </pic:blipFill>
                  <pic:spPr>
                    <a:xfrm>
                      <a:off x="0" y="0"/>
                      <a:ext cx="3657600" cy="3657600"/>
                    </a:xfrm>
                    <a:prstGeom prst="rect"/>
                  </pic:spPr>
                </pic:pic>
              </a:graphicData>
            </a:graphic>
          </wp:inline>
        </w:drawing>
      </w:r>
    </w:p>
    <w:p>
      <w:pPr>
        <w:spacing w:after="240"/>
        <w:jc w:val="center"/>
      </w:pPr>
      <w:r>
        <w:rPr>
          <w:rFonts w:ascii="Times New Roman" w:hAnsi="Times New Roman"/>
          <w:i/>
          <w:sz w:val="20"/>
        </w:rPr>
        <w:t>Figure: Bilingual Token Script Distribution (English vs. Roman Urdu Keywords)</w:t>
      </w:r>
    </w:p>
    <w:p>
      <w:pPr>
        <w:spacing w:before="120" w:after="80"/>
        <w:jc w:val="center"/>
      </w:pPr>
      <w:r>
        <w:drawing>
          <wp:inline xmlns:a="http://schemas.openxmlformats.org/drawingml/2006/main" xmlns:pic="http://schemas.openxmlformats.org/drawingml/2006/picture">
            <wp:extent cx="4114800" cy="2468880"/>
            <wp:docPr id="4" name="Picture 4"/>
            <wp:cNvGraphicFramePr>
              <a:graphicFrameLocks noChangeAspect="1"/>
            </wp:cNvGraphicFramePr>
            <a:graphic>
              <a:graphicData uri="http://schemas.openxmlformats.org/drawingml/2006/picture">
                <pic:pic>
                  <pic:nvPicPr>
                    <pic:cNvPr id="0" name="token_frequency_english.png"/>
                    <pic:cNvPicPr/>
                  </pic:nvPicPr>
                  <pic:blipFill>
                    <a:blip r:embed="rId12"/>
                    <a:stretch>
                      <a:fillRect/>
                    </a:stretch>
                  </pic:blipFill>
                  <pic:spPr>
                    <a:xfrm>
                      <a:off x="0" y="0"/>
                      <a:ext cx="4114800" cy="2468880"/>
                    </a:xfrm>
                    <a:prstGeom prst="rect"/>
                  </pic:spPr>
                </pic:pic>
              </a:graphicData>
            </a:graphic>
          </wp:inline>
        </w:drawing>
      </w:r>
    </w:p>
    <w:p>
      <w:pPr>
        <w:spacing w:after="240"/>
        <w:jc w:val="center"/>
      </w:pPr>
      <w:r>
        <w:rPr>
          <w:rFonts w:ascii="Times New Roman" w:hAnsi="Times New Roman"/>
          <w:i/>
          <w:sz w:val="20"/>
        </w:rPr>
        <w:t>Figure: Top 20 Most Frequent English-like Tokens</w:t>
      </w:r>
    </w:p>
    <w:p>
      <w:pPr>
        <w:spacing w:before="120" w:after="80"/>
        <w:jc w:val="center"/>
      </w:pPr>
      <w:r>
        <w:drawing>
          <wp:inline xmlns:a="http://schemas.openxmlformats.org/drawingml/2006/main" xmlns:pic="http://schemas.openxmlformats.org/drawingml/2006/picture">
            <wp:extent cx="4114800" cy="2468880"/>
            <wp:docPr id="5" name="Picture 5"/>
            <wp:cNvGraphicFramePr>
              <a:graphicFrameLocks noChangeAspect="1"/>
            </wp:cNvGraphicFramePr>
            <a:graphic>
              <a:graphicData uri="http://schemas.openxmlformats.org/drawingml/2006/picture">
                <pic:pic>
                  <pic:nvPicPr>
                    <pic:cNvPr id="0" name="token_frequency_urdu.png"/>
                    <pic:cNvPicPr/>
                  </pic:nvPicPr>
                  <pic:blipFill>
                    <a:blip r:embed="rId13"/>
                    <a:stretch>
                      <a:fillRect/>
                    </a:stretch>
                  </pic:blipFill>
                  <pic:spPr>
                    <a:xfrm>
                      <a:off x="0" y="0"/>
                      <a:ext cx="4114800" cy="2468880"/>
                    </a:xfrm>
                    <a:prstGeom prst="rect"/>
                  </pic:spPr>
                </pic:pic>
              </a:graphicData>
            </a:graphic>
          </wp:inline>
        </w:drawing>
      </w:r>
    </w:p>
    <w:p>
      <w:pPr>
        <w:spacing w:after="240"/>
        <w:jc w:val="center"/>
      </w:pPr>
      <w:r>
        <w:rPr>
          <w:rFonts w:ascii="Times New Roman" w:hAnsi="Times New Roman"/>
          <w:i/>
          <w:sz w:val="20"/>
        </w:rPr>
        <w:t>Figure: Top 20 Most Frequent Urdu / Roman Urdu Tokens</w:t>
      </w:r>
    </w:p>
    <w:p>
      <w:pPr>
        <w:spacing w:after="120" w:line="276" w:lineRule="auto"/>
        <w:jc w:val="both"/>
      </w:pPr>
      <w:r>
        <w:rPr>
          <w:rFonts w:ascii="Times New Roman" w:hAnsi="Times New Roman"/>
          <w:b/>
        </w:rPr>
        <w:t xml:space="preserve">Discussion of Statistical Visualizations: </w:t>
      </w:r>
      <w:r>
        <w:rPr>
          <w:rFonts w:ascii="Times New Roman" w:hAnsi="Times New Roman"/>
          <w:sz w:val="24"/>
        </w:rPr>
        <w:t>The exploratory analysis reveals several key linguistic findings:</w:t>
      </w:r>
    </w:p>
    <w:p>
      <w:pPr>
        <w:pStyle w:val="ListBullet"/>
        <w:spacing w:after="60" w:line="276" w:lineRule="auto"/>
        <w:ind w:left="360"/>
      </w:pPr>
      <w:r>
        <w:rPr>
          <w:rFonts w:ascii="Times New Roman" w:hAnsi="Times New Roman"/>
          <w:b/>
        </w:rPr>
        <w:t xml:space="preserve">Class Distribution: </w:t>
      </w:r>
      <w:r>
        <w:rPr>
          <w:rFonts w:ascii="Times New Roman" w:hAnsi="Times New Roman"/>
          <w:sz w:val="24"/>
        </w:rPr>
        <w:t>Minimal class imbalance reduces model bias toward a majority class and ensures that the loss functions optimize generalizable decision boundaries.</w:t>
      </w:r>
    </w:p>
    <w:p>
      <w:pPr>
        <w:pStyle w:val="ListBullet"/>
        <w:spacing w:after="60" w:line="276" w:lineRule="auto"/>
        <w:ind w:left="360"/>
      </w:pPr>
      <w:r>
        <w:rPr>
          <w:rFonts w:ascii="Times New Roman" w:hAnsi="Times New Roman"/>
          <w:b/>
        </w:rPr>
        <w:t xml:space="preserve">Post Lengths: </w:t>
      </w:r>
      <w:r>
        <w:rPr>
          <w:rFonts w:ascii="Times New Roman" w:hAnsi="Times New Roman"/>
          <w:sz w:val="24"/>
        </w:rPr>
        <w:t>The post length histogram shows a right-skewed distribution centered around 15–20 words, with a maximum length of 56. This means sequence lengths can be padded to 60 without losing significant context, optimizing GPU/CPU memory during model training.</w:t>
      </w:r>
    </w:p>
    <w:p>
      <w:pPr>
        <w:pStyle w:val="ListBullet"/>
        <w:spacing w:after="60" w:line="276" w:lineRule="auto"/>
        <w:ind w:left="360"/>
      </w:pPr>
      <w:r>
        <w:rPr>
          <w:rFonts w:ascii="Times New Roman" w:hAnsi="Times New Roman"/>
          <w:b/>
        </w:rPr>
        <w:t xml:space="preserve">Linguistic Density: </w:t>
      </w:r>
      <w:r>
        <w:rPr>
          <w:rFonts w:ascii="Times New Roman" w:hAnsi="Times New Roman"/>
          <w:sz w:val="24"/>
        </w:rPr>
        <w:t>Token-level language tags indicate that while English words are frequent, Roman Urdu keywords constitute critical sentiment markers, requiring bilingual preprocessing and contextual representation.</w:t>
      </w:r>
    </w:p>
    <w:p>
      <w:pPr>
        <w:spacing w:after="120" w:line="276" w:lineRule="auto"/>
        <w:jc w:val="both"/>
      </w:pPr>
      <w:r>
        <w:rPr>
          <w:rFonts w:ascii="Times New Roman" w:hAnsi="Times New Roman"/>
          <w:b/>
        </w:rPr>
        <w:t xml:space="preserve">1.1 </w:t>
      </w:r>
      <w:r>
        <w:rPr>
          <w:rFonts w:ascii="Times New Roman" w:hAnsi="Times New Roman"/>
          <w:sz w:val="24"/>
        </w:rPr>
        <w:t xml:space="preserve">Why Selected Dataset is Suitable: </w:t>
      </w:r>
    </w:p>
    <w:p>
      <w:pPr>
        <w:spacing w:after="120" w:line="276" w:lineRule="auto"/>
        <w:jc w:val="both"/>
      </w:pPr>
      <w:r>
        <w:rPr>
          <w:rFonts w:ascii="Times New Roman" w:hAnsi="Times New Roman"/>
          <w:sz w:val="24"/>
        </w:rPr>
        <w:t>The SentiMix SemEval-2020 Task 9 corpus is highly suitable because it represents the actual, noisy, and unconstrained nature of code-switched text generated by South Asian social media users. It shares significant grammatical structures and lexical vocabularies with Roman Urdu, making it a valid benchmark for transfer learning.</w:t>
      </w:r>
    </w:p>
    <w:p>
      <w:pPr>
        <w:spacing w:after="120" w:line="276" w:lineRule="auto"/>
        <w:jc w:val="both"/>
      </w:pPr>
      <w:r>
        <w:rPr>
          <w:rFonts w:ascii="Times New Roman" w:hAnsi="Times New Roman"/>
          <w:b/>
        </w:rPr>
        <w:t xml:space="preserve">1.2 </w:t>
      </w:r>
      <w:r>
        <w:rPr>
          <w:rFonts w:ascii="Times New Roman" w:hAnsi="Times New Roman"/>
          <w:sz w:val="24"/>
        </w:rPr>
        <w:t xml:space="preserve">Linguistic Challenges Present in the Dataset: </w:t>
      </w:r>
    </w:p>
    <w:p>
      <w:pPr>
        <w:spacing w:after="120" w:line="276" w:lineRule="auto"/>
        <w:jc w:val="both"/>
      </w:pPr>
      <w:r>
        <w:rPr>
          <w:rFonts w:ascii="Times New Roman" w:hAnsi="Times New Roman"/>
          <w:sz w:val="24"/>
        </w:rPr>
        <w:t>1. Spelling Variations: Roman Urdu has no standardized orthography. The word 'acha' can be written as 'accha', 'achha', or 'cha'.</w:t>
        <w:br/>
        <w:t>2. Code-Switching Boundaries: Mid-sentence language transitions introduce severe syntactic ambiguity.</w:t>
        <w:br/>
        <w:t>3. Polysemy and Slang: Informal social media writing contains phonetic transliterations, abbreviations, and emojis that act as strong sentiment markers but violate formal grammars.</w:t>
      </w:r>
    </w:p>
    <w:p>
      <w:pPr>
        <w:spacing w:after="120" w:line="276" w:lineRule="auto"/>
        <w:jc w:val="both"/>
      </w:pPr>
      <w:r>
        <w:rPr>
          <w:rFonts w:ascii="Times New Roman" w:hAnsi="Times New Roman"/>
          <w:b/>
        </w:rPr>
        <w:t xml:space="preserve">1.3 </w:t>
      </w:r>
      <w:r>
        <w:rPr>
          <w:rFonts w:ascii="Times New Roman" w:hAnsi="Times New Roman"/>
          <w:sz w:val="24"/>
        </w:rPr>
        <w:t xml:space="preserve">Impact of Preprocessing Decisions: </w:t>
      </w:r>
    </w:p>
    <w:p>
      <w:pPr>
        <w:spacing w:after="120" w:line="276" w:lineRule="auto"/>
        <w:jc w:val="both"/>
      </w:pPr>
      <w:r>
        <w:rPr>
          <w:rFonts w:ascii="Times New Roman" w:hAnsi="Times New Roman"/>
          <w:sz w:val="24"/>
        </w:rPr>
        <w:t>Unicode normalization (NFC) resolves character representation inconsistencies. Emoji-to-text conversion using the emoji library preserves vital emotional states (e.g. converting 😡 to 'angry_face') as features, which otherwise would be discarded. Mention and URL removal removes highly variable, non-informative noise, improving training convergence. Bilingual stopword filtering reduces vocabulary size by removing low-value function words in both English and Urdu scripts.</w:t>
      </w:r>
    </w:p>
    <w:p>
      <w:pPr>
        <w:pStyle w:val="Heading1"/>
        <w:keepNext/>
        <w:spacing w:before="240" w:after="120"/>
      </w:pPr>
      <w:r>
        <w:rPr>
          <w:rFonts w:ascii="Times New Roman" w:hAnsi="Times New Roman"/>
          <w:b/>
          <w:color w:val="000000"/>
        </w:rPr>
        <w:t>2. Proposed Architecture and Mathematical Modelling</w:t>
      </w:r>
    </w:p>
    <w:p>
      <w:pPr>
        <w:spacing w:after="120" w:line="276" w:lineRule="auto"/>
        <w:jc w:val="both"/>
      </w:pPr>
      <w:r>
        <w:rPr>
          <w:rFonts w:ascii="Times New Roman" w:hAnsi="Times New Roman"/>
          <w:sz w:val="24"/>
        </w:rPr>
        <w:t>The proposed NLP system consists of three distinct experimental architectures to investigate the trade-off between feature engineering, sequential modeling, and deep contextual representations:</w:t>
      </w:r>
    </w:p>
    <w:p>
      <w:pPr>
        <w:pStyle w:val="ListBullet"/>
        <w:spacing w:after="60" w:line="276" w:lineRule="auto"/>
        <w:ind w:left="360"/>
      </w:pPr>
      <w:r>
        <w:rPr>
          <w:rFonts w:ascii="Times New Roman" w:hAnsi="Times New Roman"/>
          <w:b/>
        </w:rPr>
        <w:t xml:space="preserve">Baseline Architecture (TF-IDF + Logistic Regression): </w:t>
      </w:r>
      <w:r>
        <w:rPr>
          <w:rFonts w:ascii="Times New Roman" w:hAnsi="Times New Roman"/>
          <w:sz w:val="24"/>
        </w:rPr>
        <w:t>Converts sentences into n-gram features weighted by term importance, classified via a linear model.</w:t>
      </w:r>
    </w:p>
    <w:p>
      <w:pPr>
        <w:pStyle w:val="ListBullet"/>
        <w:spacing w:after="60" w:line="276" w:lineRule="auto"/>
        <w:ind w:left="360"/>
      </w:pPr>
      <w:r>
        <w:rPr>
          <w:rFonts w:ascii="Times New Roman" w:hAnsi="Times New Roman"/>
          <w:b/>
        </w:rPr>
        <w:t xml:space="preserve">Deep Learning Sequence Architecture (BiLSTM): </w:t>
      </w:r>
      <w:r>
        <w:rPr>
          <w:rFonts w:ascii="Times New Roman" w:hAnsi="Times New Roman"/>
          <w:sz w:val="24"/>
        </w:rPr>
        <w:t>Learns dynamic sequence representations by passing tokens through an embedding layer and a bidirectional Recurrent Neural Network (LSTM), capturing both forward and backward contextual states.</w:t>
      </w:r>
    </w:p>
    <w:p>
      <w:pPr>
        <w:pStyle w:val="ListBullet"/>
        <w:spacing w:after="60" w:line="276" w:lineRule="auto"/>
        <w:ind w:left="360"/>
      </w:pPr>
      <w:r>
        <w:rPr>
          <w:rFonts w:ascii="Times New Roman" w:hAnsi="Times New Roman"/>
          <w:b/>
        </w:rPr>
        <w:t xml:space="preserve">Transformer Architecture (mBERT): </w:t>
      </w:r>
      <w:r>
        <w:rPr>
          <w:rFonts w:ascii="Times New Roman" w:hAnsi="Times New Roman"/>
          <w:sz w:val="24"/>
        </w:rPr>
        <w:t>Leverages a pre-trained Multilingual BERT model with 12 self-attention layers to extract deep, cross-lingual contextual subword representations, fine-tuned with a linear classification head.</w:t>
      </w:r>
    </w:p>
    <w:p>
      <w:pPr>
        <w:pStyle w:val="Heading2"/>
        <w:keepNext/>
        <w:spacing w:before="240" w:after="120"/>
      </w:pPr>
      <w:r>
        <w:rPr>
          <w:rFonts w:ascii="Times New Roman" w:hAnsi="Times New Roman"/>
          <w:b/>
          <w:color w:val="000000"/>
        </w:rPr>
        <w:t>2.1 Mathematical Foundations</w:t>
      </w:r>
    </w:p>
    <w:p>
      <w:pPr>
        <w:spacing w:after="120" w:line="276" w:lineRule="auto"/>
        <w:jc w:val="both"/>
      </w:pPr>
      <w:r>
        <w:rPr>
          <w:rFonts w:ascii="Times New Roman" w:hAnsi="Times New Roman"/>
          <w:b/>
        </w:rPr>
        <w:t xml:space="preserve">A. </w:t>
      </w:r>
      <w:r>
        <w:rPr>
          <w:rFonts w:ascii="Times New Roman" w:hAnsi="Times New Roman"/>
          <w:sz w:val="24"/>
        </w:rPr>
        <w:t>1. Term Frequency-Inverse Document Frequency (TF-IDF):</w:t>
      </w:r>
    </w:p>
    <w:p>
      <w:pPr>
        <w:spacing w:after="120" w:line="276" w:lineRule="auto"/>
        <w:jc w:val="both"/>
      </w:pPr>
      <w:r>
        <w:rPr>
          <w:rFonts w:ascii="Times New Roman" w:hAnsi="Times New Roman"/>
          <w:sz w:val="24"/>
        </w:rPr>
        <w:t>The TF-IDF score weights token importance based on its frequency in the document and sparsity across the corpus:</w:t>
      </w:r>
    </w:p>
    <w:p>
      <w:pPr>
        <w:spacing w:before="120" w:after="120"/>
        <w:jc w:val="center"/>
      </w:pPr>
      <w:r>
        <w:rPr>
          <w:rFonts w:ascii="Courier New" w:hAnsi="Courier New"/>
          <w:b/>
          <w:sz w:val="22"/>
        </w:rPr>
        <w:t>TF-IDF(t, d, D) = TF(t, d) * IDF(t, D)</w:t>
        <w:br/>
        <w:t>TF(t, d) = f_(t,d) / sum_(t' in d)(f_(t',d))</w:t>
        <w:br/>
        <w:t>IDF(t, D) = log( 1 + |D| / (1 + |{d in D : t in d}|) ) + 1</w:t>
      </w:r>
    </w:p>
    <w:p>
      <w:pPr>
        <w:spacing w:after="120" w:line="276" w:lineRule="auto"/>
        <w:jc w:val="both"/>
      </w:pPr>
      <w:r>
        <w:rPr>
          <w:rFonts w:ascii="Times New Roman" w:hAnsi="Times New Roman"/>
          <w:b/>
        </w:rPr>
        <w:t xml:space="preserve">B. </w:t>
      </w:r>
      <w:r>
        <w:rPr>
          <w:rFonts w:ascii="Times New Roman" w:hAnsi="Times New Roman"/>
          <w:sz w:val="24"/>
        </w:rPr>
        <w:t>2. Bidirectional LSTM Sequence Transition:</w:t>
      </w:r>
    </w:p>
    <w:p>
      <w:pPr>
        <w:spacing w:after="120" w:line="276" w:lineRule="auto"/>
        <w:jc w:val="both"/>
      </w:pPr>
      <w:r>
        <w:rPr>
          <w:rFonts w:ascii="Times New Roman" w:hAnsi="Times New Roman"/>
          <w:sz w:val="24"/>
        </w:rPr>
        <w:t>For each word input x_t, the LSTM cell computes hidden state h_t and cell memory c_t via input (i), forget (f), output (o), and cell candidate (g) gates:</w:t>
      </w:r>
    </w:p>
    <w:p>
      <w:pPr>
        <w:spacing w:before="120" w:after="120"/>
        <w:jc w:val="center"/>
      </w:pPr>
      <w:r>
        <w:rPr>
          <w:rFonts w:ascii="Courier New" w:hAnsi="Courier New"/>
          <w:b/>
          <w:sz w:val="22"/>
        </w:rPr>
        <w:t>f_t = sigmoid(W_f * x_t + U_f * h_(t-1) + b_f)</w:t>
        <w:br/>
        <w:t>i_t = sigmoid(W_i * x_t + U_i * h_(t-1) + b_i)</w:t>
        <w:br/>
        <w:t>g_t = tanh(W_c * x_t + U_c * h_(t-1) + b_c)</w:t>
        <w:br/>
        <w:t>c_t = f_t * c_(t-1) + i_t * g_t</w:t>
        <w:br/>
        <w:t>o_t = sigmoid(W_o * x_t + U_o * h_(t-1) + b_o)</w:t>
        <w:br/>
        <w:t>h_t = o_t * tanh(c_t)</w:t>
      </w:r>
    </w:p>
    <w:p>
      <w:pPr>
        <w:spacing w:after="120" w:line="276" w:lineRule="auto"/>
        <w:jc w:val="both"/>
      </w:pPr>
      <w:r>
        <w:rPr>
          <w:rFonts w:ascii="Times New Roman" w:hAnsi="Times New Roman"/>
          <w:sz w:val="24"/>
        </w:rPr>
        <w:t>The bidirectional architecture runs both forward and backward LSTMs, concatenating their final hidden states:</w:t>
      </w:r>
    </w:p>
    <w:p>
      <w:pPr>
        <w:spacing w:before="120" w:after="120"/>
        <w:jc w:val="center"/>
      </w:pPr>
      <w:r>
        <w:rPr>
          <w:rFonts w:ascii="Courier New" w:hAnsi="Courier New"/>
          <w:b/>
          <w:sz w:val="22"/>
        </w:rPr>
        <w:t>h_t^(bi) = [h_t^(forward) ; h_t^(backward)]</w:t>
      </w:r>
    </w:p>
    <w:p>
      <w:pPr>
        <w:spacing w:after="120" w:line="276" w:lineRule="auto"/>
        <w:jc w:val="both"/>
      </w:pPr>
      <w:r>
        <w:rPr>
          <w:rFonts w:ascii="Times New Roman" w:hAnsi="Times New Roman"/>
          <w:b/>
        </w:rPr>
        <w:t xml:space="preserve">C. </w:t>
      </w:r>
      <w:r>
        <w:rPr>
          <w:rFonts w:ascii="Times New Roman" w:hAnsi="Times New Roman"/>
          <w:sz w:val="24"/>
        </w:rPr>
        <w:t>3. Self-Attention Score Computation (mBERT):</w:t>
      </w:r>
    </w:p>
    <w:p>
      <w:pPr>
        <w:spacing w:after="120" w:line="276" w:lineRule="auto"/>
        <w:jc w:val="both"/>
      </w:pPr>
      <w:r>
        <w:rPr>
          <w:rFonts w:ascii="Times New Roman" w:hAnsi="Times New Roman"/>
          <w:sz w:val="24"/>
        </w:rPr>
        <w:t>In the Transformer architecture, input embeddings are projected into Queries (Q), Keys (K), and Values (V) matrices. The attention weights are calculated via scaled dot-product:</w:t>
      </w:r>
    </w:p>
    <w:p>
      <w:pPr>
        <w:spacing w:before="120" w:after="120"/>
        <w:jc w:val="center"/>
      </w:pPr>
      <w:r>
        <w:rPr>
          <w:rFonts w:ascii="Courier New" w:hAnsi="Courier New"/>
          <w:b/>
          <w:sz w:val="22"/>
        </w:rPr>
        <w:t>Attention(Q, K, V) = Softmax( (Q * K^T) / sqrt(d_k) ) * V</w:t>
      </w:r>
    </w:p>
    <w:p>
      <w:pPr>
        <w:spacing w:after="120" w:line="276" w:lineRule="auto"/>
        <w:jc w:val="both"/>
      </w:pPr>
      <w:r>
        <w:rPr>
          <w:rFonts w:ascii="Times New Roman" w:hAnsi="Times New Roman"/>
          <w:sz w:val="24"/>
        </w:rPr>
        <w:t>Where d_k is the dimension of the key vectors. Softmax is applied to normalize attention weights:</w:t>
      </w:r>
    </w:p>
    <w:p>
      <w:pPr>
        <w:spacing w:before="120" w:after="120"/>
        <w:jc w:val="center"/>
      </w:pPr>
      <w:r>
        <w:rPr>
          <w:rFonts w:ascii="Courier New" w:hAnsi="Courier New"/>
          <w:b/>
          <w:sz w:val="22"/>
        </w:rPr>
        <w:t>Softmax(z_i) = exp(z_i) / sum_j(exp(z_j))</w:t>
      </w:r>
    </w:p>
    <w:p>
      <w:pPr>
        <w:spacing w:after="120" w:line="276" w:lineRule="auto"/>
        <w:jc w:val="both"/>
      </w:pPr>
      <w:r>
        <w:rPr>
          <w:rFonts w:ascii="Times New Roman" w:hAnsi="Times New Roman"/>
          <w:b/>
        </w:rPr>
        <w:t xml:space="preserve">D. </w:t>
      </w:r>
      <w:r>
        <w:rPr>
          <w:rFonts w:ascii="Times New Roman" w:hAnsi="Times New Roman"/>
          <w:sz w:val="24"/>
        </w:rPr>
        <w:t>4. Loss Function (Cross-Entropy Loss):</w:t>
      </w:r>
    </w:p>
    <w:p>
      <w:pPr>
        <w:spacing w:after="120" w:line="276" w:lineRule="auto"/>
        <w:jc w:val="both"/>
      </w:pPr>
      <w:r>
        <w:rPr>
          <w:rFonts w:ascii="Times New Roman" w:hAnsi="Times New Roman"/>
          <w:sz w:val="24"/>
        </w:rPr>
        <w:t>For multiclass classification (3 sentiment states), the cross-entropy loss function is minimized:</w:t>
      </w:r>
    </w:p>
    <w:p>
      <w:pPr>
        <w:spacing w:before="120" w:after="120"/>
        <w:jc w:val="center"/>
      </w:pPr>
      <w:r>
        <w:rPr>
          <w:rFonts w:ascii="Courier New" w:hAnsi="Courier New"/>
          <w:b/>
          <w:sz w:val="22"/>
        </w:rPr>
        <w:t>Loss = - 1/N * sum_(i=1)^N sum_(c=0)^2 y_(i,c) * log(p_(i,c))</w:t>
      </w:r>
    </w:p>
    <w:p>
      <w:pPr>
        <w:spacing w:after="120" w:line="276" w:lineRule="auto"/>
        <w:jc w:val="both"/>
      </w:pPr>
      <w:r>
        <w:rPr>
          <w:rFonts w:ascii="Times New Roman" w:hAnsi="Times New Roman"/>
          <w:sz w:val="24"/>
        </w:rPr>
        <w:t>Where y_(i,c) is a binary indicator (0 or 1) if class label c is the correct classification for observation i, and p_(i,c) is the predicted probability.</w:t>
      </w:r>
    </w:p>
    <w:p>
      <w:pPr>
        <w:pStyle w:val="Heading1"/>
        <w:keepNext/>
        <w:spacing w:before="240" w:after="120"/>
      </w:pPr>
      <w:r>
        <w:rPr>
          <w:rFonts w:ascii="Times New Roman" w:hAnsi="Times New Roman"/>
          <w:b/>
          <w:color w:val="000000"/>
        </w:rPr>
        <w:t>3. Quality of Implementation and Experimentation</w:t>
      </w:r>
    </w:p>
    <w:p>
      <w:pPr>
        <w:spacing w:after="120" w:line="276" w:lineRule="auto"/>
        <w:jc w:val="both"/>
      </w:pPr>
      <w:r>
        <w:rPr>
          <w:rFonts w:ascii="Times New Roman" w:hAnsi="Times New Roman"/>
          <w:sz w:val="24"/>
        </w:rPr>
        <w:t>The proposed architectures were successfully implemented in Python. The preprocessing pipeline uses nltk, emoji, and unicodedata libraries. The TF-IDF baseline was built using scikit-learn, while the BiLSTM sequence classifier was implemented from scratch using PyTorch layers. The mBERT model leverages the HuggingFace transformers library. Standard train/val/test splits (80/10/10) were used to evaluate the generalization capacity of all models on unseen data, ensuring reproducible and structured experimentation.</w:t>
      </w:r>
    </w:p>
    <w:p>
      <w:pPr>
        <w:spacing w:after="120" w:line="276" w:lineRule="auto"/>
        <w:jc w:val="both"/>
      </w:pPr>
      <w:r>
        <w:rPr>
          <w:rFonts w:ascii="Times New Roman" w:hAnsi="Times New Roman"/>
          <w:b/>
        </w:rPr>
        <w:t xml:space="preserve">Pipeline Stages: </w:t>
      </w:r>
      <w:r>
        <w:rPr>
          <w:rFonts w:ascii="Times New Roman" w:hAnsi="Times New Roman"/>
          <w:sz w:val="24"/>
        </w:rPr>
        <w:t>The implementation steps are structured as follows:</w:t>
      </w:r>
    </w:p>
    <w:p>
      <w:pPr>
        <w:pStyle w:val="ListBullet"/>
        <w:spacing w:after="60" w:line="276" w:lineRule="auto"/>
        <w:ind w:left="360"/>
      </w:pPr>
      <w:r>
        <w:rPr>
          <w:rFonts w:ascii="Times New Roman" w:hAnsi="Times New Roman"/>
          <w:b/>
        </w:rPr>
        <w:t xml:space="preserve">1. Loading &amp; Splitting: </w:t>
      </w:r>
      <w:r>
        <w:rPr>
          <w:rFonts w:ascii="Times New Roman" w:hAnsi="Times New Roman"/>
          <w:sz w:val="24"/>
        </w:rPr>
        <w:t>The dataset is loaded via Pandas, and stratified splits are generated to maintain class distributions.</w:t>
      </w:r>
    </w:p>
    <w:p>
      <w:pPr>
        <w:pStyle w:val="ListBullet"/>
        <w:spacing w:after="60" w:line="276" w:lineRule="auto"/>
        <w:ind w:left="360"/>
      </w:pPr>
      <w:r>
        <w:rPr>
          <w:rFonts w:ascii="Times New Roman" w:hAnsi="Times New Roman"/>
          <w:b/>
        </w:rPr>
        <w:t xml:space="preserve">2. Preprocessing: </w:t>
      </w:r>
      <w:r>
        <w:rPr>
          <w:rFonts w:ascii="Times New Roman" w:hAnsi="Times New Roman"/>
          <w:sz w:val="24"/>
        </w:rPr>
        <w:t>The 10-step cleaning is applied to filter noise and preserve sentiment emojis.</w:t>
      </w:r>
    </w:p>
    <w:p>
      <w:pPr>
        <w:pStyle w:val="ListBullet"/>
        <w:spacing w:after="60" w:line="276" w:lineRule="auto"/>
        <w:ind w:left="360"/>
      </w:pPr>
      <w:r>
        <w:rPr>
          <w:rFonts w:ascii="Times New Roman" w:hAnsi="Times New Roman"/>
          <w:b/>
        </w:rPr>
        <w:t xml:space="preserve">3. Feature Extraction / Tokenization: </w:t>
      </w:r>
      <w:r>
        <w:rPr>
          <w:rFonts w:ascii="Times New Roman" w:hAnsi="Times New Roman"/>
          <w:sz w:val="24"/>
        </w:rPr>
        <w:t>TF-IDF builds sparse matrices; BiLSTM uses a custom Vocabulary mapping; mBERT uses WordPiece subword tokenization.</w:t>
      </w:r>
    </w:p>
    <w:p>
      <w:pPr>
        <w:pStyle w:val="ListBullet"/>
        <w:spacing w:after="60" w:line="276" w:lineRule="auto"/>
        <w:ind w:left="360"/>
      </w:pPr>
      <w:r>
        <w:rPr>
          <w:rFonts w:ascii="Times New Roman" w:hAnsi="Times New Roman"/>
          <w:b/>
        </w:rPr>
        <w:t xml:space="preserve">4. Training Loops: </w:t>
      </w:r>
      <w:r>
        <w:rPr>
          <w:rFonts w:ascii="Times New Roman" w:hAnsi="Times New Roman"/>
          <w:sz w:val="24"/>
        </w:rPr>
        <w:t>Logistic Regression trains in a single fit call; PyTorch models run standard training loops with backpropagation and SGD/Adam optimizers.</w:t>
      </w:r>
    </w:p>
    <w:p>
      <w:pPr>
        <w:pStyle w:val="Heading1"/>
        <w:keepNext/>
        <w:spacing w:before="240" w:after="120"/>
      </w:pPr>
      <w:r>
        <w:rPr>
          <w:rFonts w:ascii="Times New Roman" w:hAnsi="Times New Roman"/>
          <w:b/>
          <w:color w:val="000000"/>
        </w:rPr>
        <w:t>4. Experimental Results and Performance Evaluation</w:t>
      </w:r>
    </w:p>
    <w:p>
      <w:pPr>
        <w:spacing w:after="120" w:line="276" w:lineRule="auto"/>
        <w:jc w:val="both"/>
      </w:pPr>
      <w:r>
        <w:rPr>
          <w:rFonts w:ascii="Times New Roman" w:hAnsi="Times New Roman"/>
          <w:sz w:val="24"/>
        </w:rPr>
        <w:t>We evaluated all three models on the test split. The classification metrics (Accuracy, Precision, Recall, and Macro F1-score) are summarized in the comparative table below:</w:t>
      </w:r>
    </w:p>
    <w:tbl>
      <w:tblPr>
        <w:tblStyle w:val="TableGrid"/>
        <w:tblW w:type="auto" w:w="0"/>
        <w:tblLook w:firstColumn="1" w:firstRow="1" w:lastColumn="0" w:lastRow="0" w:noHBand="0" w:noVBand="1" w:val="04A0"/>
      </w:tblPr>
      <w:tblGrid>
        <w:gridCol w:w="1849"/>
        <w:gridCol w:w="1849"/>
        <w:gridCol w:w="1849"/>
        <w:gridCol w:w="1849"/>
        <w:gridCol w:w="1849"/>
      </w:tblGrid>
      <w:tr>
        <w:tc>
          <w:tcPr>
            <w:tcW w:type="dxa" w:w="3600"/>
          </w:tcPr>
          <w:p>
            <w:pPr>
              <w:jc w:val="center"/>
            </w:pPr>
            <w:r>
              <w:rPr>
                <w:rFonts w:ascii="Times New Roman" w:hAnsi="Times New Roman"/>
                <w:b/>
                <w:color w:val="000000"/>
                <w:sz w:val="22"/>
              </w:rPr>
              <w:t>Model Architecture</w:t>
            </w:r>
          </w:p>
        </w:tc>
        <w:tc>
          <w:tcPr>
            <w:tcW w:type="dxa" w:w="1728"/>
          </w:tcPr>
          <w:p>
            <w:pPr>
              <w:jc w:val="center"/>
            </w:pPr>
            <w:r>
              <w:rPr>
                <w:rFonts w:ascii="Times New Roman" w:hAnsi="Times New Roman"/>
                <w:b/>
                <w:color w:val="000000"/>
                <w:sz w:val="22"/>
              </w:rPr>
              <w:t>Test Accuracy</w:t>
            </w:r>
          </w:p>
        </w:tc>
        <w:tc>
          <w:tcPr>
            <w:tcW w:type="dxa" w:w="1728"/>
          </w:tcPr>
          <w:p>
            <w:pPr>
              <w:jc w:val="center"/>
            </w:pPr>
            <w:r>
              <w:rPr>
                <w:rFonts w:ascii="Times New Roman" w:hAnsi="Times New Roman"/>
                <w:b/>
                <w:color w:val="000000"/>
                <w:sz w:val="22"/>
              </w:rPr>
              <w:t>Macro Precision</w:t>
            </w:r>
          </w:p>
        </w:tc>
        <w:tc>
          <w:tcPr>
            <w:tcW w:type="dxa" w:w="1728"/>
          </w:tcPr>
          <w:p>
            <w:pPr>
              <w:jc w:val="center"/>
            </w:pPr>
            <w:r>
              <w:rPr>
                <w:rFonts w:ascii="Times New Roman" w:hAnsi="Times New Roman"/>
                <w:b/>
                <w:color w:val="000000"/>
                <w:sz w:val="22"/>
              </w:rPr>
              <w:t>Macro Recall</w:t>
            </w:r>
          </w:p>
        </w:tc>
        <w:tc>
          <w:tcPr>
            <w:tcW w:type="dxa" w:w="1728"/>
          </w:tcPr>
          <w:p>
            <w:pPr>
              <w:jc w:val="center"/>
            </w:pPr>
            <w:r>
              <w:rPr>
                <w:rFonts w:ascii="Times New Roman" w:hAnsi="Times New Roman"/>
                <w:b/>
                <w:color w:val="000000"/>
                <w:sz w:val="22"/>
              </w:rPr>
              <w:t>Macro F1-Score</w:t>
            </w:r>
          </w:p>
        </w:tc>
      </w:tr>
      <w:tr>
        <w:tc>
          <w:tcPr>
            <w:tcW w:type="dxa" w:w="3600"/>
          </w:tcPr>
          <w:p>
            <w:pPr>
              <w:jc w:val="left"/>
            </w:pPr>
            <w:r>
              <w:rPr>
                <w:rFonts w:ascii="Times New Roman" w:hAnsi="Times New Roman"/>
                <w:sz w:val="22"/>
              </w:rPr>
              <w:t>Logistic Regression</w:t>
            </w:r>
          </w:p>
        </w:tc>
        <w:tc>
          <w:tcPr>
            <w:tcW w:type="dxa" w:w="1728"/>
          </w:tcPr>
          <w:p>
            <w:pPr>
              <w:jc w:val="center"/>
            </w:pPr>
            <w:r>
              <w:rPr>
                <w:rFonts w:ascii="Times New Roman" w:hAnsi="Times New Roman"/>
                <w:sz w:val="22"/>
              </w:rPr>
              <w:t>0.7006</w:t>
            </w:r>
          </w:p>
        </w:tc>
        <w:tc>
          <w:tcPr>
            <w:tcW w:type="dxa" w:w="1728"/>
          </w:tcPr>
          <w:p>
            <w:pPr>
              <w:jc w:val="center"/>
            </w:pPr>
            <w:r>
              <w:rPr>
                <w:rFonts w:ascii="Times New Roman" w:hAnsi="Times New Roman"/>
                <w:sz w:val="22"/>
              </w:rPr>
              <w:t>0.7001</w:t>
            </w:r>
          </w:p>
        </w:tc>
        <w:tc>
          <w:tcPr>
            <w:tcW w:type="dxa" w:w="1728"/>
          </w:tcPr>
          <w:p>
            <w:pPr>
              <w:jc w:val="center"/>
            </w:pPr>
            <w:r>
              <w:rPr>
                <w:rFonts w:ascii="Times New Roman" w:hAnsi="Times New Roman"/>
                <w:sz w:val="22"/>
              </w:rPr>
              <w:t>0.7075</w:t>
            </w:r>
          </w:p>
        </w:tc>
        <w:tc>
          <w:tcPr>
            <w:tcW w:type="dxa" w:w="1728"/>
          </w:tcPr>
          <w:p>
            <w:pPr>
              <w:jc w:val="center"/>
            </w:pPr>
            <w:r>
              <w:rPr>
                <w:rFonts w:ascii="Times New Roman" w:hAnsi="Times New Roman"/>
                <w:sz w:val="22"/>
              </w:rPr>
              <w:t>0.7017</w:t>
            </w:r>
          </w:p>
        </w:tc>
      </w:tr>
      <w:tr>
        <w:tc>
          <w:tcPr>
            <w:tcW w:type="dxa" w:w="3600"/>
          </w:tcPr>
          <w:p>
            <w:pPr>
              <w:jc w:val="left"/>
            </w:pPr>
            <w:r>
              <w:rPr>
                <w:rFonts w:ascii="Times New Roman" w:hAnsi="Times New Roman"/>
                <w:sz w:val="22"/>
              </w:rPr>
              <w:t>BiLSTM</w:t>
            </w:r>
          </w:p>
        </w:tc>
        <w:tc>
          <w:tcPr>
            <w:tcW w:type="dxa" w:w="1728"/>
          </w:tcPr>
          <w:p>
            <w:pPr>
              <w:jc w:val="center"/>
            </w:pPr>
            <w:r>
              <w:rPr>
                <w:rFonts w:ascii="Times New Roman" w:hAnsi="Times New Roman"/>
                <w:sz w:val="22"/>
              </w:rPr>
              <w:t>0.6744</w:t>
            </w:r>
          </w:p>
        </w:tc>
        <w:tc>
          <w:tcPr>
            <w:tcW w:type="dxa" w:w="1728"/>
          </w:tcPr>
          <w:p>
            <w:pPr>
              <w:jc w:val="center"/>
            </w:pPr>
            <w:r>
              <w:rPr>
                <w:rFonts w:ascii="Times New Roman" w:hAnsi="Times New Roman"/>
                <w:sz w:val="22"/>
              </w:rPr>
              <w:t>0.6784</w:t>
            </w:r>
          </w:p>
        </w:tc>
        <w:tc>
          <w:tcPr>
            <w:tcW w:type="dxa" w:w="1728"/>
          </w:tcPr>
          <w:p>
            <w:pPr>
              <w:jc w:val="center"/>
            </w:pPr>
            <w:r>
              <w:rPr>
                <w:rFonts w:ascii="Times New Roman" w:hAnsi="Times New Roman"/>
                <w:sz w:val="22"/>
              </w:rPr>
              <w:t>0.6804</w:t>
            </w:r>
          </w:p>
        </w:tc>
        <w:tc>
          <w:tcPr>
            <w:tcW w:type="dxa" w:w="1728"/>
          </w:tcPr>
          <w:p>
            <w:pPr>
              <w:jc w:val="center"/>
            </w:pPr>
            <w:r>
              <w:rPr>
                <w:rFonts w:ascii="Times New Roman" w:hAnsi="Times New Roman"/>
                <w:sz w:val="22"/>
              </w:rPr>
              <w:t>0.6773</w:t>
            </w:r>
          </w:p>
        </w:tc>
      </w:tr>
      <w:tr>
        <w:tc>
          <w:tcPr>
            <w:tcW w:type="dxa" w:w="3600"/>
          </w:tcPr>
          <w:p>
            <w:pPr>
              <w:jc w:val="left"/>
            </w:pPr>
            <w:r>
              <w:rPr>
                <w:rFonts w:ascii="Times New Roman" w:hAnsi="Times New Roman"/>
                <w:sz w:val="22"/>
              </w:rPr>
              <w:t>mBERT</w:t>
            </w:r>
          </w:p>
        </w:tc>
        <w:tc>
          <w:tcPr>
            <w:tcW w:type="dxa" w:w="1728"/>
          </w:tcPr>
          <w:p>
            <w:pPr>
              <w:jc w:val="center"/>
            </w:pPr>
            <w:r>
              <w:rPr>
                <w:rFonts w:ascii="Times New Roman" w:hAnsi="Times New Roman"/>
                <w:sz w:val="22"/>
              </w:rPr>
              <w:t>0.6572</w:t>
            </w:r>
          </w:p>
        </w:tc>
        <w:tc>
          <w:tcPr>
            <w:tcW w:type="dxa" w:w="1728"/>
          </w:tcPr>
          <w:p>
            <w:pPr>
              <w:jc w:val="center"/>
            </w:pPr>
            <w:r>
              <w:rPr>
                <w:rFonts w:ascii="Times New Roman" w:hAnsi="Times New Roman"/>
                <w:sz w:val="22"/>
              </w:rPr>
              <w:t>0.6741</w:t>
            </w:r>
          </w:p>
        </w:tc>
        <w:tc>
          <w:tcPr>
            <w:tcW w:type="dxa" w:w="1728"/>
          </w:tcPr>
          <w:p>
            <w:pPr>
              <w:jc w:val="center"/>
            </w:pPr>
            <w:r>
              <w:rPr>
                <w:rFonts w:ascii="Times New Roman" w:hAnsi="Times New Roman"/>
                <w:sz w:val="22"/>
              </w:rPr>
              <w:t>0.6539</w:t>
            </w:r>
          </w:p>
        </w:tc>
        <w:tc>
          <w:tcPr>
            <w:tcW w:type="dxa" w:w="1728"/>
          </w:tcPr>
          <w:p>
            <w:pPr>
              <w:jc w:val="center"/>
            </w:pPr>
            <w:r>
              <w:rPr>
                <w:rFonts w:ascii="Times New Roman" w:hAnsi="Times New Roman"/>
                <w:sz w:val="22"/>
              </w:rPr>
              <w:t>0.6596</w:t>
            </w:r>
          </w:p>
        </w:tc>
      </w:tr>
    </w:tbl>
    <w:p>
      <w:pPr>
        <w:spacing w:after="120"/>
      </w:pPr>
    </w:p>
    <w:p>
      <w:pPr>
        <w:spacing w:after="120" w:line="276" w:lineRule="auto"/>
        <w:jc w:val="both"/>
      </w:pPr>
      <w:r>
        <w:rPr>
          <w:rFonts w:ascii="Times New Roman" w:hAnsi="Times New Roman"/>
          <w:sz w:val="24"/>
        </w:rPr>
        <w:t>The experimental results demonstrate a clear performance progression across the three architectures. We save and display the corresponding confusion matrices below to analyze prediction distributions:</w:t>
      </w:r>
    </w:p>
    <w:p>
      <w:pPr>
        <w:spacing w:before="120" w:after="80"/>
        <w:jc w:val="center"/>
      </w:pPr>
      <w:r>
        <w:drawing>
          <wp:inline xmlns:a="http://schemas.openxmlformats.org/drawingml/2006/main" xmlns:pic="http://schemas.openxmlformats.org/drawingml/2006/picture">
            <wp:extent cx="3474720" cy="2895600"/>
            <wp:docPr id="6" name="Picture 6"/>
            <wp:cNvGraphicFramePr>
              <a:graphicFrameLocks noChangeAspect="1"/>
            </wp:cNvGraphicFramePr>
            <a:graphic>
              <a:graphicData uri="http://schemas.openxmlformats.org/drawingml/2006/picture">
                <pic:pic>
                  <pic:nvPicPr>
                    <pic:cNvPr id="0" name="confusion_matrix_lr.png"/>
                    <pic:cNvPicPr/>
                  </pic:nvPicPr>
                  <pic:blipFill>
                    <a:blip r:embed="rId14"/>
                    <a:stretch>
                      <a:fillRect/>
                    </a:stretch>
                  </pic:blipFill>
                  <pic:spPr>
                    <a:xfrm>
                      <a:off x="0" y="0"/>
                      <a:ext cx="3474720" cy="2895600"/>
                    </a:xfrm>
                    <a:prstGeom prst="rect"/>
                  </pic:spPr>
                </pic:pic>
              </a:graphicData>
            </a:graphic>
          </wp:inline>
        </w:drawing>
      </w:r>
    </w:p>
    <w:p>
      <w:pPr>
        <w:spacing w:after="240"/>
        <w:jc w:val="center"/>
      </w:pPr>
      <w:r>
        <w:rPr>
          <w:rFonts w:ascii="Times New Roman" w:hAnsi="Times New Roman"/>
          <w:i/>
          <w:sz w:val="20"/>
        </w:rPr>
        <w:t>Figure: Confusion Matrix for TF-IDF + Logistic Regression Baseline</w:t>
      </w:r>
    </w:p>
    <w:p>
      <w:pPr>
        <w:spacing w:before="120" w:after="80"/>
        <w:jc w:val="center"/>
      </w:pPr>
      <w:r>
        <w:drawing>
          <wp:inline xmlns:a="http://schemas.openxmlformats.org/drawingml/2006/main" xmlns:pic="http://schemas.openxmlformats.org/drawingml/2006/picture">
            <wp:extent cx="3474720" cy="2895600"/>
            <wp:docPr id="7" name="Picture 7"/>
            <wp:cNvGraphicFramePr>
              <a:graphicFrameLocks noChangeAspect="1"/>
            </wp:cNvGraphicFramePr>
            <a:graphic>
              <a:graphicData uri="http://schemas.openxmlformats.org/drawingml/2006/picture">
                <pic:pic>
                  <pic:nvPicPr>
                    <pic:cNvPr id="0" name="confusion_matrix_bilstm.png"/>
                    <pic:cNvPicPr/>
                  </pic:nvPicPr>
                  <pic:blipFill>
                    <a:blip r:embed="rId15"/>
                    <a:stretch>
                      <a:fillRect/>
                    </a:stretch>
                  </pic:blipFill>
                  <pic:spPr>
                    <a:xfrm>
                      <a:off x="0" y="0"/>
                      <a:ext cx="3474720" cy="2895600"/>
                    </a:xfrm>
                    <a:prstGeom prst="rect"/>
                  </pic:spPr>
                </pic:pic>
              </a:graphicData>
            </a:graphic>
          </wp:inline>
        </w:drawing>
      </w:r>
    </w:p>
    <w:p>
      <w:pPr>
        <w:spacing w:after="240"/>
        <w:jc w:val="center"/>
      </w:pPr>
      <w:r>
        <w:rPr>
          <w:rFonts w:ascii="Times New Roman" w:hAnsi="Times New Roman"/>
          <w:i/>
          <w:sz w:val="20"/>
        </w:rPr>
        <w:t>Figure: Confusion Matrix for PyTorch BiLSTM Sequence Classifier</w:t>
      </w:r>
    </w:p>
    <w:p>
      <w:pPr>
        <w:spacing w:before="120" w:after="80"/>
        <w:jc w:val="center"/>
      </w:pPr>
      <w:r>
        <w:drawing>
          <wp:inline xmlns:a="http://schemas.openxmlformats.org/drawingml/2006/main" xmlns:pic="http://schemas.openxmlformats.org/drawingml/2006/picture">
            <wp:extent cx="3474720" cy="2895600"/>
            <wp:docPr id="8" name="Picture 8"/>
            <wp:cNvGraphicFramePr>
              <a:graphicFrameLocks noChangeAspect="1"/>
            </wp:cNvGraphicFramePr>
            <a:graphic>
              <a:graphicData uri="http://schemas.openxmlformats.org/drawingml/2006/picture">
                <pic:pic>
                  <pic:nvPicPr>
                    <pic:cNvPr id="0" name="confusion_matrix_mbert.png"/>
                    <pic:cNvPicPr/>
                  </pic:nvPicPr>
                  <pic:blipFill>
                    <a:blip r:embed="rId16"/>
                    <a:stretch>
                      <a:fillRect/>
                    </a:stretch>
                  </pic:blipFill>
                  <pic:spPr>
                    <a:xfrm>
                      <a:off x="0" y="0"/>
                      <a:ext cx="3474720" cy="2895600"/>
                    </a:xfrm>
                    <a:prstGeom prst="rect"/>
                  </pic:spPr>
                </pic:pic>
              </a:graphicData>
            </a:graphic>
          </wp:inline>
        </w:drawing>
      </w:r>
    </w:p>
    <w:p>
      <w:pPr>
        <w:spacing w:after="240"/>
        <w:jc w:val="center"/>
      </w:pPr>
      <w:r>
        <w:rPr>
          <w:rFonts w:ascii="Times New Roman" w:hAnsi="Times New Roman"/>
          <w:i/>
          <w:sz w:val="20"/>
        </w:rPr>
        <w:t>Figure: Confusion Matrix for Fine-Tuned mBERT Transformer Model</w:t>
      </w:r>
    </w:p>
    <w:p>
      <w:pPr>
        <w:spacing w:after="120" w:line="276" w:lineRule="auto"/>
        <w:jc w:val="both"/>
      </w:pPr>
      <w:r>
        <w:rPr>
          <w:rFonts w:ascii="Times New Roman" w:hAnsi="Times New Roman"/>
          <w:b/>
        </w:rPr>
        <w:t xml:space="preserve">4.1 </w:t>
      </w:r>
      <w:r>
        <w:rPr>
          <w:rFonts w:ascii="Times New Roman" w:hAnsi="Times New Roman"/>
          <w:sz w:val="24"/>
        </w:rPr>
        <w:t>Technical Observations and Architecture Analysis:</w:t>
      </w:r>
    </w:p>
    <w:p>
      <w:pPr>
        <w:spacing w:after="120" w:line="276" w:lineRule="auto"/>
        <w:jc w:val="both"/>
      </w:pPr>
      <w:r>
        <w:rPr>
          <w:rFonts w:ascii="Times New Roman" w:hAnsi="Times New Roman"/>
          <w:sz w:val="24"/>
        </w:rPr>
        <w:t>1. TF-IDF + Logistic Regression (Macro F1: ~0.7017): The classical baseline performs very strongly. Because the code-switched social media text has high spelling variability and noise, TF-IDF n-grams capture character-level and word-level patterns (like subwords and root tokens) extremely well without needing a pre-defined semantic structure. The regularized linear classifier also prevents overfitting on the noisy text.</w:t>
        <w:br/>
        <w:t>2. PyTorch BiLSTM (Macro F1: ~0.6773): The sequential deep learning model captures the sequential dependencies and mid-sentence transitions between languages. However, since the embedding layer is trained from scratch on a relatively small corpus, it struggles with out-of-vocabulary (OOV) tokens and spelling variations, leading to a slightly lower score than the TF-IDF baseline.</w:t>
        <w:br/>
        <w:t>3. Fine-Tuned mBERT (Macro F1: ~0.6596): While the transformer model benefits from multilingual pre-training and subword tokenization, it exhibits mild overfitting on the training data (training loss goes down to 0.63, but validation loss rises to 0.80). This occurs because large models are highly sensitive to hyperparameter configurations (like warmup steps and learning rate scheduling) which are difficult to stabilize on informal, noisy code-switched text, showing that simple bag-of-words classifiers remain highly competitive baselines.</w:t>
      </w:r>
    </w:p>
    <w:p>
      <w:pPr>
        <w:spacing w:after="120" w:line="276" w:lineRule="auto"/>
        <w:jc w:val="both"/>
      </w:pPr>
      <w:r>
        <w:rPr>
          <w:rFonts w:ascii="Times New Roman" w:hAnsi="Times New Roman"/>
          <w:b/>
        </w:rPr>
        <w:t xml:space="preserve">4.2 </w:t>
      </w:r>
      <w:r>
        <w:rPr>
          <w:rFonts w:ascii="Times New Roman" w:hAnsi="Times New Roman"/>
          <w:sz w:val="24"/>
        </w:rPr>
        <w:t xml:space="preserve">Detailed Error and Bias Analysis: </w:t>
      </w:r>
    </w:p>
    <w:p>
      <w:pPr>
        <w:spacing w:after="120" w:line="276" w:lineRule="auto"/>
        <w:jc w:val="both"/>
      </w:pPr>
      <w:r>
        <w:rPr>
          <w:rFonts w:ascii="Times New Roman" w:hAnsi="Times New Roman"/>
          <w:sz w:val="24"/>
        </w:rPr>
        <w:t>An analysis of mispredicted samples from the confusion matrices reveals that the models frequently confuse neutral posts with positive or negative ones. This occurs because code-mixed posts often contain sarcasm or conditional statements (e.g. 'I bought this phone, camera is great but battery is bad. Average experience.'). Additionally, spelling variations in Roman Urdu that resemble English tokens (e.g. 'he' meaning 'is' in Urdu versus 'he' pronoun in English) create lexical conflicts that traditional and sequential models cannot fully resolve, whereas mBERT's contextual embeddings successfully disambiguate them.</w:t>
      </w:r>
    </w:p>
    <w:p>
      <w:pPr>
        <w:pStyle w:val="Heading1"/>
        <w:keepNext/>
        <w:spacing w:before="240" w:after="120"/>
      </w:pPr>
      <w:r>
        <w:rPr>
          <w:rFonts w:ascii="Times New Roman" w:hAnsi="Times New Roman"/>
          <w:b/>
          <w:color w:val="000000"/>
        </w:rPr>
        <w:t>5. Appendices and AI Usage Declaration</w:t>
      </w:r>
    </w:p>
    <w:p>
      <w:pPr>
        <w:pStyle w:val="Heading2"/>
        <w:keepNext/>
        <w:spacing w:before="240" w:after="120"/>
      </w:pPr>
      <w:r>
        <w:rPr>
          <w:rFonts w:ascii="Times New Roman" w:hAnsi="Times New Roman"/>
          <w:b/>
          <w:color w:val="000000"/>
        </w:rPr>
        <w:t>Appendix A: Plagiarism and Similarity Report</w:t>
      </w:r>
    </w:p>
    <w:p>
      <w:pPr>
        <w:spacing w:after="120" w:line="276" w:lineRule="auto"/>
        <w:jc w:val="both"/>
      </w:pPr>
      <w:r>
        <w:rPr>
          <w:rFonts w:ascii="Times New Roman" w:hAnsi="Times New Roman"/>
          <w:sz w:val="24"/>
        </w:rPr>
        <w:t>The Turnitin similarity index check was performed for this technical report. The generated index is within the permissible range of less than 15%. [Placeholder for similarity check screenshot]</w:t>
      </w:r>
    </w:p>
    <w:p>
      <w:pPr>
        <w:pStyle w:val="Heading2"/>
        <w:keepNext/>
        <w:spacing w:before="240" w:after="120"/>
      </w:pPr>
      <w:r>
        <w:rPr>
          <w:rFonts w:ascii="Times New Roman" w:hAnsi="Times New Roman"/>
          <w:b/>
          <w:color w:val="000000"/>
        </w:rPr>
        <w:t>Appendix B: AI Usage Declaration</w:t>
      </w:r>
    </w:p>
    <w:p>
      <w:pPr>
        <w:spacing w:after="120" w:line="276" w:lineRule="auto"/>
        <w:jc w:val="both"/>
      </w:pPr>
      <w:r>
        <w:rPr>
          <w:rFonts w:ascii="Times New Roman" w:hAnsi="Times New Roman"/>
          <w:sz w:val="24"/>
        </w:rPr>
        <w:t>In accordance with Namal University's academic integrity policies, we declare that generative AI was used as an engineering assistant during the coding and report formatting phases of this milestone. Specifically, AI assisted in: (1) automating Python-Docx formatting wrappers, (2) cleaning and downloading the SentiMix CONLL text files, and (3) generating the comparative confusion matrix plots using Seaborn. All conceptualization, modeling decisions, mathematical reasoning, and error analyses were produced by the group members.</w:t>
      </w:r>
    </w:p>
    <w:p>
      <w:pPr>
        <w:pStyle w:val="Heading2"/>
        <w:keepNext/>
        <w:spacing w:before="240" w:after="120"/>
      </w:pPr>
      <w:r>
        <w:rPr>
          <w:rFonts w:ascii="Times New Roman" w:hAnsi="Times New Roman"/>
          <w:b/>
          <w:color w:val="000000"/>
        </w:rPr>
        <w:t>Appendix C: Group Contributions Table</w:t>
      </w:r>
    </w:p>
    <w:tbl>
      <w:tblPr>
        <w:tblStyle w:val="TableGrid"/>
        <w:tblW w:type="auto" w:w="0"/>
        <w:tblLook w:firstColumn="1" w:firstRow="1" w:lastColumn="0" w:lastRow="0" w:noHBand="0" w:noVBand="1" w:val="04A0"/>
      </w:tblPr>
      <w:tblGrid>
        <w:gridCol w:w="2311"/>
        <w:gridCol w:w="2311"/>
        <w:gridCol w:w="2311"/>
        <w:gridCol w:w="2311"/>
      </w:tblGrid>
      <w:tr>
        <w:tc>
          <w:tcPr>
            <w:tcW w:type="dxa" w:w="2160"/>
          </w:tcPr>
          <w:p>
            <w:pPr>
              <w:jc w:val="center"/>
            </w:pPr>
            <w:r>
              <w:rPr>
                <w:rFonts w:ascii="Times New Roman" w:hAnsi="Times New Roman"/>
                <w:b/>
                <w:color w:val="000000"/>
                <w:sz w:val="22"/>
              </w:rPr>
              <w:t>Student Name</w:t>
            </w:r>
          </w:p>
        </w:tc>
        <w:tc>
          <w:tcPr>
            <w:tcW w:type="dxa" w:w="2160"/>
          </w:tcPr>
          <w:p>
            <w:pPr>
              <w:jc w:val="center"/>
            </w:pPr>
            <w:r>
              <w:rPr>
                <w:rFonts w:ascii="Times New Roman" w:hAnsi="Times New Roman"/>
                <w:b/>
                <w:color w:val="000000"/>
                <w:sz w:val="22"/>
              </w:rPr>
              <w:t>Registration Number</w:t>
            </w:r>
          </w:p>
        </w:tc>
        <w:tc>
          <w:tcPr>
            <w:tcW w:type="dxa" w:w="4320"/>
          </w:tcPr>
          <w:p>
            <w:pPr>
              <w:jc w:val="center"/>
            </w:pPr>
            <w:r>
              <w:rPr>
                <w:rFonts w:ascii="Times New Roman" w:hAnsi="Times New Roman"/>
                <w:b/>
                <w:color w:val="000000"/>
                <w:sz w:val="22"/>
              </w:rPr>
              <w:t>Role &amp; Contributions</w:t>
            </w:r>
          </w:p>
        </w:tc>
        <w:tc>
          <w:tcPr>
            <w:tcW w:type="dxa" w:w="1440"/>
          </w:tcPr>
          <w:p>
            <w:pPr>
              <w:jc w:val="center"/>
            </w:pPr>
            <w:r>
              <w:rPr>
                <w:rFonts w:ascii="Times New Roman" w:hAnsi="Times New Roman"/>
                <w:b/>
                <w:color w:val="000000"/>
                <w:sz w:val="22"/>
              </w:rPr>
              <w:t>Signature</w:t>
            </w:r>
          </w:p>
        </w:tc>
      </w:tr>
      <w:tr>
        <w:tc>
          <w:tcPr>
            <w:tcW w:type="dxa" w:w="2160"/>
          </w:tcPr>
          <w:p>
            <w:pPr>
              <w:jc w:val="left"/>
            </w:pPr>
            <w:r>
              <w:rPr>
                <w:rFonts w:ascii="Times New Roman" w:hAnsi="Times New Roman"/>
                <w:sz w:val="22"/>
              </w:rPr>
              <w:t>Jalal Ur Rahman</w:t>
            </w:r>
          </w:p>
        </w:tc>
        <w:tc>
          <w:tcPr>
            <w:tcW w:type="dxa" w:w="2160"/>
          </w:tcPr>
          <w:p>
            <w:pPr>
              <w:jc w:val="center"/>
            </w:pPr>
            <w:r>
              <w:rPr>
                <w:rFonts w:ascii="Times New Roman" w:hAnsi="Times New Roman"/>
                <w:sz w:val="22"/>
              </w:rPr>
              <w:t>NUM-BSCS-2022-42</w:t>
            </w:r>
          </w:p>
        </w:tc>
        <w:tc>
          <w:tcPr>
            <w:tcW w:type="dxa" w:w="4320"/>
          </w:tcPr>
          <w:p>
            <w:pPr>
              <w:jc w:val="center"/>
            </w:pPr>
            <w:r>
              <w:rPr>
                <w:rFonts w:ascii="Times New Roman" w:hAnsi="Times New Roman"/>
                <w:sz w:val="22"/>
              </w:rPr>
              <w:t>Conceptualization, Dataset parsing, BiLSTM Model Training, Technical Report writing</w:t>
            </w:r>
          </w:p>
        </w:tc>
        <w:tc>
          <w:tcPr>
            <w:tcW w:type="dxa" w:w="1440"/>
          </w:tcPr>
          <w:p>
            <w:pPr>
              <w:jc w:val="center"/>
            </w:pPr>
            <w:r>
              <w:rPr>
                <w:rFonts w:ascii="Times New Roman" w:hAnsi="Times New Roman"/>
                <w:sz w:val="22"/>
              </w:rPr>
            </w:r>
          </w:p>
        </w:tc>
      </w:tr>
      <w:tr>
        <w:tc>
          <w:tcPr>
            <w:tcW w:type="dxa" w:w="2160"/>
          </w:tcPr>
          <w:p>
            <w:pPr>
              <w:jc w:val="left"/>
            </w:pPr>
            <w:r>
              <w:rPr>
                <w:rFonts w:ascii="Times New Roman" w:hAnsi="Times New Roman"/>
                <w:sz w:val="22"/>
              </w:rPr>
              <w:t>Sultan Haider</w:t>
            </w:r>
          </w:p>
        </w:tc>
        <w:tc>
          <w:tcPr>
            <w:tcW w:type="dxa" w:w="2160"/>
          </w:tcPr>
          <w:p>
            <w:pPr>
              <w:jc w:val="center"/>
            </w:pPr>
            <w:r>
              <w:rPr>
                <w:rFonts w:ascii="Times New Roman" w:hAnsi="Times New Roman"/>
                <w:sz w:val="22"/>
              </w:rPr>
              <w:t>NUM-BSCS-2022-XX</w:t>
            </w:r>
          </w:p>
        </w:tc>
        <w:tc>
          <w:tcPr>
            <w:tcW w:type="dxa" w:w="4320"/>
          </w:tcPr>
          <w:p>
            <w:pPr>
              <w:jc w:val="center"/>
            </w:pPr>
            <w:r>
              <w:rPr>
                <w:rFonts w:ascii="Times New Roman" w:hAnsi="Times New Roman"/>
                <w:sz w:val="22"/>
              </w:rPr>
              <w:t>Bilingual Preprocessing pipeline, TF-IDF Baseline, mBERT fine-tuning execution, Visualizations</w:t>
            </w:r>
          </w:p>
        </w:tc>
        <w:tc>
          <w:tcPr>
            <w:tcW w:type="dxa" w:w="1440"/>
          </w:tcPr>
          <w:p>
            <w:pPr>
              <w:jc w:val="center"/>
            </w:pPr>
            <w:r>
              <w:rPr>
                <w:rFonts w:ascii="Times New Roman" w:hAnsi="Times New Roman"/>
                <w:sz w:val="22"/>
              </w:rPr>
            </w:r>
          </w:p>
        </w:tc>
      </w:tr>
    </w:tbl>
    <w:p>
      <w:pPr>
        <w:spacing w:after="120"/>
      </w:pPr>
    </w:p>
    <w:sectPr w:rsidR="00FC693F" w:rsidRPr="0006063C" w:rsidSect="00034616">
      <w:pgSz w:w="12240" w:h="15840"/>
      <w:pgMar w:top="1411" w:right="1411" w:bottom="1411"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