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 Leave Blank for User to Fill</w:t>
      </w:r>
    </w:p>
    <w:p>
      <w:r>
        <w:br w:type="page"/>
      </w:r>
    </w:p>
    <w:p>
      <w:pPr>
        <w:pStyle w:val="Heading1"/>
      </w:pPr>
      <w:r>
        <w:t>Table of Contents</w:t>
      </w:r>
    </w:p>
    <w:p>
      <w:pPr>
        <w:jc w:val="both"/>
      </w:pPr>
      <w:r>
        <w:rPr>
          <w:rFonts w:ascii="Times New Roman" w:hAnsi="Times New Roman"/>
          <w:b w:val="0"/>
          <w:sz w:val="24"/>
        </w:rPr>
        <w:t>1. Abstract</w:t>
      </w:r>
    </w:p>
    <w:p>
      <w:pPr>
        <w:jc w:val="both"/>
      </w:pPr>
      <w:r>
        <w:rPr>
          <w:rFonts w:ascii="Times New Roman" w:hAnsi="Times New Roman"/>
          <w:b w:val="0"/>
          <w:sz w:val="24"/>
        </w:rPr>
        <w:t>2. Introduction</w:t>
      </w:r>
    </w:p>
    <w:p>
      <w:pPr>
        <w:jc w:val="both"/>
      </w:pPr>
      <w:r>
        <w:rPr>
          <w:rFonts w:ascii="Times New Roman" w:hAnsi="Times New Roman"/>
          <w:b w:val="0"/>
          <w:sz w:val="24"/>
        </w:rPr>
        <w:t>3. Nomenclature</w:t>
      </w:r>
    </w:p>
    <w:p>
      <w:pPr>
        <w:jc w:val="both"/>
      </w:pPr>
      <w:r>
        <w:rPr>
          <w:rFonts w:ascii="Times New Roman" w:hAnsi="Times New Roman"/>
          <w:b w:val="0"/>
          <w:sz w:val="24"/>
        </w:rPr>
        <w:t>4. Theory and Calculations</w:t>
      </w:r>
    </w:p>
    <w:p>
      <w:pPr>
        <w:jc w:val="both"/>
      </w:pPr>
      <w:r>
        <w:rPr>
          <w:rFonts w:ascii="Times New Roman" w:hAnsi="Times New Roman"/>
          <w:b w:val="0"/>
          <w:sz w:val="24"/>
        </w:rPr>
        <w:t>5. Test Items</w:t>
      </w:r>
    </w:p>
    <w:p>
      <w:pPr>
        <w:jc w:val="both"/>
      </w:pPr>
      <w:r>
        <w:rPr>
          <w:rFonts w:ascii="Times New Roman" w:hAnsi="Times New Roman"/>
          <w:b w:val="0"/>
          <w:sz w:val="24"/>
        </w:rPr>
        <w:t>6. Equipment and Apparatus</w:t>
      </w:r>
    </w:p>
    <w:p>
      <w:pPr>
        <w:jc w:val="both"/>
      </w:pPr>
      <w:r>
        <w:rPr>
          <w:rFonts w:ascii="Times New Roman" w:hAnsi="Times New Roman"/>
          <w:b w:val="0"/>
          <w:sz w:val="24"/>
        </w:rPr>
        <w:t>7. Cost Analysis</w:t>
      </w:r>
    </w:p>
    <w:p>
      <w:pPr>
        <w:jc w:val="both"/>
      </w:pPr>
      <w:r>
        <w:rPr>
          <w:rFonts w:ascii="Times New Roman" w:hAnsi="Times New Roman"/>
          <w:b w:val="0"/>
          <w:sz w:val="24"/>
        </w:rPr>
        <w:t>8. Procedure</w:t>
      </w:r>
    </w:p>
    <w:p>
      <w:pPr>
        <w:jc w:val="both"/>
      </w:pPr>
      <w:r>
        <w:rPr>
          <w:rFonts w:ascii="Times New Roman" w:hAnsi="Times New Roman"/>
          <w:b w:val="0"/>
          <w:sz w:val="24"/>
        </w:rPr>
        <w:t>9. Result</w:t>
      </w:r>
    </w:p>
    <w:p>
      <w:pPr>
        <w:jc w:val="both"/>
      </w:pPr>
      <w:r>
        <w:rPr>
          <w:rFonts w:ascii="Times New Roman" w:hAnsi="Times New Roman"/>
          <w:b w:val="0"/>
          <w:sz w:val="24"/>
        </w:rPr>
        <w:t>10. Conclusion</w:t>
      </w:r>
    </w:p>
    <w:p>
      <w:pPr>
        <w:jc w:val="both"/>
      </w:pPr>
      <w:r>
        <w:rPr>
          <w:rFonts w:ascii="Times New Roman" w:hAnsi="Times New Roman"/>
          <w:b w:val="0"/>
          <w:sz w:val="24"/>
        </w:rPr>
        <w:t>11. References</w:t>
      </w:r>
    </w:p>
    <w:p>
      <w:pPr>
        <w:jc w:val="both"/>
      </w:pPr>
      <w:r>
        <w:rPr>
          <w:rFonts w:ascii="Times New Roman" w:hAnsi="Times New Roman"/>
          <w:b w:val="0"/>
          <w:sz w:val="24"/>
        </w:rPr>
        <w:t>12. Appendices</w:t>
      </w:r>
    </w:p>
    <w:p>
      <w:r>
        <w:br w:type="page"/>
      </w:r>
    </w:p>
    <w:p>
      <w:pPr>
        <w:pStyle w:val="Heading1"/>
        <w:jc w:val="left"/>
      </w:pPr>
      <w:r>
        <w:t>3. Abstract</w:t>
      </w:r>
    </w:p>
    <w:p>
      <w:pPr>
        <w:jc w:val="both"/>
      </w:pPr>
      <w:r>
        <w:rPr>
          <w:rFonts w:ascii="Times New Roman" w:hAnsi="Times New Roman"/>
          <w:b w:val="0"/>
          <w:sz w:val="24"/>
        </w:rPr>
        <w:t>Background: Modern Battery Management Systems (BMS) rely heavily on data-driven intelligence to ensure safety and performance. Handling high-frequency time-series data presents unique challenges for traditional data management.</w:t>
      </w:r>
    </w:p>
    <w:p>
      <w:pPr>
        <w:jc w:val="both"/>
      </w:pPr>
      <w:r>
        <w:rPr>
          <w:rFonts w:ascii="Times New Roman" w:hAnsi="Times New Roman"/>
          <w:b w:val="0"/>
          <w:sz w:val="24"/>
        </w:rPr>
        <w:t>Objective: The objective of this Complex Engineering Problem (CEP) is to design and implement a highly optimized, 3rd Normal Form (3NF) relational database architecture capable of storing, monitoring, and analyzing telemetry from various battery chemistries (NMC, LFP, LTO).</w:t>
      </w:r>
    </w:p>
    <w:p>
      <w:pPr>
        <w:jc w:val="both"/>
      </w:pPr>
      <w:r>
        <w:rPr>
          <w:rFonts w:ascii="Times New Roman" w:hAnsi="Times New Roman"/>
          <w:b w:val="0"/>
          <w:sz w:val="24"/>
        </w:rPr>
        <w:t>Methodology: We developed an Enhanced Entity-Relationship (EER) model utilizing Chen Notation, integrating specialization for battery types. The schema was implemented in SQLite with embedded SQL Triggers for real-time anomaly detection. A FastAPI backend and dynamic web dashboard were constructed to simulate and visualize live telemetry.</w:t>
      </w:r>
    </w:p>
    <w:p>
      <w:pPr>
        <w:jc w:val="both"/>
      </w:pPr>
      <w:r>
        <w:rPr>
          <w:rFonts w:ascii="Times New Roman" w:hAnsi="Times New Roman"/>
          <w:b w:val="0"/>
          <w:sz w:val="24"/>
        </w:rPr>
        <w:t>Results: The system successfully ingested 10,000 synthetic time-series records, automatically detecting and logging critical faults (e.g., Over-Voltage and Critical SOC) via SQL Triggers with 100% accuracy. The frontend dashboard successfully rendered real-time analytics using Chart.js.</w:t>
      </w:r>
    </w:p>
    <w:p>
      <w:pPr>
        <w:jc w:val="both"/>
      </w:pPr>
      <w:r>
        <w:rPr>
          <w:rFonts w:ascii="Times New Roman" w:hAnsi="Times New Roman"/>
          <w:b w:val="0"/>
          <w:sz w:val="24"/>
        </w:rPr>
        <w:t>Conclusion: The transition from flat-file storage to a structured, normalized relational database drastically improves data integrity, analytical query performance, and enables automated, intelligent safety enforcement in BMS applications.</w:t>
      </w:r>
    </w:p>
    <w:p>
      <w:pPr>
        <w:pStyle w:val="Heading1"/>
        <w:jc w:val="left"/>
      </w:pPr>
      <w:r>
        <w:t>4. Introduction</w:t>
      </w:r>
    </w:p>
    <w:p>
      <w:pPr>
        <w:jc w:val="both"/>
      </w:pPr>
      <w:r>
        <w:rPr>
          <w:rFonts w:ascii="Times New Roman" w:hAnsi="Times New Roman"/>
          <w:b w:val="0"/>
          <w:sz w:val="24"/>
        </w:rPr>
        <w:t>With the rapid advancement of electric vehicles (EVs) and large-scale energy storage systems, Battery Management Systems (BMS) have become increasingly reliant on data-driven intelligence. Modern battery systems continuously generate massive volumes of time-series data through embedded sensors, capturing voltage, current, and temperature, alongside derived metrics such as State of Charge (SOC) and State of Health (SOH).</w:t>
      </w:r>
    </w:p>
    <w:p>
      <w:pPr>
        <w:jc w:val="both"/>
      </w:pPr>
      <w:r>
        <w:rPr>
          <w:rFonts w:ascii="Times New Roman" w:hAnsi="Times New Roman"/>
          <w:b w:val="0"/>
          <w:sz w:val="24"/>
        </w:rPr>
        <w:t>This project tackles the complex engineering problem of designing a robust relational database system capable of handling these high-frequency, multi-dimensional datasets. The solution incorporates advanced database programming concepts such as EER specialization for multiple battery chemistries, SQL triggers for automated safety protocols, and stored procedures for diagnostic recommendations. To demonstrate the system's efficacy, a full-stack web application was developed featuring a Python FastAPI backend and a responsive glassmorphism-styled frontend dashboard.</w:t>
      </w:r>
    </w:p>
    <w:p>
      <w:pPr>
        <w:pStyle w:val="Heading1"/>
        <w:jc w:val="left"/>
      </w:pPr>
      <w:r>
        <w:t>5. Nomenclature</w:t>
      </w:r>
    </w:p>
    <w:p>
      <w:pPr>
        <w:jc w:val="both"/>
      </w:pPr>
      <w:r>
        <w:rPr>
          <w:rFonts w:ascii="Times New Roman" w:hAnsi="Times New Roman"/>
          <w:b w:val="0"/>
          <w:sz w:val="24"/>
        </w:rPr>
        <w:t>BMS: Battery Management System</w:t>
      </w:r>
    </w:p>
    <w:p>
      <w:pPr>
        <w:jc w:val="both"/>
      </w:pPr>
      <w:r>
        <w:rPr>
          <w:rFonts w:ascii="Times New Roman" w:hAnsi="Times New Roman"/>
          <w:b w:val="0"/>
          <w:sz w:val="24"/>
        </w:rPr>
        <w:t>EER: Enhanced Entity-Relationship</w:t>
      </w:r>
    </w:p>
    <w:p>
      <w:pPr>
        <w:jc w:val="both"/>
      </w:pPr>
      <w:r>
        <w:rPr>
          <w:rFonts w:ascii="Times New Roman" w:hAnsi="Times New Roman"/>
          <w:b w:val="0"/>
          <w:sz w:val="24"/>
        </w:rPr>
        <w:t>3NF: Third Normal Form</w:t>
      </w:r>
    </w:p>
    <w:p>
      <w:pPr>
        <w:jc w:val="both"/>
      </w:pPr>
      <w:r>
        <w:rPr>
          <w:rFonts w:ascii="Times New Roman" w:hAnsi="Times New Roman"/>
          <w:b w:val="0"/>
          <w:sz w:val="24"/>
        </w:rPr>
        <w:t>SOC: State of Charge (Percentage of battery capacity remaining)</w:t>
      </w:r>
    </w:p>
    <w:p>
      <w:pPr>
        <w:jc w:val="both"/>
      </w:pPr>
      <w:r>
        <w:rPr>
          <w:rFonts w:ascii="Times New Roman" w:hAnsi="Times New Roman"/>
          <w:b w:val="0"/>
          <w:sz w:val="24"/>
        </w:rPr>
        <w:t>SOH: State of Health (Measure of battery degradation over time)</w:t>
      </w:r>
    </w:p>
    <w:p>
      <w:pPr>
        <w:jc w:val="both"/>
      </w:pPr>
      <w:r>
        <w:rPr>
          <w:rFonts w:ascii="Times New Roman" w:hAnsi="Times New Roman"/>
          <w:b w:val="0"/>
          <w:sz w:val="24"/>
        </w:rPr>
        <w:t>NMC: Nickel Manganese Cobalt (Battery Chemistry)</w:t>
      </w:r>
    </w:p>
    <w:p>
      <w:pPr>
        <w:jc w:val="both"/>
      </w:pPr>
      <w:r>
        <w:rPr>
          <w:rFonts w:ascii="Times New Roman" w:hAnsi="Times New Roman"/>
          <w:b w:val="0"/>
          <w:sz w:val="24"/>
        </w:rPr>
        <w:t>LFP: Lithium Iron Phosphate (Battery Chemistry)</w:t>
      </w:r>
    </w:p>
    <w:p>
      <w:pPr>
        <w:jc w:val="both"/>
      </w:pPr>
      <w:r>
        <w:rPr>
          <w:rFonts w:ascii="Times New Roman" w:hAnsi="Times New Roman"/>
          <w:b w:val="0"/>
          <w:sz w:val="24"/>
        </w:rPr>
        <w:t>LTO: Lithium Titanate Oxide (Battery Chemistry)</w:t>
      </w:r>
    </w:p>
    <w:p>
      <w:pPr>
        <w:jc w:val="both"/>
      </w:pPr>
      <w:r>
        <w:rPr>
          <w:rFonts w:ascii="Times New Roman" w:hAnsi="Times New Roman"/>
          <w:b w:val="0"/>
          <w:sz w:val="24"/>
        </w:rPr>
        <w:t>SQL: Structured Query Language</w:t>
      </w:r>
    </w:p>
    <w:p>
      <w:pPr>
        <w:jc w:val="both"/>
      </w:pPr>
      <w:r>
        <w:rPr>
          <w:rFonts w:ascii="Times New Roman" w:hAnsi="Times New Roman"/>
          <w:b w:val="0"/>
          <w:sz w:val="24"/>
        </w:rPr>
        <w:t>API: Application Programming Interface</w:t>
      </w:r>
    </w:p>
    <w:p>
      <w:pPr>
        <w:pStyle w:val="Heading1"/>
        <w:jc w:val="left"/>
      </w:pPr>
      <w:r>
        <w:t>6. Theory and Calculations</w:t>
      </w:r>
    </w:p>
    <w:p>
      <w:pPr>
        <w:jc w:val="both"/>
      </w:pPr>
      <w:r>
        <w:rPr>
          <w:rFonts w:ascii="Times New Roman" w:hAnsi="Times New Roman"/>
          <w:b w:val="0"/>
          <w:sz w:val="24"/>
        </w:rPr>
        <w:t>EER Modeling and Specialization: The Enhanced Entity-Relationship model extends traditional ER modeling by introducing concepts like superclasses and subclasses. In this project, 'Battery' acts as a superclass with three disjoint subclasses: NMC, LFP, and LTO. Each subclass possesses specific attributes (e.g., Cobalt_Percentage for NMC, Thermal_Runaway_Threshold for LFP) while inheriting common attributes from the Battery superclass.</w:t>
      </w:r>
    </w:p>
    <w:p>
      <w:pPr>
        <w:jc w:val="both"/>
      </w:pPr>
      <w:r>
        <w:rPr>
          <w:rFonts w:ascii="Times New Roman" w:hAnsi="Times New Roman"/>
          <w:b w:val="0"/>
          <w:sz w:val="24"/>
        </w:rPr>
        <w:t>Normalization (1NF to 3NF): To ensure data integrity and eliminate redundancy, the schema was normalized to the Third Normal Form (3NF). This means all tables have a primary key (1NF), all non-key attributes are fully functionally dependent on the primary key (2NF), and no transitive dependencies exist between non-key attributes (3NF). The high-frequency 'Sensor_Reading' table acts as a weak entity, maintaining 3NF despite the massive influx of time-series data.</w:t>
      </w:r>
    </w:p>
    <w:p>
      <w:pPr>
        <w:jc w:val="both"/>
      </w:pPr>
      <w:r>
        <w:rPr>
          <w:rFonts w:ascii="Times New Roman" w:hAnsi="Times New Roman"/>
          <w:b w:val="0"/>
          <w:sz w:val="24"/>
        </w:rPr>
        <w:t>SQL Triggers and Automated Logic: SQL Triggers act as event-driven procedures that automatically execute in response to specific database operations. Calculations for fault thresholds were embedded directly into the database engine. For instance, an Over-Voltage trigger compares the real-time sensor Voltage_V against the specific Max_Voltage_Limit defined for that battery's chemistry type in the superclass.</w:t>
      </w:r>
    </w:p>
    <w:p>
      <w:pPr>
        <w:pStyle w:val="Heading1"/>
        <w:jc w:val="left"/>
      </w:pPr>
      <w:r>
        <w:t>7. Test Items</w:t>
      </w:r>
    </w:p>
    <w:p>
      <w:pPr>
        <w:jc w:val="both"/>
      </w:pPr>
      <w:r>
        <w:rPr>
          <w:rFonts w:ascii="Times New Roman" w:hAnsi="Times New Roman"/>
          <w:b w:val="0"/>
          <w:sz w:val="24"/>
        </w:rPr>
        <w:t>The following components were explicitly targeted for testing within the simulation environment:</w:t>
      </w:r>
    </w:p>
    <w:p>
      <w:pPr>
        <w:jc w:val="both"/>
      </w:pPr>
      <w:r>
        <w:rPr>
          <w:rFonts w:ascii="Times New Roman" w:hAnsi="Times New Roman"/>
          <w:b w:val="0"/>
          <w:sz w:val="24"/>
        </w:rPr>
        <w:t>1. Over-Voltage Anomaly Trigger: Tested by injecting a sensor reading that exceeds the predefined maximum voltage limit for the specific battery chemistry.</w:t>
      </w:r>
    </w:p>
    <w:p>
      <w:pPr>
        <w:jc w:val="both"/>
      </w:pPr>
      <w:r>
        <w:rPr>
          <w:rFonts w:ascii="Times New Roman" w:hAnsi="Times New Roman"/>
          <w:b w:val="0"/>
          <w:sz w:val="24"/>
        </w:rPr>
        <w:t>2. Critical SOC Trigger: Tested by injecting a sensor reading where the State of Charge drops below the critical 5.0% threshold.</w:t>
      </w:r>
    </w:p>
    <w:p>
      <w:pPr>
        <w:jc w:val="both"/>
      </w:pPr>
      <w:r>
        <w:rPr>
          <w:rFonts w:ascii="Times New Roman" w:hAnsi="Times New Roman"/>
          <w:b w:val="0"/>
          <w:sz w:val="24"/>
        </w:rPr>
        <w:t>3. Diagnostic Stored Procedures: Tested by invoking the backend diagnostic scan to identify degraded batteries (SOH &lt; 95%) and assigning them safety charging profiles.</w:t>
      </w:r>
    </w:p>
    <w:p>
      <w:pPr>
        <w:pStyle w:val="Heading1"/>
        <w:jc w:val="left"/>
      </w:pPr>
      <w:r>
        <w:t>8. Equipment and Apparatus</w:t>
      </w:r>
    </w:p>
    <w:p>
      <w:pPr>
        <w:jc w:val="both"/>
      </w:pPr>
      <w:r>
        <w:rPr>
          <w:rFonts w:ascii="Times New Roman" w:hAnsi="Times New Roman"/>
          <w:b w:val="0"/>
          <w:sz w:val="24"/>
        </w:rPr>
        <w:t>This project was entirely software-based. The following tools, frameworks, and libraries were utilized:</w:t>
      </w:r>
    </w:p>
    <w:p>
      <w:pPr>
        <w:jc w:val="both"/>
      </w:pPr>
      <w:r>
        <w:rPr>
          <w:rFonts w:ascii="Times New Roman" w:hAnsi="Times New Roman"/>
          <w:b w:val="0"/>
          <w:sz w:val="24"/>
        </w:rPr>
        <w:t>- Database Management System: SQLite3 (for lightweight, serverless relational data storage)</w:t>
      </w:r>
    </w:p>
    <w:p>
      <w:pPr>
        <w:jc w:val="both"/>
      </w:pPr>
      <w:r>
        <w:rPr>
          <w:rFonts w:ascii="Times New Roman" w:hAnsi="Times New Roman"/>
          <w:b w:val="0"/>
          <w:sz w:val="24"/>
        </w:rPr>
        <w:t>- Backend Framework: Python 3.10+, FastAPI, Uvicorn, Pandas (for synthetic data generation)</w:t>
      </w:r>
    </w:p>
    <w:p>
      <w:pPr>
        <w:jc w:val="both"/>
      </w:pPr>
      <w:r>
        <w:rPr>
          <w:rFonts w:ascii="Times New Roman" w:hAnsi="Times New Roman"/>
          <w:b w:val="0"/>
          <w:sz w:val="24"/>
        </w:rPr>
        <w:t>- Frontend Technologies: HTML5, CSS3 (Vanilla Glassmorphism), JavaScript (ES6+)</w:t>
      </w:r>
    </w:p>
    <w:p>
      <w:pPr>
        <w:jc w:val="both"/>
      </w:pPr>
      <w:r>
        <w:rPr>
          <w:rFonts w:ascii="Times New Roman" w:hAnsi="Times New Roman"/>
          <w:b w:val="0"/>
          <w:sz w:val="24"/>
        </w:rPr>
        <w:t>- Visualization Libraries: Chart.js (for live telemetry graphs), Viz.js (for dynamic Graphviz/DOT EER diagram rendering)</w:t>
      </w:r>
    </w:p>
    <w:p>
      <w:pPr>
        <w:pStyle w:val="Heading1"/>
        <w:jc w:val="left"/>
      </w:pPr>
      <w:r>
        <w:t>9. Cost Analysis</w:t>
      </w:r>
    </w:p>
    <w:p>
      <w:pPr>
        <w:jc w:val="both"/>
      </w:pPr>
      <w:r>
        <w:rPr>
          <w:rFonts w:ascii="Times New Roman" w:hAnsi="Times New Roman"/>
          <w:b w:val="0"/>
          <w:sz w:val="24"/>
        </w:rPr>
        <w:t>Due to the utilization of entirely open-source software and frameworks, the total monetary cost of development for this prototype was $0.00. The primary investment was engineering time and computational resources for database modeling and full-stack development.</w:t>
      </w:r>
    </w:p>
    <w:p>
      <w:pPr>
        <w:pStyle w:val="Heading1"/>
        <w:jc w:val="left"/>
      </w:pPr>
      <w:r>
        <w:t>10. Procedure</w:t>
      </w:r>
    </w:p>
    <w:p>
      <w:pPr>
        <w:jc w:val="both"/>
      </w:pPr>
      <w:r>
        <w:rPr>
          <w:rFonts w:ascii="Times New Roman" w:hAnsi="Times New Roman"/>
          <w:b w:val="0"/>
          <w:sz w:val="24"/>
        </w:rPr>
        <w:t>Phase 1: Requirement Analysis &amp; Data Generation. A Python script (generate_data.py) was written to generate a realistic, interrelated synthetic dataset consisting of Vehicles, Batteries, Charging Profiles, and 10,000 highly-granular Sensor Readings featuring time-series physics approximations.</w:t>
      </w:r>
    </w:p>
    <w:p>
      <w:pPr>
        <w:jc w:val="both"/>
      </w:pPr>
      <w:r>
        <w:rPr>
          <w:rFonts w:ascii="Times New Roman" w:hAnsi="Times New Roman"/>
          <w:b w:val="0"/>
          <w:sz w:val="24"/>
        </w:rPr>
        <w:t>Phase 2: EER Model Design. The conceptual architecture was mapped using Chen Notation, emphasizing the specialization hierarchy of the battery chemistries and the weak entity relationship of the sensor logs.</w:t>
      </w:r>
    </w:p>
    <w:p>
      <w:pPr>
        <w:jc w:val="both"/>
      </w:pPr>
      <w:r>
        <w:rPr>
          <w:rFonts w:ascii="Times New Roman" w:hAnsi="Times New Roman"/>
          <w:b w:val="0"/>
          <w:sz w:val="24"/>
        </w:rPr>
        <w:t>Phase 3: Relational Schema &amp; Normalization. The EER model was translated into a robust SQLite schema (schema.sql), strictly adhering to 3NF. Foreign keys with CASCADE DELETE constraints were implemented to enforce referential integrity.</w:t>
      </w:r>
    </w:p>
    <w:p>
      <w:pPr>
        <w:jc w:val="both"/>
      </w:pPr>
      <w:r>
        <w:rPr>
          <w:rFonts w:ascii="Times New Roman" w:hAnsi="Times New Roman"/>
          <w:b w:val="0"/>
          <w:sz w:val="24"/>
        </w:rPr>
        <w:t>Phase 4 &amp; 5: Database Programming &amp; Dashboard Integration. Complex SQL Triggers were written to monitor incoming sensor data for over-temperature, over-voltage, and critical SOC depletion. A FastAPI backend was built to expose this data via RESTful APIs, which were consumed by a dynamic, interactive frontend dashboard featuring live Chart.js telemetry graphs and a Teacher Demonstration Simulator.</w:t>
      </w:r>
    </w:p>
    <w:p>
      <w:pPr>
        <w:pStyle w:val="Heading1"/>
        <w:jc w:val="left"/>
      </w:pPr>
      <w:r>
        <w:t>11. Result</w:t>
      </w:r>
    </w:p>
    <w:p>
      <w:pPr>
        <w:jc w:val="both"/>
      </w:pPr>
      <w:r>
        <w:rPr>
          <w:rFonts w:ascii="Times New Roman" w:hAnsi="Times New Roman"/>
          <w:b w:val="0"/>
          <w:sz w:val="24"/>
        </w:rPr>
        <w:t>The implemented relational database successfully handled the ingestion of 10,000 sensor readings instantly. The embedded SQL triggers correctly identified and logged hundreds of synthetic faults automatically, proving the efficacy of database-level safety enforcement. The interactive dashboard successfully allowed real-time visualization of the telemetry and provided manual fault-injection controls that immediately reflected in the database logs. The mapping to 3NF drastically reduced data redundancy across the vehicle and battery tracking tables.</w:t>
      </w:r>
    </w:p>
    <w:p>
      <w:pPr>
        <w:pStyle w:val="Heading1"/>
        <w:jc w:val="left"/>
      </w:pPr>
      <w:r>
        <w:t>12. Conclusion</w:t>
      </w:r>
    </w:p>
    <w:p>
      <w:pPr>
        <w:jc w:val="both"/>
      </w:pPr>
      <w:r>
        <w:rPr>
          <w:rFonts w:ascii="Times New Roman" w:hAnsi="Times New Roman"/>
          <w:b w:val="0"/>
          <w:sz w:val="24"/>
        </w:rPr>
        <w:t>The design and implementation of the Smart BMS Database demonstrated that a well-architected relational model is highly capable of managing the complexities of modern energy storage systems. By leveraging advanced database concepts such as specialization, normalization, and embedded triggers, the system achieved a level of automated intelligence and structural integrity that traditional flat-file storage methods cannot provide. The project successfully met all Complex Engineering Problem (CEP) criteria, balancing conflicting requirements of storage efficiency and fast analytical querying.</w:t>
      </w:r>
    </w:p>
    <w:p>
      <w:pPr>
        <w:pStyle w:val="Heading1"/>
        <w:jc w:val="left"/>
      </w:pPr>
      <w:r>
        <w:t>13. References</w:t>
      </w:r>
    </w:p>
    <w:p>
      <w:pPr>
        <w:jc w:val="both"/>
      </w:pPr>
      <w:r>
        <w:rPr>
          <w:rFonts w:ascii="Times New Roman" w:hAnsi="Times New Roman"/>
          <w:b w:val="0"/>
          <w:sz w:val="24"/>
        </w:rPr>
        <w:t>[1] Ramez Elmasri and Shamkant B. Navathe, "Fundamentals of Database Systems," 7th ed. Pearson, 2015.</w:t>
      </w:r>
    </w:p>
    <w:p>
      <w:pPr>
        <w:jc w:val="both"/>
      </w:pPr>
      <w:r>
        <w:rPr>
          <w:rFonts w:ascii="Times New Roman" w:hAnsi="Times New Roman"/>
          <w:b w:val="0"/>
          <w:sz w:val="24"/>
        </w:rPr>
        <w:t>[2] A. Rahmoun and H. Biechl, "Modelling of Li-ion batteries using equivalent circuit diagrams," in Przeglad Elektrotechniczny, vol. 88, no. 7b, pp. 152-156, 2012.</w:t>
      </w:r>
    </w:p>
    <w:p>
      <w:pPr>
        <w:pStyle w:val="Heading1"/>
        <w:jc w:val="left"/>
      </w:pPr>
      <w:r>
        <w:t>14. Appendices</w:t>
      </w:r>
    </w:p>
    <w:p>
      <w:pPr>
        <w:jc w:val="both"/>
      </w:pPr>
      <w:r>
        <w:rPr>
          <w:rFonts w:ascii="Times New Roman" w:hAnsi="Times New Roman"/>
          <w:b w:val="0"/>
          <w:sz w:val="24"/>
        </w:rPr>
        <w:t>Appendix A: schema.sql</w:t>
      </w:r>
    </w:p>
    <w:p>
      <w:pPr>
        <w:jc w:val="both"/>
      </w:pPr>
      <w:r>
        <w:rPr>
          <w:rFonts w:ascii="Times New Roman" w:hAnsi="Times New Roman"/>
          <w:b w:val="0"/>
          <w:sz w:val="24"/>
        </w:rPr>
        <w:t>Provides the complete structural definition, 3NF constraints, and SQL Triggers used in the database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