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47A8F" w14:textId="77777777" w:rsidR="00EF5619" w:rsidRPr="0005697D" w:rsidRDefault="001C6A5D" w:rsidP="0005697D">
      <w:pPr>
        <w:rPr>
          <w:b/>
          <w:bCs/>
        </w:rPr>
      </w:pPr>
      <w:r w:rsidRPr="0005697D">
        <w:rPr>
          <w:b/>
          <w:bCs/>
        </w:rPr>
        <w:t>ITAMS Capstone Milestone 5 Progress Summary</w:t>
      </w:r>
    </w:p>
    <w:p w14:paraId="01AE954C" w14:textId="77777777" w:rsidR="007A6877" w:rsidRDefault="00000000" w:rsidP="0005697D">
      <w:r>
        <w:t>Student: Jalen Bryant</w:t>
      </w:r>
    </w:p>
    <w:p w14:paraId="21A233D1" w14:textId="77777777" w:rsidR="007A6877" w:rsidRDefault="00000000" w:rsidP="0005697D">
      <w:r>
        <w:t>Milestone: Milestone 5</w:t>
      </w:r>
    </w:p>
    <w:p w14:paraId="66AA9D09" w14:textId="77777777" w:rsidR="007A6877" w:rsidRDefault="00000000" w:rsidP="0005697D">
      <w:r>
        <w:t>Course: SDD-680 - Software Maintenance and Testing</w:t>
      </w:r>
    </w:p>
    <w:p w14:paraId="3A575762" w14:textId="77777777" w:rsidR="007A6877" w:rsidRDefault="00000000" w:rsidP="0005697D">
      <w:r>
        <w:t>Professor: Teresa Peoples</w:t>
      </w:r>
    </w:p>
    <w:p w14:paraId="43C020C5" w14:textId="083BE2A7" w:rsidR="007A6877" w:rsidRDefault="00000000" w:rsidP="0005697D">
      <w:r>
        <w:t xml:space="preserve">Date: June </w:t>
      </w:r>
      <w:r w:rsidR="0005697D">
        <w:t>3</w:t>
      </w:r>
      <w:r>
        <w:t>, 2026</w:t>
      </w:r>
    </w:p>
    <w:p w14:paraId="3CB5FB0F" w14:textId="77777777" w:rsidR="00EF5619" w:rsidRDefault="001C6A5D">
      <w:pPr>
        <w:pStyle w:val="Heading1"/>
      </w:pPr>
      <w:r>
        <w:t>Executive Progress Snapshot</w:t>
      </w:r>
    </w:p>
    <w:p w14:paraId="2C6D51F5" w14:textId="77777777" w:rsidR="00EF5619" w:rsidRDefault="001C6A5D">
      <w:r>
        <w:t>As of June 3, 2026, the ITAMS final project is substantially complete for Milestone 5. The application is implemented as a Blazor WebAssembly client, ASP.NET Core API, and MongoDB-backed data layer hosted at https://itams.app/. The capstone documentation package has been updated to align the proposal, requirements specification, design specification, user stories, data dictionary, traceability matrix, and test case evidence with the final implementation.</w:t>
      </w:r>
    </w:p>
    <w:p w14:paraId="78EDDFDE" w14:textId="77777777" w:rsidR="00EF5619" w:rsidRDefault="001C6A5D">
      <w:r>
        <w:t>The current milestone focus has been final development, validation, and handoff readiness. The strongest evidence of completion is that the documented functional and non-functional requirements are mapped to design references, code modules, and test cases; the test case artifact records all listed cases as passed; the automated API suite passed 27 of 27 tests on June 25, 2026; and the final production smoke check confirmed a 200 site response, expected 401 response from unauthenticated /api/auth/me, the production API base URL, and the canonical www redirect.</w:t>
      </w:r>
    </w:p>
    <w:p w14:paraId="58B24CDF" w14:textId="77777777" w:rsidR="00EF5619" w:rsidRDefault="001C6A5D">
      <w:pPr>
        <w:pStyle w:val="Heading1"/>
      </w:pPr>
      <w:r>
        <w:t>Milestone Work Completed</w:t>
      </w:r>
    </w:p>
    <w:p w14:paraId="4B3BDF5A" w14:textId="77777777" w:rsidR="00EF5619" w:rsidRDefault="001C6A5D">
      <w:pPr>
        <w:pStyle w:val="ListBullet"/>
        <w:spacing w:after="80" w:line="280" w:lineRule="auto"/>
        <w:ind w:left="720"/>
      </w:pPr>
      <w:r>
        <w:t>Completed final application workflows for authentication, session refresh and logout, password change, assets, assignments, users, reports, history, role authorization, bootstrap administration, production deployment, and operations support.</w:t>
      </w:r>
    </w:p>
    <w:p w14:paraId="52F45F74" w14:textId="77777777" w:rsidR="00EF5619" w:rsidRDefault="001C6A5D">
      <w:pPr>
        <w:pStyle w:val="ListBullet"/>
        <w:spacing w:after="80" w:line="280" w:lineRule="auto"/>
        <w:ind w:left="720"/>
      </w:pPr>
      <w:r>
        <w:t>Updated the Project Proposal, Requirements Specification, and Design Specification so the final documents reflect the implemented Blazor WebAssembly client, ASP.NET Core minimal API, MongoDB persistence layer, IIS production hosting, deployment process, and support documentation.</w:t>
      </w:r>
    </w:p>
    <w:p w14:paraId="03FEC43B" w14:textId="77777777" w:rsidR="00EF5619" w:rsidRDefault="001C6A5D">
      <w:pPr>
        <w:pStyle w:val="ListBullet"/>
        <w:spacing w:after="80" w:line="280" w:lineRule="auto"/>
        <w:ind w:left="720"/>
      </w:pPr>
      <w:r>
        <w:t>Completed supporting artifact updates: user stories list the implemented functional and non-functional capabilities; the data dictionary documents MongoDB fields and business rules; the traceability matrix maps requirements to design, code modules, and tests; and the test case workbook records passed validation for the listed cases.</w:t>
      </w:r>
    </w:p>
    <w:p w14:paraId="5FBAABCD" w14:textId="77777777" w:rsidR="00EF5619" w:rsidRDefault="001C6A5D">
      <w:pPr>
        <w:pStyle w:val="ListBullet"/>
        <w:spacing w:after="80" w:line="280" w:lineRule="auto"/>
        <w:ind w:left="720"/>
      </w:pPr>
      <w:r>
        <w:t>Confirmed final documentation and operational handoff materials, including the application guide, developer guide, production operations guide, Git deployment guide, setup runbook, and technology stack summary.</w:t>
      </w:r>
    </w:p>
    <w:p w14:paraId="175DC34C" w14:textId="77777777" w:rsidR="00EF5619" w:rsidRDefault="001C6A5D">
      <w:pPr>
        <w:pStyle w:val="ListBullet"/>
        <w:spacing w:after="80" w:line="280" w:lineRule="auto"/>
        <w:ind w:left="720"/>
      </w:pPr>
      <w:r>
        <w:t>Aligned testing evidence to the final project scope. Examples include authentication/session tests, authorization/history coverage, report coverage, CORS and security hardening tests, bootstrap admin tests, manual workflow checks, and final smoke-test expectations.</w:t>
      </w:r>
    </w:p>
    <w:p w14:paraId="0319FCB3" w14:textId="77777777" w:rsidR="00D71B24" w:rsidRDefault="00D71B24" w:rsidP="00D71B24">
      <w:pPr>
        <w:pStyle w:val="ListBullet"/>
        <w:numPr>
          <w:ilvl w:val="0"/>
          <w:numId w:val="0"/>
        </w:numPr>
        <w:spacing w:after="80" w:line="280" w:lineRule="auto"/>
        <w:ind w:left="360" w:hanging="360"/>
      </w:pP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00"/>
        <w:gridCol w:w="4260"/>
        <w:gridCol w:w="3000"/>
      </w:tblGrid>
      <w:tr w:rsidR="00EF5619" w14:paraId="05010E10" w14:textId="77777777">
        <w:trPr>
          <w:jc w:val="center"/>
        </w:trPr>
        <w:tc>
          <w:tcPr>
            <w:tcW w:w="2100" w:type="dxa"/>
            <w:shd w:val="clear" w:color="auto" w:fill="F2F4F7"/>
            <w:tcMar>
              <w:top w:w="80" w:type="dxa"/>
              <w:left w:w="120" w:type="dxa"/>
              <w:bottom w:w="80" w:type="dxa"/>
              <w:right w:w="120" w:type="dxa"/>
            </w:tcMar>
          </w:tcPr>
          <w:p w14:paraId="17001A73" w14:textId="77777777" w:rsidR="00EF5619" w:rsidRDefault="001C6A5D">
            <w:pPr>
              <w:spacing w:after="0"/>
            </w:pPr>
            <w:r>
              <w:rPr>
                <w:b/>
                <w:sz w:val="21"/>
              </w:rPr>
              <w:lastRenderedPageBreak/>
              <w:t>Evidence Area</w:t>
            </w:r>
          </w:p>
        </w:tc>
        <w:tc>
          <w:tcPr>
            <w:tcW w:w="4260" w:type="dxa"/>
            <w:shd w:val="clear" w:color="auto" w:fill="F2F4F7"/>
            <w:tcMar>
              <w:top w:w="80" w:type="dxa"/>
              <w:left w:w="120" w:type="dxa"/>
              <w:bottom w:w="80" w:type="dxa"/>
              <w:right w:w="120" w:type="dxa"/>
            </w:tcMar>
          </w:tcPr>
          <w:p w14:paraId="7A0362D3" w14:textId="77777777" w:rsidR="00EF5619" w:rsidRDefault="001C6A5D">
            <w:pPr>
              <w:spacing w:after="0"/>
            </w:pPr>
            <w:r>
              <w:rPr>
                <w:b/>
                <w:sz w:val="21"/>
              </w:rPr>
              <w:t>Examples Completed</w:t>
            </w:r>
          </w:p>
        </w:tc>
        <w:tc>
          <w:tcPr>
            <w:tcW w:w="3000" w:type="dxa"/>
            <w:shd w:val="clear" w:color="auto" w:fill="F2F4F7"/>
            <w:tcMar>
              <w:top w:w="80" w:type="dxa"/>
              <w:left w:w="120" w:type="dxa"/>
              <w:bottom w:w="80" w:type="dxa"/>
              <w:right w:w="120" w:type="dxa"/>
            </w:tcMar>
          </w:tcPr>
          <w:p w14:paraId="6EF34092" w14:textId="77777777" w:rsidR="00EF5619" w:rsidRDefault="001C6A5D">
            <w:pPr>
              <w:spacing w:after="0"/>
            </w:pPr>
            <w:r>
              <w:rPr>
                <w:b/>
                <w:sz w:val="21"/>
              </w:rPr>
              <w:t>Milestone 5 Value</w:t>
            </w:r>
          </w:p>
        </w:tc>
      </w:tr>
      <w:tr w:rsidR="00EF5619" w14:paraId="23D5560F" w14:textId="77777777">
        <w:trPr>
          <w:jc w:val="center"/>
        </w:trPr>
        <w:tc>
          <w:tcPr>
            <w:tcW w:w="2100" w:type="dxa"/>
          </w:tcPr>
          <w:p w14:paraId="14853A61" w14:textId="77777777" w:rsidR="00EF5619" w:rsidRDefault="001C6A5D">
            <w:pPr>
              <w:spacing w:after="0"/>
            </w:pPr>
            <w:r>
              <w:rPr>
                <w:sz w:val="21"/>
              </w:rPr>
              <w:t>Functional workflows</w:t>
            </w:r>
          </w:p>
        </w:tc>
        <w:tc>
          <w:tcPr>
            <w:tcW w:w="4260" w:type="dxa"/>
          </w:tcPr>
          <w:p w14:paraId="561D686A" w14:textId="77777777" w:rsidR="00EF5619" w:rsidRDefault="001C6A5D">
            <w:pPr>
              <w:spacing w:after="0"/>
            </w:pPr>
            <w:r>
              <w:rPr>
                <w:sz w:val="21"/>
              </w:rPr>
              <w:t>Login, refresh/logout, change password, asset CRUD, assignment lifecycle, user management, reports, and read-only history.</w:t>
            </w:r>
          </w:p>
        </w:tc>
        <w:tc>
          <w:tcPr>
            <w:tcW w:w="3000" w:type="dxa"/>
          </w:tcPr>
          <w:p w14:paraId="413B87CB" w14:textId="77777777" w:rsidR="00EF5619" w:rsidRDefault="001C6A5D">
            <w:pPr>
              <w:spacing w:after="0"/>
            </w:pPr>
            <w:r>
              <w:rPr>
                <w:sz w:val="21"/>
              </w:rPr>
              <w:t>Shows that the final application can be demonstrated through role-supported workflows rather than only described in documents.</w:t>
            </w:r>
          </w:p>
        </w:tc>
      </w:tr>
      <w:tr w:rsidR="00EF5619" w14:paraId="0684DD2D" w14:textId="77777777">
        <w:trPr>
          <w:jc w:val="center"/>
        </w:trPr>
        <w:tc>
          <w:tcPr>
            <w:tcW w:w="2100" w:type="dxa"/>
          </w:tcPr>
          <w:p w14:paraId="4A5332B9" w14:textId="77777777" w:rsidR="00EF5619" w:rsidRDefault="001C6A5D">
            <w:pPr>
              <w:spacing w:after="0"/>
            </w:pPr>
            <w:r>
              <w:rPr>
                <w:sz w:val="21"/>
              </w:rPr>
              <w:t>Security and access control</w:t>
            </w:r>
          </w:p>
        </w:tc>
        <w:tc>
          <w:tcPr>
            <w:tcW w:w="4260" w:type="dxa"/>
          </w:tcPr>
          <w:p w14:paraId="74CDC2AA" w14:textId="77777777" w:rsidR="00EF5619" w:rsidRDefault="001C6A5D">
            <w:pPr>
              <w:spacing w:after="0"/>
            </w:pPr>
            <w:r>
              <w:rPr>
                <w:sz w:val="21"/>
              </w:rPr>
              <w:t>JWT authentication, refresh sessions, server-side session validation, lockout controls, role policies, and hidden/forbidden unauthorized actions.</w:t>
            </w:r>
          </w:p>
        </w:tc>
        <w:tc>
          <w:tcPr>
            <w:tcW w:w="3000" w:type="dxa"/>
          </w:tcPr>
          <w:p w14:paraId="14B1DD56" w14:textId="77777777" w:rsidR="00EF5619" w:rsidRDefault="001C6A5D">
            <w:pPr>
              <w:spacing w:after="0"/>
            </w:pPr>
            <w:r>
              <w:rPr>
                <w:sz w:val="21"/>
              </w:rPr>
              <w:t>Supports safe use of operational IT asset data and directly addresses high-risk capstone requirements.</w:t>
            </w:r>
          </w:p>
        </w:tc>
      </w:tr>
      <w:tr w:rsidR="00EF5619" w14:paraId="1A756160" w14:textId="77777777">
        <w:trPr>
          <w:jc w:val="center"/>
        </w:trPr>
        <w:tc>
          <w:tcPr>
            <w:tcW w:w="2100" w:type="dxa"/>
          </w:tcPr>
          <w:p w14:paraId="3225ABEA" w14:textId="77777777" w:rsidR="00EF5619" w:rsidRDefault="001C6A5D">
            <w:pPr>
              <w:spacing w:after="0"/>
            </w:pPr>
            <w:r>
              <w:rPr>
                <w:sz w:val="21"/>
              </w:rPr>
              <w:t>Traceability and testing</w:t>
            </w:r>
          </w:p>
        </w:tc>
        <w:tc>
          <w:tcPr>
            <w:tcW w:w="4260" w:type="dxa"/>
          </w:tcPr>
          <w:p w14:paraId="6A40FC0F" w14:textId="77777777" w:rsidR="00EF5619" w:rsidRDefault="001C6A5D">
            <w:pPr>
              <w:spacing w:after="0"/>
            </w:pPr>
            <w:r>
              <w:rPr>
                <w:sz w:val="21"/>
              </w:rPr>
              <w:t>User stories map to design sections, source modules, and test case IDs; all listed test cases are marked Pass; the automated API suite passed 27 of 27 tests on June 25, 2026.</w:t>
            </w:r>
          </w:p>
        </w:tc>
        <w:tc>
          <w:tcPr>
            <w:tcW w:w="3000" w:type="dxa"/>
          </w:tcPr>
          <w:p w14:paraId="5A12B34C" w14:textId="77777777" w:rsidR="00EF5619" w:rsidRDefault="001C6A5D">
            <w:pPr>
              <w:spacing w:after="0"/>
            </w:pPr>
            <w:r>
              <w:rPr>
                <w:sz w:val="21"/>
              </w:rPr>
              <w:t>Provides evidence that the final implementation is connected to requirements and measurable acceptance criteria.</w:t>
            </w:r>
          </w:p>
        </w:tc>
      </w:tr>
      <w:tr w:rsidR="00EF5619" w14:paraId="77003204" w14:textId="77777777">
        <w:trPr>
          <w:jc w:val="center"/>
        </w:trPr>
        <w:tc>
          <w:tcPr>
            <w:tcW w:w="2100" w:type="dxa"/>
          </w:tcPr>
          <w:p w14:paraId="24254F88" w14:textId="77777777" w:rsidR="00EF5619" w:rsidRDefault="001C6A5D">
            <w:pPr>
              <w:spacing w:after="0"/>
            </w:pPr>
            <w:r>
              <w:rPr>
                <w:sz w:val="21"/>
              </w:rPr>
              <w:t>Production readiness</w:t>
            </w:r>
          </w:p>
        </w:tc>
        <w:tc>
          <w:tcPr>
            <w:tcW w:w="4260" w:type="dxa"/>
          </w:tcPr>
          <w:p w14:paraId="4668DBF6" w14:textId="77777777" w:rsidR="00EF5619" w:rsidRDefault="001C6A5D">
            <w:pPr>
              <w:spacing w:after="0"/>
            </w:pPr>
            <w:r>
              <w:rPr>
                <w:sz w:val="21"/>
              </w:rPr>
              <w:t>Production operations guide, Git deployment flow, IIS release switching, smoke checks, rollback path, and security notes.</w:t>
            </w:r>
          </w:p>
        </w:tc>
        <w:tc>
          <w:tcPr>
            <w:tcW w:w="3000" w:type="dxa"/>
          </w:tcPr>
          <w:p w14:paraId="3FCB581D" w14:textId="77777777" w:rsidR="00EF5619" w:rsidRDefault="001C6A5D">
            <w:pPr>
              <w:spacing w:after="0"/>
            </w:pPr>
            <w:r>
              <w:rPr>
                <w:sz w:val="21"/>
              </w:rPr>
              <w:t>Moves the project beyond local development into a maintainable final handoff state.</w:t>
            </w:r>
          </w:p>
        </w:tc>
      </w:tr>
    </w:tbl>
    <w:p w14:paraId="5D8BA95B" w14:textId="77777777" w:rsidR="00EF5619" w:rsidRDefault="00EF5619"/>
    <w:p w14:paraId="51ECE318" w14:textId="77777777" w:rsidR="00EF5619" w:rsidRDefault="001C6A5D">
      <w:pPr>
        <w:pStyle w:val="Heading1"/>
      </w:pPr>
      <w:r>
        <w:t>Work Remaining</w:t>
      </w:r>
    </w:p>
    <w:p w14:paraId="07D10429" w14:textId="77777777" w:rsidR="00EF5619" w:rsidRDefault="001C6A5D">
      <w:r>
        <w:t>The final package is ready for review. Development, documentation, traceability, testing, and production smoke validation are complete.</w:t>
      </w:r>
    </w:p>
    <w:p w14:paraId="789956B5" w14:textId="77777777" w:rsidR="00EF5619" w:rsidRDefault="001C6A5D">
      <w:pPr>
        <w:pStyle w:val="ListBullet"/>
        <w:spacing w:after="80" w:line="280" w:lineRule="auto"/>
        <w:ind w:left="720"/>
      </w:pPr>
      <w:r>
        <w:t>The PowerPoint, 10-15 minute screencast, and repository/source-code delivery evidence are provided separately in the LMS submission package.</w:t>
      </w:r>
    </w:p>
    <w:p w14:paraId="2DA05857" w14:textId="77777777" w:rsidR="00EF5619" w:rsidRDefault="001C6A5D">
      <w:pPr>
        <w:pStyle w:val="ListBullet"/>
        <w:spacing w:after="80" w:line="280" w:lineRule="auto"/>
        <w:ind w:left="720"/>
      </w:pPr>
      <w:r>
        <w:t>June 25, 2026 smoke checks passed: site 200; unauthenticated /api/auth/me 401; appsettings API base URL https://itams.app/api/; www redirected to the canonical domain.</w:t>
      </w:r>
    </w:p>
    <w:p w14:paraId="7B69BB5F" w14:textId="77777777" w:rsidR="00EF5619" w:rsidRDefault="001C6A5D">
      <w:pPr>
        <w:pStyle w:val="ListBullet"/>
        <w:spacing w:after="80" w:line="280" w:lineRule="auto"/>
        <w:ind w:left="720"/>
      </w:pPr>
      <w:r>
        <w:t>The final consistency review confirmed names, dates, milestones, artifact references, and submission details.</w:t>
      </w:r>
    </w:p>
    <w:p w14:paraId="7949FA53" w14:textId="77777777" w:rsidR="00EF5619" w:rsidRDefault="001C6A5D">
      <w:pPr>
        <w:pStyle w:val="Heading1"/>
      </w:pPr>
      <w:r>
        <w:t>Problems Encountered and Responses</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00"/>
        <w:gridCol w:w="3300"/>
        <w:gridCol w:w="3660"/>
      </w:tblGrid>
      <w:tr w:rsidR="00EF5619" w14:paraId="38CD56CA" w14:textId="77777777">
        <w:trPr>
          <w:jc w:val="center"/>
        </w:trPr>
        <w:tc>
          <w:tcPr>
            <w:tcW w:w="2400" w:type="dxa"/>
            <w:shd w:val="clear" w:color="auto" w:fill="F2F4F7"/>
            <w:tcMar>
              <w:top w:w="80" w:type="dxa"/>
              <w:left w:w="120" w:type="dxa"/>
              <w:bottom w:w="80" w:type="dxa"/>
              <w:right w:w="120" w:type="dxa"/>
            </w:tcMar>
          </w:tcPr>
          <w:p w14:paraId="26153DC9" w14:textId="77777777" w:rsidR="00EF5619" w:rsidRDefault="001C6A5D">
            <w:pPr>
              <w:spacing w:after="0"/>
            </w:pPr>
            <w:r>
              <w:rPr>
                <w:b/>
                <w:sz w:val="21"/>
              </w:rPr>
              <w:t>Problem Encountered</w:t>
            </w:r>
          </w:p>
        </w:tc>
        <w:tc>
          <w:tcPr>
            <w:tcW w:w="3300" w:type="dxa"/>
            <w:shd w:val="clear" w:color="auto" w:fill="F2F4F7"/>
            <w:tcMar>
              <w:top w:w="80" w:type="dxa"/>
              <w:left w:w="120" w:type="dxa"/>
              <w:bottom w:w="80" w:type="dxa"/>
              <w:right w:w="120" w:type="dxa"/>
            </w:tcMar>
          </w:tcPr>
          <w:p w14:paraId="17F016C6" w14:textId="77777777" w:rsidR="00EF5619" w:rsidRDefault="001C6A5D">
            <w:pPr>
              <w:spacing w:after="0"/>
            </w:pPr>
            <w:r>
              <w:rPr>
                <w:b/>
                <w:sz w:val="21"/>
              </w:rPr>
              <w:t>Example</w:t>
            </w:r>
          </w:p>
        </w:tc>
        <w:tc>
          <w:tcPr>
            <w:tcW w:w="3660" w:type="dxa"/>
            <w:shd w:val="clear" w:color="auto" w:fill="F2F4F7"/>
            <w:tcMar>
              <w:top w:w="80" w:type="dxa"/>
              <w:left w:w="120" w:type="dxa"/>
              <w:bottom w:w="80" w:type="dxa"/>
              <w:right w:w="120" w:type="dxa"/>
            </w:tcMar>
          </w:tcPr>
          <w:p w14:paraId="70A659BB" w14:textId="77777777" w:rsidR="00EF5619" w:rsidRDefault="001C6A5D">
            <w:pPr>
              <w:spacing w:after="0"/>
            </w:pPr>
            <w:r>
              <w:rPr>
                <w:b/>
                <w:sz w:val="21"/>
              </w:rPr>
              <w:t>Resolution / Current Status</w:t>
            </w:r>
          </w:p>
        </w:tc>
      </w:tr>
      <w:tr w:rsidR="00EF5619" w14:paraId="60625012" w14:textId="77777777">
        <w:trPr>
          <w:jc w:val="center"/>
        </w:trPr>
        <w:tc>
          <w:tcPr>
            <w:tcW w:w="2400" w:type="dxa"/>
          </w:tcPr>
          <w:p w14:paraId="388766F7" w14:textId="77777777" w:rsidR="00EF5619" w:rsidRDefault="001C6A5D">
            <w:pPr>
              <w:spacing w:after="0"/>
            </w:pPr>
            <w:r>
              <w:rPr>
                <w:sz w:val="21"/>
              </w:rPr>
              <w:t>Authentication and session correctness</w:t>
            </w:r>
          </w:p>
        </w:tc>
        <w:tc>
          <w:tcPr>
            <w:tcW w:w="3300" w:type="dxa"/>
          </w:tcPr>
          <w:p w14:paraId="3D85D491" w14:textId="77777777" w:rsidR="00EF5619" w:rsidRDefault="001C6A5D">
            <w:pPr>
              <w:spacing w:after="0"/>
            </w:pPr>
            <w:r>
              <w:rPr>
                <w:sz w:val="21"/>
              </w:rPr>
              <w:t xml:space="preserve">The system needed to avoid stale access after logout, password changes, refresh rotation, </w:t>
            </w:r>
            <w:r>
              <w:rPr>
                <w:sz w:val="21"/>
              </w:rPr>
              <w:lastRenderedPageBreak/>
              <w:t>role/status changes, or account deactivation.</w:t>
            </w:r>
          </w:p>
        </w:tc>
        <w:tc>
          <w:tcPr>
            <w:tcW w:w="3660" w:type="dxa"/>
          </w:tcPr>
          <w:p w14:paraId="5238996A" w14:textId="77777777" w:rsidR="00EF5619" w:rsidRDefault="001C6A5D">
            <w:pPr>
              <w:spacing w:after="0"/>
            </w:pPr>
            <w:r>
              <w:rPr>
                <w:sz w:val="21"/>
              </w:rPr>
              <w:lastRenderedPageBreak/>
              <w:t xml:space="preserve">The final design uses JWT access tokens backed by server-side user sessions, refresh token rotation, session </w:t>
            </w:r>
            <w:r>
              <w:rPr>
                <w:sz w:val="21"/>
              </w:rPr>
              <w:lastRenderedPageBreak/>
              <w:t>validation, and revocation behavior. Authentication and session scenarios are included in the test evidence.</w:t>
            </w:r>
          </w:p>
        </w:tc>
      </w:tr>
      <w:tr w:rsidR="00EF5619" w14:paraId="1E453A16" w14:textId="77777777">
        <w:trPr>
          <w:jc w:val="center"/>
        </w:trPr>
        <w:tc>
          <w:tcPr>
            <w:tcW w:w="2400" w:type="dxa"/>
          </w:tcPr>
          <w:p w14:paraId="36A6B734" w14:textId="77777777" w:rsidR="00EF5619" w:rsidRDefault="001C6A5D">
            <w:pPr>
              <w:spacing w:after="0"/>
            </w:pPr>
            <w:r>
              <w:rPr>
                <w:sz w:val="21"/>
              </w:rPr>
              <w:lastRenderedPageBreak/>
              <w:t>Authorization consistency</w:t>
            </w:r>
          </w:p>
        </w:tc>
        <w:tc>
          <w:tcPr>
            <w:tcW w:w="3300" w:type="dxa"/>
          </w:tcPr>
          <w:p w14:paraId="34CF189D" w14:textId="77777777" w:rsidR="00EF5619" w:rsidRDefault="001C6A5D">
            <w:pPr>
              <w:spacing w:after="0"/>
            </w:pPr>
            <w:r>
              <w:rPr>
                <w:sz w:val="21"/>
              </w:rPr>
              <w:t>Client navigation alone was not enough to prove that Auditor, User, Technician, Manager, and Admin capabilities were enforced correctly.</w:t>
            </w:r>
          </w:p>
        </w:tc>
        <w:tc>
          <w:tcPr>
            <w:tcW w:w="3660" w:type="dxa"/>
          </w:tcPr>
          <w:p w14:paraId="07F006E5" w14:textId="77777777" w:rsidR="00EF5619" w:rsidRDefault="001C6A5D">
            <w:pPr>
              <w:spacing w:after="0"/>
            </w:pPr>
            <w:r>
              <w:rPr>
                <w:sz w:val="21"/>
              </w:rPr>
              <w:t>Role-aware UI controls were paired with API authorization policies. The test evidence and traceability matrix include read-only and forbidden-action scenarios.</w:t>
            </w:r>
          </w:p>
        </w:tc>
      </w:tr>
      <w:tr w:rsidR="00EF5619" w14:paraId="7148C2E8" w14:textId="77777777">
        <w:trPr>
          <w:jc w:val="center"/>
        </w:trPr>
        <w:tc>
          <w:tcPr>
            <w:tcW w:w="2400" w:type="dxa"/>
          </w:tcPr>
          <w:p w14:paraId="60D22EFD" w14:textId="77777777" w:rsidR="00EF5619" w:rsidRDefault="001C6A5D">
            <w:pPr>
              <w:spacing w:after="0"/>
            </w:pPr>
            <w:r>
              <w:rPr>
                <w:sz w:val="21"/>
              </w:rPr>
              <w:t>MongoDB reference integrity</w:t>
            </w:r>
          </w:p>
        </w:tc>
        <w:tc>
          <w:tcPr>
            <w:tcW w:w="3300" w:type="dxa"/>
          </w:tcPr>
          <w:p w14:paraId="7A61874F" w14:textId="77777777" w:rsidR="00EF5619" w:rsidRDefault="001C6A5D">
            <w:pPr>
              <w:spacing w:after="0"/>
            </w:pPr>
            <w:r>
              <w:rPr>
                <w:sz w:val="21"/>
              </w:rPr>
              <w:t>Asset and assignment workflows needed to keep current assignment state, history, and related records consistent without a relational schema.</w:t>
            </w:r>
          </w:p>
        </w:tc>
        <w:tc>
          <w:tcPr>
            <w:tcW w:w="3660" w:type="dxa"/>
          </w:tcPr>
          <w:p w14:paraId="0A90D504" w14:textId="77777777" w:rsidR="00EF5619" w:rsidRDefault="001C6A5D">
            <w:pPr>
              <w:spacing w:after="0"/>
            </w:pPr>
            <w:r>
              <w:rPr>
                <w:sz w:val="21"/>
              </w:rPr>
              <w:t>The design separates mutation services from read services and records audit/lifecycle details during meaningful changes. Data dictionary and traceability artifacts document the collections and relationships.</w:t>
            </w:r>
          </w:p>
        </w:tc>
      </w:tr>
      <w:tr w:rsidR="00EF5619" w14:paraId="7BDD7340" w14:textId="77777777">
        <w:trPr>
          <w:jc w:val="center"/>
        </w:trPr>
        <w:tc>
          <w:tcPr>
            <w:tcW w:w="2400" w:type="dxa"/>
          </w:tcPr>
          <w:p w14:paraId="0F6A30ED" w14:textId="77777777" w:rsidR="00EF5619" w:rsidRDefault="001C6A5D">
            <w:pPr>
              <w:spacing w:after="0"/>
            </w:pPr>
            <w:r>
              <w:rPr>
                <w:sz w:val="21"/>
              </w:rPr>
              <w:t>Final documentation alignment</w:t>
            </w:r>
          </w:p>
        </w:tc>
        <w:tc>
          <w:tcPr>
            <w:tcW w:w="3300" w:type="dxa"/>
          </w:tcPr>
          <w:p w14:paraId="77E3A446" w14:textId="77777777" w:rsidR="00EF5619" w:rsidRDefault="001C6A5D">
            <w:pPr>
              <w:spacing w:after="0"/>
            </w:pPr>
            <w:r>
              <w:rPr>
                <w:sz w:val="21"/>
              </w:rPr>
              <w:t>The final application evolved beyond early planning assumptions, so the proposal, requirements, design, traceability, and test evidence had to be synchronized.</w:t>
            </w:r>
          </w:p>
        </w:tc>
        <w:tc>
          <w:tcPr>
            <w:tcW w:w="3660" w:type="dxa"/>
          </w:tcPr>
          <w:p w14:paraId="732209C3" w14:textId="77777777" w:rsidR="00EF5619" w:rsidRDefault="001C6A5D">
            <w:pPr>
              <w:spacing w:after="0"/>
            </w:pPr>
            <w:r>
              <w:rPr>
                <w:sz w:val="21"/>
              </w:rPr>
              <w:t>The final documentation pass aligned the artifacts to the implemented scope, converted remaining open submission values into final-review language, and preserved the required capstone format.</w:t>
            </w:r>
          </w:p>
        </w:tc>
      </w:tr>
      <w:tr w:rsidR="00EF5619" w14:paraId="63DB1781" w14:textId="77777777">
        <w:trPr>
          <w:jc w:val="center"/>
        </w:trPr>
        <w:tc>
          <w:tcPr>
            <w:tcW w:w="2400" w:type="dxa"/>
          </w:tcPr>
          <w:p w14:paraId="799B505D" w14:textId="77777777" w:rsidR="00EF5619" w:rsidRDefault="001C6A5D">
            <w:pPr>
              <w:spacing w:after="0"/>
            </w:pPr>
            <w:r>
              <w:rPr>
                <w:sz w:val="21"/>
              </w:rPr>
              <w:t>Production deployment risk</w:t>
            </w:r>
          </w:p>
        </w:tc>
        <w:tc>
          <w:tcPr>
            <w:tcW w:w="3300" w:type="dxa"/>
          </w:tcPr>
          <w:p w14:paraId="5666F233" w14:textId="77777777" w:rsidR="00EF5619" w:rsidRDefault="001C6A5D">
            <w:pPr>
              <w:spacing w:after="0"/>
            </w:pPr>
            <w:r>
              <w:rPr>
                <w:sz w:val="21"/>
              </w:rPr>
              <w:t>A final project can pass locally but fail during hosting, DNS, API routing, secret configuration, or release switching.</w:t>
            </w:r>
          </w:p>
        </w:tc>
        <w:tc>
          <w:tcPr>
            <w:tcW w:w="3660" w:type="dxa"/>
          </w:tcPr>
          <w:p w14:paraId="46667674" w14:textId="77777777" w:rsidR="00EF5619" w:rsidRDefault="001C6A5D">
            <w:pPr>
              <w:spacing w:after="0"/>
            </w:pPr>
            <w:r>
              <w:rPr>
                <w:sz w:val="21"/>
              </w:rPr>
              <w:t>Production operations documentation now records topology, deployment, smoke checks, rollback, and secret-handling expectations. Final remaining work includes one last smoke check before submission.</w:t>
            </w:r>
          </w:p>
        </w:tc>
      </w:tr>
      <w:tr w:rsidR="00EF5619" w14:paraId="63DB1781" w14:textId="77777777">
        <w:trPr>
          <w:jc w:val="center"/>
        </w:trPr>
        <w:tc>
          <w:tcPr>
            <w:tcW w:w="2400" w:type="dxa"/>
          </w:tcPr>
          <w:p w14:paraId="799B505D" w14:textId="77777777" w:rsidR="00EF5619" w:rsidRDefault="001C6A5D">
            <w:pPr>
              <w:spacing w:after="0"/>
            </w:pPr>
            <w:r>
              <w:rPr>
                <w:sz w:val="21"/>
              </w:rPr>
              <w:t>NuGet dependency audit advisories</w:t>
            </w:r>
          </w:p>
        </w:tc>
        <w:tc>
          <w:tcPr>
            <w:tcW w:w="3300" w:type="dxa"/>
          </w:tcPr>
          <w:p w14:paraId="5666F233" w14:textId="77777777" w:rsidR="00EF5619" w:rsidRDefault="001C6A5D">
            <w:pPr>
              <w:spacing w:after="0"/>
            </w:pPr>
            <w:r>
              <w:rPr>
                <w:sz w:val="21"/>
              </w:rPr>
              <w:t>The final validation reports SharpCompress 0.30.1 (moderate severity) and Snappier 1.0.0 (high severity) through the current dependency graph.</w:t>
            </w:r>
          </w:p>
        </w:tc>
        <w:tc>
          <w:tcPr>
            <w:tcW w:w="3660" w:type="dxa"/>
          </w:tcPr>
          <w:p w14:paraId="46667674" w14:textId="77777777" w:rsidR="00EF5619" w:rsidRDefault="001C6A5D">
            <w:pPr>
              <w:spacing w:after="0"/>
            </w:pPr>
            <w:r>
              <w:rPr>
                <w:sz w:val="21"/>
              </w:rPr>
              <w:t>Track upstream dependency updates and retest before a future production maintenance release. The advisories did not cause failures in the final 27-test validation run.</w:t>
            </w:r>
          </w:p>
        </w:tc>
      </w:tr>
    </w:tbl>
    <w:p w14:paraId="6721A81F" w14:textId="77777777" w:rsidR="00EF5619" w:rsidRDefault="00EF5619"/>
    <w:p w14:paraId="113B9B8F" w14:textId="77777777" w:rsidR="00EF5619" w:rsidRDefault="001C6A5D">
      <w:pPr>
        <w:pStyle w:val="Heading1"/>
      </w:pPr>
      <w:r>
        <w:t>Knowledge Acquisition and Guiding Questions</w:t>
      </w:r>
    </w:p>
    <w:p w14:paraId="36CB7ED0" w14:textId="77777777" w:rsidR="00EF5619" w:rsidRDefault="001C6A5D">
      <w:r>
        <w:t>During Milestone 5, the work was guided by practical questions that connected the rubric, capstone handbook, application behavior, and test evidence. The questions below helped convert the project from a working codebase into a review-ready final submission.</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0"/>
        <w:gridCol w:w="3300"/>
        <w:gridCol w:w="3460"/>
      </w:tblGrid>
      <w:tr w:rsidR="00EF5619" w14:paraId="2B687989" w14:textId="77777777">
        <w:trPr>
          <w:jc w:val="center"/>
        </w:trPr>
        <w:tc>
          <w:tcPr>
            <w:tcW w:w="2600" w:type="dxa"/>
            <w:shd w:val="clear" w:color="auto" w:fill="F2F4F7"/>
            <w:tcMar>
              <w:top w:w="80" w:type="dxa"/>
              <w:left w:w="120" w:type="dxa"/>
              <w:bottom w:w="80" w:type="dxa"/>
              <w:right w:w="120" w:type="dxa"/>
            </w:tcMar>
          </w:tcPr>
          <w:p w14:paraId="37CCBE71" w14:textId="77777777" w:rsidR="00EF5619" w:rsidRDefault="001C6A5D">
            <w:pPr>
              <w:spacing w:after="0"/>
            </w:pPr>
            <w:r>
              <w:rPr>
                <w:b/>
                <w:sz w:val="21"/>
              </w:rPr>
              <w:t>Guiding Question</w:t>
            </w:r>
          </w:p>
        </w:tc>
        <w:tc>
          <w:tcPr>
            <w:tcW w:w="3300" w:type="dxa"/>
            <w:shd w:val="clear" w:color="auto" w:fill="F2F4F7"/>
            <w:tcMar>
              <w:top w:w="80" w:type="dxa"/>
              <w:left w:w="120" w:type="dxa"/>
              <w:bottom w:w="80" w:type="dxa"/>
              <w:right w:w="120" w:type="dxa"/>
            </w:tcMar>
          </w:tcPr>
          <w:p w14:paraId="44B2B677" w14:textId="77777777" w:rsidR="00EF5619" w:rsidRDefault="001C6A5D">
            <w:pPr>
              <w:spacing w:after="0"/>
            </w:pPr>
            <w:r>
              <w:rPr>
                <w:b/>
                <w:sz w:val="21"/>
              </w:rPr>
              <w:t>Knowledge Acquired</w:t>
            </w:r>
          </w:p>
        </w:tc>
        <w:tc>
          <w:tcPr>
            <w:tcW w:w="3460" w:type="dxa"/>
            <w:shd w:val="clear" w:color="auto" w:fill="F2F4F7"/>
            <w:tcMar>
              <w:top w:w="80" w:type="dxa"/>
              <w:left w:w="120" w:type="dxa"/>
              <w:bottom w:w="80" w:type="dxa"/>
              <w:right w:w="120" w:type="dxa"/>
            </w:tcMar>
          </w:tcPr>
          <w:p w14:paraId="170EBCAA" w14:textId="77777777" w:rsidR="00EF5619" w:rsidRDefault="001C6A5D">
            <w:pPr>
              <w:spacing w:after="0"/>
            </w:pPr>
            <w:r>
              <w:rPr>
                <w:b/>
                <w:sz w:val="21"/>
              </w:rPr>
              <w:t>How It Changed the Work</w:t>
            </w:r>
          </w:p>
        </w:tc>
      </w:tr>
      <w:tr w:rsidR="00EF5619" w14:paraId="1969CA29" w14:textId="77777777">
        <w:trPr>
          <w:jc w:val="center"/>
        </w:trPr>
        <w:tc>
          <w:tcPr>
            <w:tcW w:w="2600" w:type="dxa"/>
          </w:tcPr>
          <w:p w14:paraId="620B43F3" w14:textId="77777777" w:rsidR="00EF5619" w:rsidRDefault="001C6A5D">
            <w:pPr>
              <w:spacing w:after="0"/>
            </w:pPr>
            <w:r>
              <w:rPr>
                <w:sz w:val="21"/>
              </w:rPr>
              <w:t>How can the project prove that requirements are implemented rather than simply listed?</w:t>
            </w:r>
          </w:p>
        </w:tc>
        <w:tc>
          <w:tcPr>
            <w:tcW w:w="3300" w:type="dxa"/>
          </w:tcPr>
          <w:p w14:paraId="653AB08B" w14:textId="77777777" w:rsidR="00EF5619" w:rsidRDefault="001C6A5D">
            <w:pPr>
              <w:spacing w:after="0"/>
            </w:pPr>
            <w:r>
              <w:rPr>
                <w:sz w:val="21"/>
              </w:rPr>
              <w:t>A final submission needs requirement-to-design-to-code-to-test traceability.</w:t>
            </w:r>
          </w:p>
        </w:tc>
        <w:tc>
          <w:tcPr>
            <w:tcW w:w="3460" w:type="dxa"/>
          </w:tcPr>
          <w:p w14:paraId="1793BA96" w14:textId="77777777" w:rsidR="00EF5619" w:rsidRDefault="001C6A5D">
            <w:pPr>
              <w:spacing w:after="0"/>
            </w:pPr>
            <w:r>
              <w:rPr>
                <w:sz w:val="21"/>
              </w:rPr>
              <w:t>The traceability matrix maps each major user story and non-functional requirement to design references, code modules, and test case IDs.</w:t>
            </w:r>
          </w:p>
        </w:tc>
      </w:tr>
      <w:tr w:rsidR="00EF5619" w14:paraId="2C593A5A" w14:textId="77777777">
        <w:trPr>
          <w:jc w:val="center"/>
        </w:trPr>
        <w:tc>
          <w:tcPr>
            <w:tcW w:w="2600" w:type="dxa"/>
          </w:tcPr>
          <w:p w14:paraId="0A7D4D2E" w14:textId="77777777" w:rsidR="00EF5619" w:rsidRDefault="001C6A5D">
            <w:pPr>
              <w:spacing w:after="0"/>
            </w:pPr>
            <w:r>
              <w:rPr>
                <w:sz w:val="21"/>
              </w:rPr>
              <w:t>How should access control be verified when the UI hides unavailable actions?</w:t>
            </w:r>
          </w:p>
        </w:tc>
        <w:tc>
          <w:tcPr>
            <w:tcW w:w="3300" w:type="dxa"/>
          </w:tcPr>
          <w:p w14:paraId="04069FBA" w14:textId="77777777" w:rsidR="00EF5619" w:rsidRDefault="001C6A5D">
            <w:pPr>
              <w:spacing w:after="0"/>
            </w:pPr>
            <w:r>
              <w:rPr>
                <w:sz w:val="21"/>
              </w:rPr>
              <w:t>Security must be enforced server-side even when the client is role-aware.</w:t>
            </w:r>
          </w:p>
        </w:tc>
        <w:tc>
          <w:tcPr>
            <w:tcW w:w="3460" w:type="dxa"/>
          </w:tcPr>
          <w:p w14:paraId="0D2A5706" w14:textId="77777777" w:rsidR="00EF5619" w:rsidRDefault="001C6A5D">
            <w:pPr>
              <w:spacing w:after="0"/>
            </w:pPr>
            <w:r>
              <w:rPr>
                <w:sz w:val="21"/>
              </w:rPr>
              <w:t>The final evidence includes policy enforcement, hidden controls, forbidden actions, and Auditor read-only behavior.</w:t>
            </w:r>
          </w:p>
        </w:tc>
      </w:tr>
      <w:tr w:rsidR="00EF5619" w14:paraId="5A1AB3C4" w14:textId="77777777">
        <w:trPr>
          <w:jc w:val="center"/>
        </w:trPr>
        <w:tc>
          <w:tcPr>
            <w:tcW w:w="2600" w:type="dxa"/>
          </w:tcPr>
          <w:p w14:paraId="762058DF" w14:textId="77777777" w:rsidR="00EF5619" w:rsidRDefault="001C6A5D">
            <w:pPr>
              <w:spacing w:after="0"/>
            </w:pPr>
            <w:r>
              <w:rPr>
                <w:sz w:val="21"/>
              </w:rPr>
              <w:t xml:space="preserve">What documentation is needed for a reviewer or </w:t>
            </w:r>
            <w:r>
              <w:rPr>
                <w:sz w:val="21"/>
              </w:rPr>
              <w:lastRenderedPageBreak/>
              <w:t>future developer to understand and operate ITAMS?</w:t>
            </w:r>
          </w:p>
        </w:tc>
        <w:tc>
          <w:tcPr>
            <w:tcW w:w="3300" w:type="dxa"/>
          </w:tcPr>
          <w:p w14:paraId="51FE5C78" w14:textId="77777777" w:rsidR="00EF5619" w:rsidRDefault="001C6A5D">
            <w:pPr>
              <w:spacing w:after="0"/>
            </w:pPr>
            <w:r>
              <w:rPr>
                <w:sz w:val="21"/>
              </w:rPr>
              <w:lastRenderedPageBreak/>
              <w:t xml:space="preserve">The final package needs user-facing guidance, developer setup details, </w:t>
            </w:r>
            <w:r>
              <w:rPr>
                <w:sz w:val="21"/>
              </w:rPr>
              <w:lastRenderedPageBreak/>
              <w:t>production operations, deployment flow, and support checks.</w:t>
            </w:r>
          </w:p>
        </w:tc>
        <w:tc>
          <w:tcPr>
            <w:tcW w:w="3460" w:type="dxa"/>
          </w:tcPr>
          <w:p w14:paraId="262E525E" w14:textId="77777777" w:rsidR="00EF5619" w:rsidRDefault="001C6A5D">
            <w:pPr>
              <w:spacing w:after="0"/>
            </w:pPr>
            <w:r>
              <w:rPr>
                <w:sz w:val="21"/>
              </w:rPr>
              <w:lastRenderedPageBreak/>
              <w:t>Application, developer, operations, deployment, setup, and technology-</w:t>
            </w:r>
            <w:r>
              <w:rPr>
                <w:sz w:val="21"/>
              </w:rPr>
              <w:lastRenderedPageBreak/>
              <w:t>stack documentation were maintained as part of final handoff readiness.</w:t>
            </w:r>
          </w:p>
        </w:tc>
      </w:tr>
      <w:tr w:rsidR="00EF5619" w14:paraId="40F51D9F" w14:textId="77777777">
        <w:trPr>
          <w:jc w:val="center"/>
        </w:trPr>
        <w:tc>
          <w:tcPr>
            <w:tcW w:w="2600" w:type="dxa"/>
          </w:tcPr>
          <w:p w14:paraId="4D6F5B51" w14:textId="77777777" w:rsidR="00EF5619" w:rsidRDefault="001C6A5D">
            <w:pPr>
              <w:spacing w:after="0"/>
            </w:pPr>
            <w:r>
              <w:rPr>
                <w:sz w:val="21"/>
              </w:rPr>
              <w:lastRenderedPageBreak/>
              <w:t>What should remain before submission if the application itself is complete?</w:t>
            </w:r>
          </w:p>
        </w:tc>
        <w:tc>
          <w:tcPr>
            <w:tcW w:w="3300" w:type="dxa"/>
          </w:tcPr>
          <w:p w14:paraId="440F0898" w14:textId="77777777" w:rsidR="00EF5619" w:rsidRDefault="001C6A5D">
            <w:pPr>
              <w:spacing w:after="0"/>
            </w:pPr>
            <w:r>
              <w:rPr>
                <w:sz w:val="21"/>
              </w:rPr>
              <w:t>Only LMS upload coordination remains because application development, documentation alignment, automated testing, and smoke validation are complete.</w:t>
            </w:r>
          </w:p>
        </w:tc>
        <w:tc>
          <w:tcPr>
            <w:tcW w:w="3460" w:type="dxa"/>
          </w:tcPr>
          <w:p w14:paraId="0FC984B7" w14:textId="77777777" w:rsidR="00EF5619" w:rsidRDefault="001C6A5D">
            <w:pPr>
              <w:spacing w:after="0"/>
            </w:pPr>
            <w:r>
              <w:rPr>
                <w:sz w:val="21"/>
              </w:rPr>
              <w:t>The final package states that the presentation, screencast, and source delivery evidence are provided separately in the LMS submission package.</w:t>
            </w:r>
          </w:p>
        </w:tc>
      </w:tr>
    </w:tbl>
    <w:p w14:paraId="167E3EFF" w14:textId="77777777" w:rsidR="00EF5619" w:rsidRDefault="00EF5619"/>
    <w:p w14:paraId="04437523" w14:textId="77777777" w:rsidR="00EF5619" w:rsidRDefault="001C6A5D">
      <w:pPr>
        <w:pStyle w:val="Heading1"/>
      </w:pPr>
      <w:r>
        <w:t>Critical Inquiry Strategies Used</w:t>
      </w:r>
    </w:p>
    <w:tbl>
      <w:tblPr>
        <w:tblW w:w="936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00"/>
        <w:gridCol w:w="4560"/>
        <w:gridCol w:w="3000"/>
      </w:tblGrid>
      <w:tr w:rsidR="00EF5619" w14:paraId="43B6DF19" w14:textId="77777777">
        <w:trPr>
          <w:jc w:val="center"/>
        </w:trPr>
        <w:tc>
          <w:tcPr>
            <w:tcW w:w="1800" w:type="dxa"/>
            <w:shd w:val="clear" w:color="auto" w:fill="F2F4F7"/>
            <w:tcMar>
              <w:top w:w="80" w:type="dxa"/>
              <w:left w:w="120" w:type="dxa"/>
              <w:bottom w:w="80" w:type="dxa"/>
              <w:right w:w="120" w:type="dxa"/>
            </w:tcMar>
          </w:tcPr>
          <w:p w14:paraId="2AF1718B" w14:textId="77777777" w:rsidR="00EF5619" w:rsidRDefault="001C6A5D">
            <w:pPr>
              <w:spacing w:after="0"/>
            </w:pPr>
            <w:r>
              <w:rPr>
                <w:b/>
                <w:sz w:val="21"/>
              </w:rPr>
              <w:t>Strategy</w:t>
            </w:r>
          </w:p>
        </w:tc>
        <w:tc>
          <w:tcPr>
            <w:tcW w:w="4560" w:type="dxa"/>
            <w:shd w:val="clear" w:color="auto" w:fill="F2F4F7"/>
            <w:tcMar>
              <w:top w:w="80" w:type="dxa"/>
              <w:left w:w="120" w:type="dxa"/>
              <w:bottom w:w="80" w:type="dxa"/>
              <w:right w:w="120" w:type="dxa"/>
            </w:tcMar>
          </w:tcPr>
          <w:p w14:paraId="0B9DB352" w14:textId="77777777" w:rsidR="00EF5619" w:rsidRDefault="001C6A5D">
            <w:pPr>
              <w:spacing w:after="0"/>
            </w:pPr>
            <w:r>
              <w:rPr>
                <w:b/>
                <w:sz w:val="21"/>
              </w:rPr>
              <w:t>Application to ITAMS</w:t>
            </w:r>
          </w:p>
        </w:tc>
        <w:tc>
          <w:tcPr>
            <w:tcW w:w="3000" w:type="dxa"/>
            <w:shd w:val="clear" w:color="auto" w:fill="F2F4F7"/>
            <w:tcMar>
              <w:top w:w="80" w:type="dxa"/>
              <w:left w:w="120" w:type="dxa"/>
              <w:bottom w:w="80" w:type="dxa"/>
              <w:right w:w="120" w:type="dxa"/>
            </w:tcMar>
          </w:tcPr>
          <w:p w14:paraId="3BF511C1" w14:textId="77777777" w:rsidR="00EF5619" w:rsidRDefault="001C6A5D">
            <w:pPr>
              <w:spacing w:after="0"/>
            </w:pPr>
            <w:r>
              <w:rPr>
                <w:b/>
                <w:sz w:val="21"/>
              </w:rPr>
              <w:t>Result</w:t>
            </w:r>
          </w:p>
        </w:tc>
      </w:tr>
      <w:tr w:rsidR="00EF5619" w14:paraId="6071E331" w14:textId="77777777">
        <w:trPr>
          <w:jc w:val="center"/>
        </w:trPr>
        <w:tc>
          <w:tcPr>
            <w:tcW w:w="1800" w:type="dxa"/>
          </w:tcPr>
          <w:p w14:paraId="59998E95" w14:textId="77777777" w:rsidR="00EF5619" w:rsidRDefault="001C6A5D">
            <w:pPr>
              <w:spacing w:after="0"/>
            </w:pPr>
            <w:r>
              <w:rPr>
                <w:sz w:val="21"/>
              </w:rPr>
              <w:t>Inductive reasoning</w:t>
            </w:r>
          </w:p>
        </w:tc>
        <w:tc>
          <w:tcPr>
            <w:tcW w:w="4560" w:type="dxa"/>
          </w:tcPr>
          <w:p w14:paraId="72FFD56C" w14:textId="77777777" w:rsidR="00EF5619" w:rsidRDefault="001C6A5D">
            <w:pPr>
              <w:spacing w:after="0"/>
            </w:pPr>
            <w:r>
              <w:rPr>
                <w:sz w:val="21"/>
              </w:rPr>
              <w:t>Patterns from authentication, authorization, reporting, and history tests were used to identify broader project readiness concerns.</w:t>
            </w:r>
          </w:p>
        </w:tc>
        <w:tc>
          <w:tcPr>
            <w:tcW w:w="3000" w:type="dxa"/>
          </w:tcPr>
          <w:p w14:paraId="5BAB94A2" w14:textId="77777777" w:rsidR="00EF5619" w:rsidRDefault="001C6A5D">
            <w:pPr>
              <w:spacing w:after="0"/>
            </w:pPr>
            <w:r>
              <w:rPr>
                <w:sz w:val="21"/>
              </w:rPr>
              <w:t>The project moved from isolated feature checks to a consistent final validation approach.</w:t>
            </w:r>
          </w:p>
        </w:tc>
      </w:tr>
      <w:tr w:rsidR="00EF5619" w14:paraId="326266D3" w14:textId="77777777">
        <w:trPr>
          <w:jc w:val="center"/>
        </w:trPr>
        <w:tc>
          <w:tcPr>
            <w:tcW w:w="1800" w:type="dxa"/>
          </w:tcPr>
          <w:p w14:paraId="0C25AE90" w14:textId="77777777" w:rsidR="00EF5619" w:rsidRDefault="001C6A5D">
            <w:pPr>
              <w:spacing w:after="0"/>
            </w:pPr>
            <w:r>
              <w:rPr>
                <w:sz w:val="21"/>
              </w:rPr>
              <w:t>Deductive reasoning</w:t>
            </w:r>
          </w:p>
        </w:tc>
        <w:tc>
          <w:tcPr>
            <w:tcW w:w="4560" w:type="dxa"/>
          </w:tcPr>
          <w:p w14:paraId="1CA68309" w14:textId="77777777" w:rsidR="00EF5619" w:rsidRDefault="001C6A5D">
            <w:pPr>
              <w:spacing w:after="0"/>
            </w:pPr>
            <w:r>
              <w:rPr>
                <w:sz w:val="21"/>
              </w:rPr>
              <w:t>If protected API routes require an active authenticated session and role policy, then unauthorized users should be blocked regardless of UI visibility.</w:t>
            </w:r>
          </w:p>
        </w:tc>
        <w:tc>
          <w:tcPr>
            <w:tcW w:w="3000" w:type="dxa"/>
          </w:tcPr>
          <w:p w14:paraId="3AFDB701" w14:textId="77777777" w:rsidR="00EF5619" w:rsidRDefault="001C6A5D">
            <w:pPr>
              <w:spacing w:after="0"/>
            </w:pPr>
            <w:r>
              <w:rPr>
                <w:sz w:val="21"/>
              </w:rPr>
              <w:t>This logic shaped authorization test cases and the role-aware design summary.</w:t>
            </w:r>
          </w:p>
        </w:tc>
      </w:tr>
      <w:tr w:rsidR="00EF5619" w14:paraId="37E7FBC9" w14:textId="77777777">
        <w:trPr>
          <w:jc w:val="center"/>
        </w:trPr>
        <w:tc>
          <w:tcPr>
            <w:tcW w:w="1800" w:type="dxa"/>
          </w:tcPr>
          <w:p w14:paraId="040F6EBE" w14:textId="77777777" w:rsidR="00EF5619" w:rsidRDefault="001C6A5D">
            <w:pPr>
              <w:spacing w:after="0"/>
            </w:pPr>
            <w:r>
              <w:rPr>
                <w:sz w:val="21"/>
              </w:rPr>
              <w:t>Analysis</w:t>
            </w:r>
          </w:p>
        </w:tc>
        <w:tc>
          <w:tcPr>
            <w:tcW w:w="4560" w:type="dxa"/>
          </w:tcPr>
          <w:p w14:paraId="5F182A71" w14:textId="77777777" w:rsidR="00EF5619" w:rsidRDefault="001C6A5D">
            <w:pPr>
              <w:spacing w:after="0"/>
            </w:pPr>
            <w:r>
              <w:rPr>
                <w:sz w:val="21"/>
              </w:rPr>
              <w:t>The system was decomposed into browser UI, API endpoint groups, domain services, MongoDB collections, deployment scripts, and documentation deliverables.</w:t>
            </w:r>
          </w:p>
        </w:tc>
        <w:tc>
          <w:tcPr>
            <w:tcW w:w="3000" w:type="dxa"/>
          </w:tcPr>
          <w:p w14:paraId="3D210C77" w14:textId="77777777" w:rsidR="00EF5619" w:rsidRDefault="001C6A5D">
            <w:pPr>
              <w:spacing w:after="0"/>
            </w:pPr>
            <w:r>
              <w:rPr>
                <w:sz w:val="21"/>
              </w:rPr>
              <w:t>This made it possible to update the design specification and traceability matrix accurately.</w:t>
            </w:r>
          </w:p>
        </w:tc>
      </w:tr>
      <w:tr w:rsidR="00EF5619" w14:paraId="744DF71D" w14:textId="77777777">
        <w:trPr>
          <w:jc w:val="center"/>
        </w:trPr>
        <w:tc>
          <w:tcPr>
            <w:tcW w:w="1800" w:type="dxa"/>
          </w:tcPr>
          <w:p w14:paraId="59B31D98" w14:textId="77777777" w:rsidR="00EF5619" w:rsidRDefault="001C6A5D">
            <w:pPr>
              <w:spacing w:after="0"/>
            </w:pPr>
            <w:r>
              <w:rPr>
                <w:sz w:val="21"/>
              </w:rPr>
              <w:t>Evaluation</w:t>
            </w:r>
          </w:p>
        </w:tc>
        <w:tc>
          <w:tcPr>
            <w:tcW w:w="4560" w:type="dxa"/>
          </w:tcPr>
          <w:p w14:paraId="47832650" w14:textId="77777777" w:rsidR="00EF5619" w:rsidRDefault="001C6A5D">
            <w:pPr>
              <w:spacing w:after="0"/>
            </w:pPr>
            <w:r>
              <w:rPr>
                <w:sz w:val="21"/>
              </w:rPr>
              <w:t>The capstone artifacts were compared against the implemented system and the Milestone 5 rubric to identify missing or weak evidence.</w:t>
            </w:r>
          </w:p>
        </w:tc>
        <w:tc>
          <w:tcPr>
            <w:tcW w:w="3000" w:type="dxa"/>
          </w:tcPr>
          <w:p w14:paraId="0D619997" w14:textId="77777777" w:rsidR="00EF5619" w:rsidRDefault="001C6A5D">
            <w:pPr>
              <w:spacing w:after="0"/>
            </w:pPr>
            <w:r>
              <w:rPr>
                <w:sz w:val="21"/>
              </w:rPr>
              <w:t>The final package now emphasizes passed test cases, production readiness, documentation updates, and remaining submission tasks.</w:t>
            </w:r>
          </w:p>
        </w:tc>
      </w:tr>
      <w:tr w:rsidR="00EF5619" w14:paraId="5A1B7FA3" w14:textId="77777777">
        <w:trPr>
          <w:jc w:val="center"/>
        </w:trPr>
        <w:tc>
          <w:tcPr>
            <w:tcW w:w="1800" w:type="dxa"/>
          </w:tcPr>
          <w:p w14:paraId="6E0E1BC1" w14:textId="77777777" w:rsidR="00EF5619" w:rsidRDefault="001C6A5D">
            <w:pPr>
              <w:spacing w:after="0"/>
            </w:pPr>
            <w:r>
              <w:rPr>
                <w:sz w:val="21"/>
              </w:rPr>
              <w:t>Synthesis</w:t>
            </w:r>
          </w:p>
        </w:tc>
        <w:tc>
          <w:tcPr>
            <w:tcW w:w="4560" w:type="dxa"/>
          </w:tcPr>
          <w:p w14:paraId="2E4B9DA5" w14:textId="77777777" w:rsidR="00EF5619" w:rsidRDefault="001C6A5D">
            <w:pPr>
              <w:spacing w:after="0"/>
            </w:pPr>
            <w:r>
              <w:rPr>
                <w:sz w:val="21"/>
              </w:rPr>
              <w:t>Requirements, test cases, data dictionary entries, design decisions, deployment operations, and user documentation were combined into a single final-project narrative.</w:t>
            </w:r>
          </w:p>
        </w:tc>
        <w:tc>
          <w:tcPr>
            <w:tcW w:w="3000" w:type="dxa"/>
          </w:tcPr>
          <w:p w14:paraId="25EB9763" w14:textId="77777777" w:rsidR="00EF5619" w:rsidRDefault="001C6A5D">
            <w:pPr>
              <w:spacing w:after="0"/>
            </w:pPr>
            <w:r>
              <w:rPr>
                <w:sz w:val="21"/>
              </w:rPr>
              <w:t>The Progress Summary explains not just what was completed, but why the evidence supports Milestone 5 readiness.</w:t>
            </w:r>
          </w:p>
        </w:tc>
      </w:tr>
    </w:tbl>
    <w:p w14:paraId="6BFC85C6" w14:textId="77777777" w:rsidR="00EF5619" w:rsidRDefault="00EF5619"/>
    <w:p w14:paraId="51A4FCE8" w14:textId="77777777" w:rsidR="00EF5619" w:rsidRDefault="001C6A5D">
      <w:pPr>
        <w:pStyle w:val="Heading1"/>
      </w:pPr>
      <w:r>
        <w:t>Overall Milestone Status</w:t>
      </w:r>
    </w:p>
    <w:p w14:paraId="41873369" w14:textId="77777777" w:rsidR="00EF5619" w:rsidRDefault="001C6A5D">
      <w:r>
        <w:t>Milestone 5 ready: documentation, traceability, 27/27 tests, and production smoke checks are complete; presentation, screencast, and source evidence are separate LMS deliverables.</w:t>
      </w:r>
    </w:p>
    <w:sectPr w:rsidR="00EF5619"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56E64" w14:textId="77777777" w:rsidR="00E21A42" w:rsidRDefault="00E21A42">
      <w:pPr>
        <w:spacing w:after="0" w:line="240" w:lineRule="auto"/>
      </w:pPr>
      <w:r>
        <w:separator/>
      </w:r>
    </w:p>
  </w:endnote>
  <w:endnote w:type="continuationSeparator" w:id="0">
    <w:p w14:paraId="33C26698" w14:textId="77777777" w:rsidR="00E21A42" w:rsidRDefault="00E21A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F8182" w14:textId="77777777" w:rsidR="00E21A42" w:rsidRDefault="00E21A42">
      <w:pPr>
        <w:spacing w:after="0" w:line="240" w:lineRule="auto"/>
      </w:pPr>
      <w:r>
        <w:separator/>
      </w:r>
    </w:p>
  </w:footnote>
  <w:footnote w:type="continuationSeparator" w:id="0">
    <w:p w14:paraId="47257932" w14:textId="77777777" w:rsidR="00E21A42" w:rsidRDefault="00E21A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2CEA36"/>
    <w:lvl w:ilvl="0">
      <w:start w:val="1"/>
      <w:numFmt w:val="bullet"/>
      <w:pStyle w:val="ListBullet"/>
      <w:lvlText w:val=""/>
      <w:lvlJc w:val="left"/>
      <w:pPr>
        <w:tabs>
          <w:tab w:val="num" w:pos="360"/>
        </w:tabs>
        <w:ind w:left="360" w:hanging="360"/>
      </w:pPr>
      <w:rPr>
        <w:rFonts w:ascii="Symbol" w:hAnsi="Symbol" w:hint="default"/>
      </w:rPr>
    </w:lvl>
  </w:abstractNum>
  <w:num w:numId="1" w16cid:durableId="797453758">
    <w:abstractNumId w:val="8"/>
  </w:num>
  <w:num w:numId="2" w16cid:durableId="1260336670">
    <w:abstractNumId w:val="6"/>
  </w:num>
  <w:num w:numId="3" w16cid:durableId="219023166">
    <w:abstractNumId w:val="5"/>
  </w:num>
  <w:num w:numId="4" w16cid:durableId="2024744669">
    <w:abstractNumId w:val="4"/>
  </w:num>
  <w:num w:numId="5" w16cid:durableId="2100446587">
    <w:abstractNumId w:val="7"/>
  </w:num>
  <w:num w:numId="6" w16cid:durableId="58335233">
    <w:abstractNumId w:val="3"/>
  </w:num>
  <w:num w:numId="7" w16cid:durableId="1113013158">
    <w:abstractNumId w:val="2"/>
  </w:num>
  <w:num w:numId="8" w16cid:durableId="1274897235">
    <w:abstractNumId w:val="1"/>
  </w:num>
  <w:num w:numId="9" w16cid:durableId="719716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97D"/>
    <w:rsid w:val="0006063C"/>
    <w:rsid w:val="0015074B"/>
    <w:rsid w:val="001C6A5D"/>
    <w:rsid w:val="0029639D"/>
    <w:rsid w:val="002E75C6"/>
    <w:rsid w:val="00326F90"/>
    <w:rsid w:val="0035782C"/>
    <w:rsid w:val="003F2B0F"/>
    <w:rsid w:val="004643F6"/>
    <w:rsid w:val="005849F5"/>
    <w:rsid w:val="007A6877"/>
    <w:rsid w:val="00A626BC"/>
    <w:rsid w:val="00AA1D8D"/>
    <w:rsid w:val="00B47730"/>
    <w:rsid w:val="00CB0664"/>
    <w:rsid w:val="00D71B24"/>
    <w:rsid w:val="00DA19A3"/>
    <w:rsid w:val="00E21A42"/>
    <w:rsid w:val="00EF56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7C5D8"/>
  <w14:defaultImageDpi w14:val="300"/>
  <w15:docId w15:val="{264081D3-62C2-45CD-9827-BC38338C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1475</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Jalen Bryant</dc:creator>
  <cp:keywords/>
  <dc:description/>
  <cp:lastModifiedBy>Jalen A Bryant</cp:lastModifiedBy>
  <cp:revision>4</cp:revision>
  <dcterms:created xsi:type="dcterms:W3CDTF">2026-06-08T04:52:00Z</dcterms:created>
  <dcterms:modified xsi:type="dcterms:W3CDTF">2026-06-08T05:51:00Z</dcterms:modified>
  <cp:category/>
</cp:coreProperties>
</file>