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a2utaa7bi1b1" w:id="0"/>
      <w:bookmarkEnd w:id="0"/>
      <w:r w:rsidDel="00000000" w:rsidR="00000000" w:rsidRPr="00000000">
        <w:rPr>
          <w:rFonts w:ascii="Times New Roman" w:cs="Times New Roman" w:eastAsia="Times New Roman" w:hAnsi="Times New Roman"/>
          <w:b w:val="1"/>
          <w:bCs w:val="1"/>
          <w:color w:val="000000"/>
          <w:sz w:val="26"/>
          <w:szCs w:val="26"/>
          <w:rtl w:val="0"/>
        </w:rPr>
        <w:t xml:space="preserve">Executive Summary</w:t>
      </w:r>
    </w:p>
    <w:p w:rsidR="00000000" w:rsidDel="00000000" w:rsidP="00000000" w:rsidRDefault="00000000" w:rsidRPr="00000000" w14:paraId="0000000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1hyain7r0xv0" w:id="1"/>
      <w:bookmarkEnd w:id="1"/>
      <w:r w:rsidDel="00000000" w:rsidR="00000000" w:rsidRPr="00000000">
        <w:rPr>
          <w:rFonts w:ascii="Times New Roman" w:cs="Times New Roman" w:eastAsia="Times New Roman" w:hAnsi="Times New Roman"/>
          <w:b w:val="1"/>
          <w:bCs w:val="1"/>
          <w:color w:val="000000"/>
          <w:sz w:val="26"/>
          <w:szCs w:val="26"/>
          <w:rtl w:val="0"/>
        </w:rPr>
        <w:t xml:space="preserve">Business Objective</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analysis evaluates product performance, pricing strategy, and quarterly sales trends to identify growth opportunities, profitability risks, and areas where the business should focus future sales efforts. The analysis covers performance through </w:t>
      </w:r>
      <w:r w:rsidDel="00000000" w:rsidR="00000000" w:rsidRPr="00000000">
        <w:rPr>
          <w:rFonts w:ascii="Times New Roman" w:cs="Times New Roman" w:eastAsia="Times New Roman" w:hAnsi="Times New Roman"/>
          <w:b w:val="1"/>
          <w:bCs w:val="1"/>
          <w:sz w:val="26"/>
          <w:szCs w:val="26"/>
          <w:rtl w:val="0"/>
        </w:rPr>
        <w:t xml:space="preserve">Q2 2026</w:t>
      </w:r>
      <w:r w:rsidDel="00000000" w:rsidR="00000000" w:rsidRPr="00000000">
        <w:rPr>
          <w:rFonts w:ascii="Times New Roman" w:cs="Times New Roman" w:eastAsia="Times New Roman" w:hAnsi="Times New Roman"/>
          <w:sz w:val="26"/>
          <w:szCs w:val="26"/>
          <w:rtl w:val="0"/>
        </w:rPr>
        <w:t xml:space="preserve"> and uses </w:t>
      </w:r>
      <w:r w:rsidDel="00000000" w:rsidR="00000000" w:rsidRPr="00000000">
        <w:rPr>
          <w:rFonts w:ascii="Times New Roman" w:cs="Times New Roman" w:eastAsia="Times New Roman" w:hAnsi="Times New Roman"/>
          <w:b w:val="1"/>
          <w:bCs w:val="1"/>
          <w:sz w:val="26"/>
          <w:szCs w:val="26"/>
          <w:rtl w:val="0"/>
        </w:rPr>
        <w:t xml:space="preserve">SQL, Excel, and Tableau</w:t>
      </w:r>
      <w:r w:rsidDel="00000000" w:rsidR="00000000" w:rsidRPr="00000000">
        <w:rPr>
          <w:rFonts w:ascii="Times New Roman" w:cs="Times New Roman" w:eastAsia="Times New Roman" w:hAnsi="Times New Roman"/>
          <w:sz w:val="26"/>
          <w:szCs w:val="26"/>
          <w:rtl w:val="0"/>
        </w:rPr>
        <w:t xml:space="preserve"> to evaluate revenue, profit, profit margin, completed orders, discounting, regional performance, and product-level trends.</w:t>
      </w:r>
    </w:p>
    <w:p w:rsidR="00000000" w:rsidDel="00000000" w:rsidP="00000000" w:rsidRDefault="00000000" w:rsidRPr="00000000" w14:paraId="0000000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5sihl2xgttoh" w:id="2"/>
      <w:bookmarkEnd w:id="2"/>
      <w:r w:rsidDel="00000000" w:rsidR="00000000" w:rsidRPr="00000000">
        <w:rPr>
          <w:rFonts w:ascii="Times New Roman" w:cs="Times New Roman" w:eastAsia="Times New Roman" w:hAnsi="Times New Roman"/>
          <w:b w:val="1"/>
          <w:bCs w:val="1"/>
          <w:color w:val="000000"/>
          <w:sz w:val="26"/>
          <w:szCs w:val="26"/>
          <w:rtl w:val="0"/>
        </w:rPr>
        <w:t xml:space="preserve">Key Findings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Product Performance:</w:t>
      </w:r>
      <w:r w:rsidDel="00000000" w:rsidR="00000000" w:rsidRPr="00000000">
        <w:rPr>
          <w:rFonts w:ascii="Times New Roman" w:cs="Times New Roman" w:eastAsia="Times New Roman" w:hAnsi="Times New Roman"/>
          <w:sz w:val="26"/>
          <w:szCs w:val="26"/>
          <w:rtl w:val="0"/>
        </w:rPr>
        <w:t xml:space="preserve"> Software demonstrated the strongest combination of revenue and profitability, generating approximately </w:t>
      </w:r>
      <w:r w:rsidDel="00000000" w:rsidR="00000000" w:rsidRPr="00000000">
        <w:rPr>
          <w:rFonts w:ascii="Times New Roman" w:cs="Times New Roman" w:eastAsia="Times New Roman" w:hAnsi="Times New Roman"/>
          <w:b w:val="1"/>
          <w:bCs w:val="1"/>
          <w:sz w:val="26"/>
          <w:szCs w:val="26"/>
          <w:rtl w:val="0"/>
        </w:rPr>
        <w:t xml:space="preserve">$69.2M in revenue, $39.2M in profit, and a 56.8% profit margin</w:t>
      </w:r>
      <w:r w:rsidDel="00000000" w:rsidR="00000000" w:rsidRPr="00000000">
        <w:rPr>
          <w:rFonts w:ascii="Times New Roman" w:cs="Times New Roman" w:eastAsia="Times New Roman" w:hAnsi="Times New Roman"/>
          <w:sz w:val="26"/>
          <w:szCs w:val="26"/>
          <w:rtl w:val="0"/>
        </w:rPr>
        <w:t xml:space="preserve">. Consulting generated similar revenue at approximately </w:t>
      </w:r>
      <w:r w:rsidDel="00000000" w:rsidR="00000000" w:rsidRPr="00000000">
        <w:rPr>
          <w:rFonts w:ascii="Times New Roman" w:cs="Times New Roman" w:eastAsia="Times New Roman" w:hAnsi="Times New Roman"/>
          <w:b w:val="1"/>
          <w:bCs w:val="1"/>
          <w:sz w:val="26"/>
          <w:szCs w:val="26"/>
          <w:rtl w:val="0"/>
        </w:rPr>
        <w:t xml:space="preserve">$66.6M</w:t>
      </w:r>
      <w:r w:rsidDel="00000000" w:rsidR="00000000" w:rsidRPr="00000000">
        <w:rPr>
          <w:rFonts w:ascii="Times New Roman" w:cs="Times New Roman" w:eastAsia="Times New Roman" w:hAnsi="Times New Roman"/>
          <w:sz w:val="26"/>
          <w:szCs w:val="26"/>
          <w:rtl w:val="0"/>
        </w:rPr>
        <w:t xml:space="preserve">, but its </w:t>
      </w:r>
      <w:r w:rsidDel="00000000" w:rsidR="00000000" w:rsidRPr="00000000">
        <w:rPr>
          <w:rFonts w:ascii="Times New Roman" w:cs="Times New Roman" w:eastAsia="Times New Roman" w:hAnsi="Times New Roman"/>
          <w:b w:val="1"/>
          <w:bCs w:val="1"/>
          <w:sz w:val="26"/>
          <w:szCs w:val="26"/>
          <w:rtl w:val="0"/>
        </w:rPr>
        <w:t xml:space="preserve">44.6% margin</w:t>
      </w:r>
      <w:r w:rsidDel="00000000" w:rsidR="00000000" w:rsidRPr="00000000">
        <w:rPr>
          <w:rFonts w:ascii="Times New Roman" w:cs="Times New Roman" w:eastAsia="Times New Roman" w:hAnsi="Times New Roman"/>
          <w:sz w:val="26"/>
          <w:szCs w:val="26"/>
          <w:rtl w:val="0"/>
        </w:rPr>
        <w:t xml:space="preserve"> revealed a meaningful profitability gap. Regional analysis also identified the </w:t>
      </w:r>
      <w:r w:rsidDel="00000000" w:rsidR="00000000" w:rsidRPr="00000000">
        <w:rPr>
          <w:rFonts w:ascii="Times New Roman" w:cs="Times New Roman" w:eastAsia="Times New Roman" w:hAnsi="Times New Roman"/>
          <w:b w:val="1"/>
          <w:bCs w:val="1"/>
          <w:sz w:val="26"/>
          <w:szCs w:val="26"/>
          <w:rtl w:val="0"/>
        </w:rPr>
        <w:t xml:space="preserve">West as the strongest-performing region</w:t>
      </w:r>
      <w:r w:rsidDel="00000000" w:rsidR="00000000" w:rsidRPr="00000000">
        <w:rPr>
          <w:rFonts w:ascii="Times New Roman" w:cs="Times New Roman" w:eastAsia="Times New Roman" w:hAnsi="Times New Roman"/>
          <w:sz w:val="26"/>
          <w:szCs w:val="26"/>
          <w:rtl w:val="0"/>
        </w:rPr>
        <w:t xml:space="preserve">, with Software serving as a major contributor.</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Pricing Strategy:</w:t>
      </w:r>
      <w:r w:rsidDel="00000000" w:rsidR="00000000" w:rsidRPr="00000000">
        <w:rPr>
          <w:rFonts w:ascii="Times New Roman" w:cs="Times New Roman" w:eastAsia="Times New Roman" w:hAnsi="Times New Roman"/>
          <w:sz w:val="26"/>
          <w:szCs w:val="26"/>
          <w:rtl w:val="0"/>
        </w:rPr>
        <w:t xml:space="preserve"> Average discount percentages were similar across product categories at approximately </w:t>
      </w: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meaning category averages alone did not explain the differences in profitability. However, analyzing performance by discount range revealed that </w:t>
      </w:r>
      <w:r w:rsidDel="00000000" w:rsidR="00000000" w:rsidRPr="00000000">
        <w:rPr>
          <w:rFonts w:ascii="Times New Roman" w:cs="Times New Roman" w:eastAsia="Times New Roman" w:hAnsi="Times New Roman"/>
          <w:b w:val="1"/>
          <w:bCs w:val="1"/>
          <w:sz w:val="26"/>
          <w:szCs w:val="26"/>
          <w:rtl w:val="0"/>
        </w:rPr>
        <w:t xml:space="preserve">profit margins declined as discount levels increased across every product category</w:t>
      </w:r>
      <w:r w:rsidDel="00000000" w:rsidR="00000000" w:rsidRPr="00000000">
        <w:rPr>
          <w:rFonts w:ascii="Times New Roman" w:cs="Times New Roman" w:eastAsia="Times New Roman" w:hAnsi="Times New Roman"/>
          <w:sz w:val="26"/>
          <w:szCs w:val="26"/>
          <w:rtl w:val="0"/>
        </w:rPr>
        <w:t xml:space="preserve">. At discounts of </w:t>
      </w:r>
      <w:r w:rsidDel="00000000" w:rsidR="00000000" w:rsidRPr="00000000">
        <w:rPr>
          <w:rFonts w:ascii="Times New Roman" w:cs="Times New Roman" w:eastAsia="Times New Roman" w:hAnsi="Times New Roman"/>
          <w:b w:val="1"/>
          <w:bCs w:val="1"/>
          <w:sz w:val="26"/>
          <w:szCs w:val="26"/>
          <w:rtl w:val="0"/>
        </w:rPr>
        <w:t xml:space="preserve">30% or more</w:t>
      </w:r>
      <w:r w:rsidDel="00000000" w:rsidR="00000000" w:rsidRPr="00000000">
        <w:rPr>
          <w:rFonts w:ascii="Times New Roman" w:cs="Times New Roman" w:eastAsia="Times New Roman" w:hAnsi="Times New Roman"/>
          <w:sz w:val="26"/>
          <w:szCs w:val="26"/>
          <w:rtl w:val="0"/>
        </w:rPr>
        <w:t xml:space="preserve">, Hardware declined to approximately a </w:t>
      </w:r>
      <w:r w:rsidDel="00000000" w:rsidR="00000000" w:rsidRPr="00000000">
        <w:rPr>
          <w:rFonts w:ascii="Gungsuh" w:cs="Gungsuh" w:eastAsia="Gungsuh" w:hAnsi="Gungsuh"/>
          <w:b w:val="1"/>
          <w:bCs w:val="1"/>
          <w:sz w:val="26"/>
          <w:szCs w:val="26"/>
          <w:rtl w:val="0"/>
        </w:rPr>
        <w:t xml:space="preserve">−1.7% margin</w:t>
      </w:r>
      <w:r w:rsidDel="00000000" w:rsidR="00000000" w:rsidRPr="00000000">
        <w:rPr>
          <w:rFonts w:ascii="Times New Roman" w:cs="Times New Roman" w:eastAsia="Times New Roman" w:hAnsi="Times New Roman"/>
          <w:sz w:val="26"/>
          <w:szCs w:val="26"/>
          <w:rtl w:val="0"/>
        </w:rPr>
        <w:t xml:space="preserve">, while Office Supplies declined to approximately </w:t>
      </w:r>
      <w:r w:rsidDel="00000000" w:rsidR="00000000" w:rsidRPr="00000000">
        <w:rPr>
          <w:rFonts w:ascii="Gungsuh" w:cs="Gungsuh" w:eastAsia="Gungsuh" w:hAnsi="Gungsuh"/>
          <w:b w:val="1"/>
          <w:bCs w:val="1"/>
          <w:sz w:val="26"/>
          <w:szCs w:val="26"/>
          <w:rtl w:val="0"/>
        </w:rPr>
        <w:t xml:space="preserve">−13.7%</w:t>
      </w:r>
      <w:r w:rsidDel="00000000" w:rsidR="00000000" w:rsidRPr="00000000">
        <w:rPr>
          <w:rFonts w:ascii="Times New Roman" w:cs="Times New Roman" w:eastAsia="Times New Roman" w:hAnsi="Times New Roman"/>
          <w:sz w:val="26"/>
          <w:szCs w:val="26"/>
          <w:rtl w:val="0"/>
        </w:rPr>
        <w:t xml:space="preserve">, demonstrating that discounting creates substantially different levels of profitability risk across categories.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Quarterly Sales Trends:</w:t>
      </w:r>
      <w:r w:rsidDel="00000000" w:rsidR="00000000" w:rsidRPr="00000000">
        <w:rPr>
          <w:rFonts w:ascii="Times New Roman" w:cs="Times New Roman" w:eastAsia="Times New Roman" w:hAnsi="Times New Roman"/>
          <w:sz w:val="26"/>
          <w:szCs w:val="26"/>
          <w:rtl w:val="0"/>
        </w:rPr>
        <w:t xml:space="preserve"> Completed orders increased from Q1 to Q2 each year from </w:t>
      </w:r>
      <w:r w:rsidDel="00000000" w:rsidR="00000000" w:rsidRPr="00000000">
        <w:rPr>
          <w:rFonts w:ascii="Times New Roman" w:cs="Times New Roman" w:eastAsia="Times New Roman" w:hAnsi="Times New Roman"/>
          <w:b w:val="1"/>
          <w:bCs w:val="1"/>
          <w:sz w:val="26"/>
          <w:szCs w:val="26"/>
          <w:rtl w:val="0"/>
        </w:rPr>
        <w:t xml:space="preserve">2023 through 2025</w:t>
      </w:r>
      <w:r w:rsidDel="00000000" w:rsidR="00000000" w:rsidRPr="00000000">
        <w:rPr>
          <w:rFonts w:ascii="Times New Roman" w:cs="Times New Roman" w:eastAsia="Times New Roman" w:hAnsi="Times New Roman"/>
          <w:sz w:val="26"/>
          <w:szCs w:val="26"/>
          <w:rtl w:val="0"/>
        </w:rPr>
        <w:t xml:space="preserve">, but this pattern reversed in </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Fonts w:ascii="Times New Roman" w:cs="Times New Roman" w:eastAsia="Times New Roman" w:hAnsi="Times New Roman"/>
          <w:sz w:val="26"/>
          <w:szCs w:val="26"/>
          <w:rtl w:val="0"/>
        </w:rPr>
        <w:t xml:space="preserve">, when completed orders declined from approximately </w:t>
      </w:r>
      <w:r w:rsidDel="00000000" w:rsidR="00000000" w:rsidRPr="00000000">
        <w:rPr>
          <w:rFonts w:ascii="Times New Roman" w:cs="Times New Roman" w:eastAsia="Times New Roman" w:hAnsi="Times New Roman"/>
          <w:b w:val="1"/>
          <w:bCs w:val="1"/>
          <w:sz w:val="26"/>
          <w:szCs w:val="26"/>
          <w:rtl w:val="0"/>
        </w:rPr>
        <w:t xml:space="preserve">2.9K to 2.3K</w:t>
      </w:r>
      <w:r w:rsidDel="00000000" w:rsidR="00000000" w:rsidRPr="00000000">
        <w:rPr>
          <w:rFonts w:ascii="Times New Roman" w:cs="Times New Roman" w:eastAsia="Times New Roman" w:hAnsi="Times New Roman"/>
          <w:sz w:val="26"/>
          <w:szCs w:val="26"/>
          <w:rtl w:val="0"/>
        </w:rPr>
        <w:t xml:space="preserve">. Revenue simultaneously fell from approximately </w:t>
      </w:r>
      <w:r w:rsidDel="00000000" w:rsidR="00000000" w:rsidRPr="00000000">
        <w:rPr>
          <w:rFonts w:ascii="Times New Roman" w:cs="Times New Roman" w:eastAsia="Times New Roman" w:hAnsi="Times New Roman"/>
          <w:b w:val="1"/>
          <w:bCs w:val="1"/>
          <w:sz w:val="26"/>
          <w:szCs w:val="26"/>
          <w:rtl w:val="0"/>
        </w:rPr>
        <w:t xml:space="preserve">$19.3M to $10.0M</w:t>
      </w:r>
      <w:r w:rsidDel="00000000" w:rsidR="00000000" w:rsidRPr="00000000">
        <w:rPr>
          <w:rFonts w:ascii="Times New Roman" w:cs="Times New Roman" w:eastAsia="Times New Roman" w:hAnsi="Times New Roman"/>
          <w:sz w:val="26"/>
          <w:szCs w:val="26"/>
          <w:rtl w:val="0"/>
        </w:rPr>
        <w:t xml:space="preserve">, while profit margin decreased from </w:t>
      </w:r>
      <w:r w:rsidDel="00000000" w:rsidR="00000000" w:rsidRPr="00000000">
        <w:rPr>
          <w:rFonts w:ascii="Times New Roman" w:cs="Times New Roman" w:eastAsia="Times New Roman" w:hAnsi="Times New Roman"/>
          <w:b w:val="1"/>
          <w:bCs w:val="1"/>
          <w:sz w:val="26"/>
          <w:szCs w:val="26"/>
          <w:rtl w:val="0"/>
        </w:rPr>
        <w:t xml:space="preserve">42.9% to 41.6%</w:t>
      </w:r>
      <w:r w:rsidDel="00000000" w:rsidR="00000000" w:rsidRPr="00000000">
        <w:rPr>
          <w:rFonts w:ascii="Times New Roman" w:cs="Times New Roman" w:eastAsia="Times New Roman" w:hAnsi="Times New Roman"/>
          <w:sz w:val="26"/>
          <w:szCs w:val="26"/>
          <w:rtl w:val="0"/>
        </w:rPr>
        <w:t xml:space="preserve">. Because all five product categories experienced lower Q2 order volume, the slowdown appears </w:t>
      </w:r>
      <w:r w:rsidDel="00000000" w:rsidR="00000000" w:rsidRPr="00000000">
        <w:rPr>
          <w:rFonts w:ascii="Times New Roman" w:cs="Times New Roman" w:eastAsia="Times New Roman" w:hAnsi="Times New Roman"/>
          <w:b w:val="1"/>
          <w:bCs w:val="1"/>
          <w:sz w:val="26"/>
          <w:szCs w:val="26"/>
          <w:rtl w:val="0"/>
        </w:rPr>
        <w:t xml:space="preserve">broad-based rather than isolated to one category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Historical drill-down analysis also demonstrated the importance of investigating concentrated profitability issues. Within </w:t>
      </w:r>
      <w:r w:rsidDel="00000000" w:rsidR="00000000" w:rsidRPr="00000000">
        <w:rPr>
          <w:rFonts w:ascii="Times New Roman" w:cs="Times New Roman" w:eastAsia="Times New Roman" w:hAnsi="Times New Roman"/>
          <w:b w:val="1"/>
          <w:bCs w:val="1"/>
          <w:sz w:val="26"/>
          <w:szCs w:val="26"/>
          <w:rtl w:val="0"/>
        </w:rPr>
        <w:t xml:space="preserve">South Office Supplies</w:t>
      </w:r>
      <w:r w:rsidDel="00000000" w:rsidR="00000000" w:rsidRPr="00000000">
        <w:rPr>
          <w:rFonts w:ascii="Times New Roman" w:cs="Times New Roman" w:eastAsia="Times New Roman" w:hAnsi="Times New Roman"/>
          <w:sz w:val="26"/>
          <w:szCs w:val="26"/>
          <w:rtl w:val="0"/>
        </w:rPr>
        <w:t xml:space="preserve">, Presentation Binder 926 moved from approximately </w:t>
      </w:r>
      <w:r w:rsidDel="00000000" w:rsidR="00000000" w:rsidRPr="00000000">
        <w:rPr>
          <w:rFonts w:ascii="Gungsuh" w:cs="Gungsuh" w:eastAsia="Gungsuh" w:hAnsi="Gungsuh"/>
          <w:b w:val="1"/>
          <w:bCs w:val="1"/>
          <w:sz w:val="26"/>
          <w:szCs w:val="26"/>
          <w:rtl w:val="0"/>
        </w:rPr>
        <w:t xml:space="preserve">+$1.5K profit in Q1 2025 to a −$11.4K loss in Q2</w:t>
      </w:r>
      <w:r w:rsidDel="00000000" w:rsidR="00000000" w:rsidRPr="00000000">
        <w:rPr>
          <w:rFonts w:ascii="Times New Roman" w:cs="Times New Roman" w:eastAsia="Times New Roman" w:hAnsi="Times New Roman"/>
          <w:sz w:val="26"/>
          <w:szCs w:val="26"/>
          <w:rtl w:val="0"/>
        </w:rPr>
        <w:t xml:space="preserve">, making it the largest negative contributor among the products analyzed.</w:t>
      </w:r>
    </w:p>
    <w:p w:rsidR="00000000" w:rsidDel="00000000" w:rsidP="00000000" w:rsidRDefault="00000000" w:rsidRPr="00000000" w14:paraId="0000000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mptw1rn4k273" w:id="3"/>
      <w:bookmarkEnd w:id="3"/>
      <w:r w:rsidDel="00000000" w:rsidR="00000000" w:rsidRPr="00000000">
        <w:rPr>
          <w:rFonts w:ascii="Times New Roman" w:cs="Times New Roman" w:eastAsia="Times New Roman" w:hAnsi="Times New Roman"/>
          <w:b w:val="1"/>
          <w:bCs w:val="1"/>
          <w:color w:val="000000"/>
          <w:sz w:val="26"/>
          <w:szCs w:val="26"/>
          <w:rtl w:val="0"/>
        </w:rPr>
        <w:t xml:space="preserve">Recommendations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business should continue prioritizing </w:t>
      </w:r>
      <w:r w:rsidDel="00000000" w:rsidR="00000000" w:rsidRPr="00000000">
        <w:rPr>
          <w:rFonts w:ascii="Times New Roman" w:cs="Times New Roman" w:eastAsia="Times New Roman" w:hAnsi="Times New Roman"/>
          <w:b w:val="1"/>
          <w:bCs w:val="1"/>
          <w:sz w:val="26"/>
          <w:szCs w:val="26"/>
          <w:rtl w:val="0"/>
        </w:rPr>
        <w:t xml:space="preserve">Software</w:t>
      </w:r>
      <w:r w:rsidDel="00000000" w:rsidR="00000000" w:rsidRPr="00000000">
        <w:rPr>
          <w:rFonts w:ascii="Times New Roman" w:cs="Times New Roman" w:eastAsia="Times New Roman" w:hAnsi="Times New Roman"/>
          <w:sz w:val="26"/>
          <w:szCs w:val="26"/>
          <w:rtl w:val="0"/>
        </w:rPr>
        <w:t xml:space="preserve"> and study the drivers behind the </w:t>
      </w:r>
      <w:r w:rsidDel="00000000" w:rsidR="00000000" w:rsidRPr="00000000">
        <w:rPr>
          <w:rFonts w:ascii="Times New Roman" w:cs="Times New Roman" w:eastAsia="Times New Roman" w:hAnsi="Times New Roman"/>
          <w:b w:val="1"/>
          <w:bCs w:val="1"/>
          <w:sz w:val="26"/>
          <w:szCs w:val="26"/>
          <w:rtl w:val="0"/>
        </w:rPr>
        <w:t xml:space="preserve">West's strong performance</w:t>
      </w:r>
      <w:r w:rsidDel="00000000" w:rsidR="00000000" w:rsidRPr="00000000">
        <w:rPr>
          <w:rFonts w:ascii="Times New Roman" w:cs="Times New Roman" w:eastAsia="Times New Roman" w:hAnsi="Times New Roman"/>
          <w:sz w:val="26"/>
          <w:szCs w:val="26"/>
          <w:rtl w:val="0"/>
        </w:rPr>
        <w:t xml:space="preserve"> for repeatable growth opportunities. Discounting should move away from a broad approach toward </w:t>
      </w:r>
      <w:r w:rsidDel="00000000" w:rsidR="00000000" w:rsidRPr="00000000">
        <w:rPr>
          <w:rFonts w:ascii="Times New Roman" w:cs="Times New Roman" w:eastAsia="Times New Roman" w:hAnsi="Times New Roman"/>
          <w:b w:val="1"/>
          <w:bCs w:val="1"/>
          <w:sz w:val="26"/>
          <w:szCs w:val="26"/>
          <w:rtl w:val="0"/>
        </w:rPr>
        <w:t xml:space="preserve">category-specific controls</w:t>
      </w:r>
      <w:r w:rsidDel="00000000" w:rsidR="00000000" w:rsidRPr="00000000">
        <w:rPr>
          <w:rFonts w:ascii="Times New Roman" w:cs="Times New Roman" w:eastAsia="Times New Roman" w:hAnsi="Times New Roman"/>
          <w:sz w:val="26"/>
          <w:szCs w:val="26"/>
          <w:rtl w:val="0"/>
        </w:rPr>
        <w:t xml:space="preserve">, particularly for Hardware and Office Supplies. Leadership should also closely monitor the </w:t>
      </w:r>
      <w:r w:rsidDel="00000000" w:rsidR="00000000" w:rsidRPr="00000000">
        <w:rPr>
          <w:rFonts w:ascii="Times New Roman" w:cs="Times New Roman" w:eastAsia="Times New Roman" w:hAnsi="Times New Roman"/>
          <w:b w:val="1"/>
          <w:bCs w:val="1"/>
          <w:sz w:val="26"/>
          <w:szCs w:val="26"/>
          <w:rtl w:val="0"/>
        </w:rPr>
        <w:t xml:space="preserve">2026 decline in completed orders and revenue</w:t>
      </w:r>
      <w:r w:rsidDel="00000000" w:rsidR="00000000" w:rsidRPr="00000000">
        <w:rPr>
          <w:rFonts w:ascii="Times New Roman" w:cs="Times New Roman" w:eastAsia="Times New Roman" w:hAnsi="Times New Roman"/>
          <w:sz w:val="26"/>
          <w:szCs w:val="26"/>
          <w:rtl w:val="0"/>
        </w:rPr>
        <w:t xml:space="preserve"> to determine what is driving the broad-based slowdown. Finally, regional and product-level drill-downs should be used to identify concentrated profitability issues before pursuing additional sales volume.</w:t>
      </w:r>
    </w:p>
    <w:p w:rsidR="00000000" w:rsidDel="00000000" w:rsidP="00000000" w:rsidRDefault="00000000" w:rsidRPr="00000000" w14:paraId="0000000B">
      <w:pPr>
        <w:spacing w:line="48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