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Risk SHAP Interpretability Dashboard</w:t>
      </w:r>
    </w:p>
    <w:p>
      <w:r>
        <w:t>This report combines SHAP plots and brief interpretations useful for recruiters and decision-makers.</w:t>
      </w:r>
    </w:p>
    <w:p>
      <w:r>
        <w:drawing>
          <wp:inline xmlns:a="http://schemas.openxmlformats.org/drawingml/2006/main" xmlns:pic="http://schemas.openxmlformats.org/drawingml/2006/picture">
            <wp:extent cx="5486400" cy="19513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ashboard_combi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dashboard shows global and local explanations of model behavior using SHAP.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