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0CA32" w14:textId="77777777">
      <w:pPr>
        <w:pStyle w:val="Heading1"/>
        <w:spacing w:after="120"/>
      </w:pPr>
      <w:bookmarkStart w:id="0" w:name="materials-and-methods"/>
      <w:r>
        <w:rPr>
          <w:rFonts w:ascii="Times New Roman" w:hAnsi="Times New Roman"/>
        </w:rPr>
        <w:t>1. Materials and Methods</w:t>
      </w:r>
    </w:p>
    <w:p w14:paraId="0299D2F5" w14:textId="77777777">
      <w:pPr>
        <w:pStyle w:val="Heading2"/>
      </w:pPr>
      <w:r>
        <w:t>1.1. Study design and definition of the released representation</w:t>
      </w:r>
    </w:p>
    <w:p w14:paraId="623EBEF8" w14:textId="77777777">
      <w:r>
        <w:t xml:space="preserve">gMolAI-v2.0 was developed as a deterministic molecular representation-learning system. In this work, a </w:t>
      </w:r>
      <w:r>
        <w:rPr>
          <w:i/>
          <w:iCs/>
        </w:rPr>
        <w:t>molecular embedding</w:t>
      </w:r>
      <w:r>
        <w:t xml:space="preserve"> denotes a fixed-dimensional real-valued vector computed from a molecular structure and intended to preserve information useful for chemical similarity, clustering and supervised downstream prediction. The production model maps an atom- and bond-labelled molecular graph to deterministic atom-level latent vectors and to a deterministic whole-molecule latent vector. It was trained by self-supervision, meaning that most learning targets were generated from the input molecular graph itself rather than from experimentally annotated endpoint labels, together with an auxiliary objective based on precomputed molecular descriptors.</w:t>
      </w:r>
    </w:p>
    <w:p w14:paraId="1C311241" w14:textId="77777777">
      <w:pPr>
        <w:pStyle w:val="BodyText"/>
      </w:pPr>
      <w:r>
        <w:t>The study was organized around four separately versioned components: an immutable molecular-data contract; an immutable graph-feature schema; a mutable representation-learning plan; and a fail-closed representation-selection protocol. This separation was used to ensure that changes to model architecture or optimization could be evaluated on the same molecular identities, graph construction rules and pretraining split, rather than silently changing the data-generating process. The production representation model corresponds to training implementation version 5. Earlier variational graph-autoencoder implementations are retained in the repository for provenance and ablation but are not checkpoint-compatible with the production encoder and were not used to generate the released gMolAI-v2.0 representation.</w:t>
      </w:r>
    </w:p>
    <w:p w14:paraId="21961025" w14:textId="77777777">
      <w:pPr>
        <w:pStyle w:val="BodyText"/>
      </w:pPr>
      <w:r>
        <w:t>The released molecule vector has 384 dimensions. It is constructed from a 256-dimensional learned whole-graph vector and a 128-dimensional mean atom vector, followed by coordinate-wise calibration fitted exclusively on the pretraining training partition and a fixed weight of 3 applied to the calibrated mean-atom block. Thus, the 256-dimensional internal graph vector alone is not the released gMolAI-v2.0 embedding.</w:t>
      </w:r>
    </w:p>
    <w:p>
      <w:pPr>
        <w:pStyle w:val="Heading2"/>
      </w:pPr>
      <w:r>
        <w:t>1.2. Molecular corpus, preprocessing and graph construction</w:t>
      </w:r>
    </w:p>
    <w:p w14:paraId="14F62EB1" w14:textId="77777777">
      <w:pPr>
        <w:pStyle w:val="Heading3"/>
      </w:pPr>
      <w:r>
        <w:t>1.2.1. Pretraining molecular corpus and immutable data provenance</w:t>
      </w:r>
    </w:p>
    <w:p w14:paraId="4369E835" w14:textId="77777777">
      <w:r>
        <w:t>The pretraining input comprised two Apache Arrow/Feather source tables designated ZINC and PubChem, representing widely used public small-molecule resources.</w:t>
      </w:r>
      <w:r>
        <w:rPr>
          <w:vertAlign w:val="superscript"/>
        </w:rPr>
        <w:t>1,2</w:t>
      </w:r>
      <w:r>
        <w:t xml:space="preserve"> The source tables contained 154,346,524 and 78,023,105 rows, respectively, for 232,369,629 input rows in total. The exact database snapshot identifiers and original download dates are not encoded in the present repository; accordingly, reproducibility of the materialized inputs is defined by the source-file identities rather than by an inferred database release number. Each source file was bound to the preprocessing configuration by its expected row count and SHA-256 digest, and preprocessing terminated if either identity check failed.</w:t>
      </w:r>
    </w:p>
    <w:p w14:paraId="50FE2407" w14:textId="77777777">
      <w:pPr>
        <w:pStyle w:val="BodyText"/>
      </w:pPr>
      <w:r>
        <w:t>After molecular parsing, chemistry-policy filtering, canonical identity construction, global duplicate resolution and graph materialization, the corpus comprised 223,180,699 molecular graphs. Preprocessing was partitioned into 256 deterministic molecule-hash buckets, and finalized graph tensors were packed into shards containing up to 8,192 molecules. Every finalized shard was bound to the immutable configuration, descriptor schema, graph-feature schema, pretraining split and descriptor-scaler identities. Finalization required exact agreement between the materialized graph count and the deduplicated dataset manifest; incomplete or mixed-identity graph stores were rejected.</w:t>
      </w:r>
    </w:p>
    <w:p w14:paraId="424EADED" w14:textId="77777777">
      <w:pPr>
        <w:pStyle w:val="BodyText"/>
      </w:pPr>
    </w:p>
    <w:p w14:paraId="40B8F42A" w14:textId="77777777">
      <w:pPr>
        <w:pStyle w:val="TableCaption"/>
        <w:keepNext/>
        <w:spacing w:before="140" w:after="60"/>
      </w:pPr>
      <w:r>
        <w:rPr>
          <w:b/>
          <w:bCs/>
          <w:sz w:val="19"/>
        </w:rPr>
        <w:t>Table 1 | Immutable pretraining data contract.</w:t>
      </w:r>
    </w:p>
    <w:tbl>
      <w:tblPr>
        <w:tblStyle w:val="TableGrid"/>
        <w:tblW w:w="0" w:type="auto"/>
        <w:jc w:val="center"/>
        <w:tblLayout w:type="fixed"/>
        <w:tblLook w:val="04A0" w:firstRow="1" w:lastRow="0" w:firstColumn="1" w:lastColumn="0" w:noHBand="0" w:noVBand="1"/>
      </w:tblPr>
      <w:tblGrid>
        <w:gridCol w:w="2381"/>
        <w:gridCol w:w="2041"/>
        <w:gridCol w:w="4649"/>
      </w:tblGrid>
      <w:tr w14:paraId="6B305314" w14:textId="77777777">
        <w:trPr>
          <w:cantSplit/>
          <w:tblHeader/>
          <w:jc w:val="center"/>
        </w:trPr>
        <w:tc>
          <w:tcPr>
            <w:tcW w:w="2381" w:type="dxa"/>
            <w:shd w:val="clear" w:color="auto" w:fill="EDEDED"/>
            <w:tcMar>
              <w:top w:w="65" w:type="dxa"/>
              <w:left w:w="75" w:type="dxa"/>
              <w:bottom w:w="65" w:type="dxa"/>
              <w:right w:w="75" w:type="dxa"/>
            </w:tcMar>
            <w:vAlign w:val="center"/>
          </w:tcPr>
          <w:p w14:paraId="127BBE03" w14:textId="77777777">
            <w:pPr>
              <w:keepNext/>
              <w:spacing w:after="0" w:line="240" w:lineRule="auto"/>
            </w:pPr>
            <w:r>
              <w:rPr>
                <w:b/>
                <w:sz w:val="17"/>
              </w:rPr>
              <w:t>Component</w:t>
            </w:r>
          </w:p>
        </w:tc>
        <w:tc>
          <w:tcPr>
            <w:tcW w:w="2041" w:type="dxa"/>
            <w:shd w:val="clear" w:color="auto" w:fill="EDEDED"/>
            <w:tcMar>
              <w:top w:w="65" w:type="dxa"/>
              <w:left w:w="75" w:type="dxa"/>
              <w:bottom w:w="65" w:type="dxa"/>
              <w:right w:w="75" w:type="dxa"/>
            </w:tcMar>
            <w:vAlign w:val="center"/>
          </w:tcPr>
          <w:p w14:paraId="303528E5" w14:textId="77777777">
            <w:pPr>
              <w:keepNext/>
              <w:spacing w:after="0" w:line="240" w:lineRule="auto"/>
            </w:pPr>
            <w:r>
              <w:rPr>
                <w:b/>
                <w:sz w:val="17"/>
              </w:rPr>
              <w:t>Production setting</w:t>
            </w:r>
          </w:p>
        </w:tc>
        <w:tc>
          <w:tcPr>
            <w:tcW w:w="4649" w:type="dxa"/>
            <w:shd w:val="clear" w:color="auto" w:fill="EDEDED"/>
            <w:tcMar>
              <w:top w:w="65" w:type="dxa"/>
              <w:left w:w="75" w:type="dxa"/>
              <w:bottom w:w="65" w:type="dxa"/>
              <w:right w:w="75" w:type="dxa"/>
            </w:tcMar>
            <w:vAlign w:val="center"/>
          </w:tcPr>
          <w:p w14:paraId="026EAEB0" w14:textId="77777777">
            <w:pPr>
              <w:keepNext/>
              <w:spacing w:after="0" w:line="240" w:lineRule="auto"/>
            </w:pPr>
            <w:r>
              <w:rPr>
                <w:b/>
                <w:sz w:val="17"/>
              </w:rPr>
              <w:t>Role in reproducibility</w:t>
            </w:r>
          </w:p>
        </w:tc>
      </w:tr>
      <w:tr w14:paraId="78076745" w14:textId="77777777">
        <w:trPr>
          <w:cantSplit/>
          <w:jc w:val="center"/>
        </w:trPr>
        <w:tc>
          <w:tcPr>
            <w:tcW w:w="2381" w:type="dxa"/>
            <w:tcMar>
              <w:top w:w="65" w:type="dxa"/>
              <w:left w:w="75" w:type="dxa"/>
              <w:bottom w:w="65" w:type="dxa"/>
              <w:right w:w="75" w:type="dxa"/>
            </w:tcMar>
            <w:vAlign w:val="center"/>
          </w:tcPr>
          <w:p w14:paraId="37F00880" w14:textId="77777777">
            <w:pPr>
              <w:spacing w:after="0" w:line="240" w:lineRule="auto"/>
            </w:pPr>
            <w:r>
              <w:rPr>
                <w:sz w:val="17"/>
              </w:rPr>
              <w:t>ZINC source table</w:t>
            </w:r>
          </w:p>
        </w:tc>
        <w:tc>
          <w:tcPr>
            <w:tcW w:w="2041" w:type="dxa"/>
            <w:tcMar>
              <w:top w:w="65" w:type="dxa"/>
              <w:left w:w="75" w:type="dxa"/>
              <w:bottom w:w="65" w:type="dxa"/>
              <w:right w:w="75" w:type="dxa"/>
            </w:tcMar>
            <w:vAlign w:val="center"/>
          </w:tcPr>
          <w:p w14:paraId="0E82E601" w14:textId="77777777">
            <w:pPr>
              <w:spacing w:after="0" w:line="240" w:lineRule="auto"/>
            </w:pPr>
            <w:r>
              <w:rPr>
                <w:sz w:val="17"/>
              </w:rPr>
              <w:t>154,346,524 rows</w:t>
            </w:r>
          </w:p>
        </w:tc>
        <w:tc>
          <w:tcPr>
            <w:tcW w:w="4649" w:type="dxa"/>
            <w:tcMar>
              <w:top w:w="65" w:type="dxa"/>
              <w:left w:w="75" w:type="dxa"/>
              <w:bottom w:w="65" w:type="dxa"/>
              <w:right w:w="75" w:type="dxa"/>
            </w:tcMar>
            <w:vAlign w:val="center"/>
          </w:tcPr>
          <w:p w14:paraId="4EBE5D20" w14:textId="77777777">
            <w:pPr>
              <w:spacing w:after="0" w:line="240" w:lineRule="auto"/>
            </w:pPr>
            <w:r>
              <w:rPr>
                <w:sz w:val="17"/>
              </w:rPr>
              <w:t>Source priority 0 during deterministic representative selection</w:t>
            </w:r>
          </w:p>
        </w:tc>
      </w:tr>
      <w:tr w14:paraId="2E736F5C" w14:textId="77777777">
        <w:trPr>
          <w:cantSplit/>
          <w:jc w:val="center"/>
        </w:trPr>
        <w:tc>
          <w:tcPr>
            <w:tcW w:w="2381" w:type="dxa"/>
            <w:tcMar>
              <w:top w:w="65" w:type="dxa"/>
              <w:left w:w="75" w:type="dxa"/>
              <w:bottom w:w="65" w:type="dxa"/>
              <w:right w:w="75" w:type="dxa"/>
            </w:tcMar>
            <w:vAlign w:val="center"/>
          </w:tcPr>
          <w:p w14:paraId="4F11A951" w14:textId="77777777">
            <w:pPr>
              <w:spacing w:after="0" w:line="240" w:lineRule="auto"/>
            </w:pPr>
            <w:r>
              <w:rPr>
                <w:sz w:val="17"/>
              </w:rPr>
              <w:t>PubChem source table</w:t>
            </w:r>
          </w:p>
        </w:tc>
        <w:tc>
          <w:tcPr>
            <w:tcW w:w="2041" w:type="dxa"/>
            <w:tcMar>
              <w:top w:w="65" w:type="dxa"/>
              <w:left w:w="75" w:type="dxa"/>
              <w:bottom w:w="65" w:type="dxa"/>
              <w:right w:w="75" w:type="dxa"/>
            </w:tcMar>
            <w:vAlign w:val="center"/>
          </w:tcPr>
          <w:p w14:paraId="73996DF3" w14:textId="77777777">
            <w:pPr>
              <w:spacing w:after="0" w:line="240" w:lineRule="auto"/>
            </w:pPr>
            <w:r>
              <w:rPr>
                <w:sz w:val="17"/>
              </w:rPr>
              <w:t>78,023,105 rows</w:t>
            </w:r>
          </w:p>
        </w:tc>
        <w:tc>
          <w:tcPr>
            <w:tcW w:w="4649" w:type="dxa"/>
            <w:tcMar>
              <w:top w:w="65" w:type="dxa"/>
              <w:left w:w="75" w:type="dxa"/>
              <w:bottom w:w="65" w:type="dxa"/>
              <w:right w:w="75" w:type="dxa"/>
            </w:tcMar>
            <w:vAlign w:val="center"/>
          </w:tcPr>
          <w:p w14:paraId="601C0833" w14:textId="77777777">
            <w:pPr>
              <w:spacing w:after="0" w:line="240" w:lineRule="auto"/>
            </w:pPr>
            <w:r>
              <w:rPr>
                <w:sz w:val="17"/>
              </w:rPr>
              <w:t>Source priority 1</w:t>
            </w:r>
          </w:p>
        </w:tc>
      </w:tr>
      <w:tr w14:paraId="60DFA7B8" w14:textId="77777777">
        <w:trPr>
          <w:cantSplit/>
          <w:jc w:val="center"/>
        </w:trPr>
        <w:tc>
          <w:tcPr>
            <w:tcW w:w="2381" w:type="dxa"/>
            <w:tcMar>
              <w:top w:w="65" w:type="dxa"/>
              <w:left w:w="75" w:type="dxa"/>
              <w:bottom w:w="65" w:type="dxa"/>
              <w:right w:w="75" w:type="dxa"/>
            </w:tcMar>
            <w:vAlign w:val="center"/>
          </w:tcPr>
          <w:p w14:paraId="1D83E64E" w14:textId="77777777">
            <w:pPr>
              <w:spacing w:after="0" w:line="240" w:lineRule="auto"/>
            </w:pPr>
            <w:r>
              <w:rPr>
                <w:sz w:val="17"/>
              </w:rPr>
              <w:t>Total source rows</w:t>
            </w:r>
          </w:p>
        </w:tc>
        <w:tc>
          <w:tcPr>
            <w:tcW w:w="2041" w:type="dxa"/>
            <w:tcMar>
              <w:top w:w="65" w:type="dxa"/>
              <w:left w:w="75" w:type="dxa"/>
              <w:bottom w:w="65" w:type="dxa"/>
              <w:right w:w="75" w:type="dxa"/>
            </w:tcMar>
            <w:vAlign w:val="center"/>
          </w:tcPr>
          <w:p w14:paraId="6826F58E" w14:textId="77777777">
            <w:pPr>
              <w:spacing w:after="0" w:line="240" w:lineRule="auto"/>
            </w:pPr>
            <w:r>
              <w:rPr>
                <w:sz w:val="17"/>
              </w:rPr>
              <w:t>232,369,629</w:t>
            </w:r>
          </w:p>
        </w:tc>
        <w:tc>
          <w:tcPr>
            <w:tcW w:w="4649" w:type="dxa"/>
            <w:tcMar>
              <w:top w:w="65" w:type="dxa"/>
              <w:left w:w="75" w:type="dxa"/>
              <w:bottom w:w="65" w:type="dxa"/>
              <w:right w:w="75" w:type="dxa"/>
            </w:tcMar>
            <w:vAlign w:val="center"/>
          </w:tcPr>
          <w:p w14:paraId="39A743C5" w14:textId="77777777">
            <w:pPr>
              <w:spacing w:after="0" w:line="240" w:lineRule="auto"/>
            </w:pPr>
            <w:r>
              <w:rPr>
                <w:sz w:val="17"/>
              </w:rPr>
              <w:t>Rows before chemistry filtering and deduplication</w:t>
            </w:r>
          </w:p>
        </w:tc>
      </w:tr>
      <w:tr w14:paraId="673A0D26" w14:textId="77777777">
        <w:trPr>
          <w:cantSplit/>
          <w:jc w:val="center"/>
        </w:trPr>
        <w:tc>
          <w:tcPr>
            <w:tcW w:w="2381" w:type="dxa"/>
            <w:tcMar>
              <w:top w:w="65" w:type="dxa"/>
              <w:left w:w="75" w:type="dxa"/>
              <w:bottom w:w="65" w:type="dxa"/>
              <w:right w:w="75" w:type="dxa"/>
            </w:tcMar>
            <w:vAlign w:val="center"/>
          </w:tcPr>
          <w:p w14:paraId="7F321ECC" w14:textId="77777777">
            <w:pPr>
              <w:spacing w:after="0" w:line="240" w:lineRule="auto"/>
            </w:pPr>
            <w:r>
              <w:rPr>
                <w:sz w:val="17"/>
              </w:rPr>
              <w:t>Final molecular graph corpus</w:t>
            </w:r>
          </w:p>
        </w:tc>
        <w:tc>
          <w:tcPr>
            <w:tcW w:w="2041" w:type="dxa"/>
            <w:tcMar>
              <w:top w:w="65" w:type="dxa"/>
              <w:left w:w="75" w:type="dxa"/>
              <w:bottom w:w="65" w:type="dxa"/>
              <w:right w:w="75" w:type="dxa"/>
            </w:tcMar>
            <w:vAlign w:val="center"/>
          </w:tcPr>
          <w:p w14:paraId="40D479F6" w14:textId="77777777">
            <w:pPr>
              <w:spacing w:after="0" w:line="240" w:lineRule="auto"/>
            </w:pPr>
            <w:r>
              <w:rPr>
                <w:sz w:val="17"/>
              </w:rPr>
              <w:t>223,180,699 graphs</w:t>
            </w:r>
          </w:p>
        </w:tc>
        <w:tc>
          <w:tcPr>
            <w:tcW w:w="4649" w:type="dxa"/>
            <w:tcMar>
              <w:top w:w="65" w:type="dxa"/>
              <w:left w:w="75" w:type="dxa"/>
              <w:bottom w:w="65" w:type="dxa"/>
              <w:right w:w="75" w:type="dxa"/>
            </w:tcMar>
            <w:vAlign w:val="center"/>
          </w:tcPr>
          <w:p w14:paraId="3257A3F7" w14:textId="77777777">
            <w:pPr>
              <w:spacing w:after="0" w:line="240" w:lineRule="auto"/>
            </w:pPr>
            <w:r>
              <w:rPr>
                <w:sz w:val="17"/>
              </w:rPr>
              <w:t>Versioned pretraining population</w:t>
            </w:r>
          </w:p>
        </w:tc>
      </w:tr>
      <w:tr w14:paraId="40128E5D" w14:textId="77777777">
        <w:trPr>
          <w:cantSplit/>
          <w:jc w:val="center"/>
        </w:trPr>
        <w:tc>
          <w:tcPr>
            <w:tcW w:w="2381" w:type="dxa"/>
            <w:tcMar>
              <w:top w:w="65" w:type="dxa"/>
              <w:left w:w="75" w:type="dxa"/>
              <w:bottom w:w="65" w:type="dxa"/>
              <w:right w:w="75" w:type="dxa"/>
            </w:tcMar>
            <w:vAlign w:val="center"/>
          </w:tcPr>
          <w:p w14:paraId="39176384" w14:textId="77777777">
            <w:pPr>
              <w:spacing w:after="0" w:line="240" w:lineRule="auto"/>
            </w:pPr>
            <w:r>
              <w:rPr>
                <w:sz w:val="17"/>
              </w:rPr>
              <w:t>Molecule-hash buckets</w:t>
            </w:r>
          </w:p>
        </w:tc>
        <w:tc>
          <w:tcPr>
            <w:tcW w:w="2041" w:type="dxa"/>
            <w:tcMar>
              <w:top w:w="65" w:type="dxa"/>
              <w:left w:w="75" w:type="dxa"/>
              <w:bottom w:w="65" w:type="dxa"/>
              <w:right w:w="75" w:type="dxa"/>
            </w:tcMar>
            <w:vAlign w:val="center"/>
          </w:tcPr>
          <w:p w14:paraId="51518A55" w14:textId="77777777">
            <w:pPr>
              <w:spacing w:after="0" w:line="240" w:lineRule="auto"/>
            </w:pPr>
            <w:r>
              <w:rPr>
                <w:sz w:val="17"/>
              </w:rPr>
              <w:t>256</w:t>
            </w:r>
          </w:p>
        </w:tc>
        <w:tc>
          <w:tcPr>
            <w:tcW w:w="4649" w:type="dxa"/>
            <w:tcMar>
              <w:top w:w="65" w:type="dxa"/>
              <w:left w:w="75" w:type="dxa"/>
              <w:bottom w:w="65" w:type="dxa"/>
              <w:right w:w="75" w:type="dxa"/>
            </w:tcMar>
            <w:vAlign w:val="center"/>
          </w:tcPr>
          <w:p w14:paraId="4034AE61" w14:textId="77777777">
            <w:pPr>
              <w:spacing w:after="0" w:line="240" w:lineRule="auto"/>
            </w:pPr>
            <w:r>
              <w:rPr>
                <w:sz w:val="17"/>
              </w:rPr>
              <w:t>Scalable preprocessing and unbiased finite sampling</w:t>
            </w:r>
          </w:p>
        </w:tc>
      </w:tr>
      <w:tr w14:paraId="43C20642" w14:textId="77777777">
        <w:trPr>
          <w:cantSplit/>
          <w:jc w:val="center"/>
        </w:trPr>
        <w:tc>
          <w:tcPr>
            <w:tcW w:w="2381" w:type="dxa"/>
            <w:tcMar>
              <w:top w:w="65" w:type="dxa"/>
              <w:left w:w="75" w:type="dxa"/>
              <w:bottom w:w="65" w:type="dxa"/>
              <w:right w:w="75" w:type="dxa"/>
            </w:tcMar>
            <w:vAlign w:val="center"/>
          </w:tcPr>
          <w:p w14:paraId="22EC586F" w14:textId="77777777">
            <w:pPr>
              <w:spacing w:after="0" w:line="240" w:lineRule="auto"/>
            </w:pPr>
            <w:r>
              <w:rPr>
                <w:sz w:val="17"/>
              </w:rPr>
              <w:t>Maximum graphs per packed shard</w:t>
            </w:r>
          </w:p>
        </w:tc>
        <w:tc>
          <w:tcPr>
            <w:tcW w:w="2041" w:type="dxa"/>
            <w:tcMar>
              <w:top w:w="65" w:type="dxa"/>
              <w:left w:w="75" w:type="dxa"/>
              <w:bottom w:w="65" w:type="dxa"/>
              <w:right w:w="75" w:type="dxa"/>
            </w:tcMar>
            <w:vAlign w:val="center"/>
          </w:tcPr>
          <w:p w14:paraId="60095B36" w14:textId="77777777">
            <w:pPr>
              <w:spacing w:after="0" w:line="240" w:lineRule="auto"/>
            </w:pPr>
            <w:r>
              <w:rPr>
                <w:sz w:val="17"/>
              </w:rPr>
              <w:t>8,192</w:t>
            </w:r>
          </w:p>
        </w:tc>
        <w:tc>
          <w:tcPr>
            <w:tcW w:w="4649" w:type="dxa"/>
            <w:tcMar>
              <w:top w:w="65" w:type="dxa"/>
              <w:left w:w="75" w:type="dxa"/>
              <w:bottom w:w="65" w:type="dxa"/>
              <w:right w:w="75" w:type="dxa"/>
            </w:tcMar>
            <w:vAlign w:val="center"/>
          </w:tcPr>
          <w:p w14:paraId="61FD0BFE" w14:textId="77777777">
            <w:pPr>
              <w:spacing w:after="0" w:line="240" w:lineRule="auto"/>
            </w:pPr>
            <w:r>
              <w:rPr>
                <w:sz w:val="17"/>
              </w:rPr>
              <w:t>Graph-storage granularity</w:t>
            </w:r>
          </w:p>
        </w:tc>
      </w:tr>
      <w:tr w14:paraId="72F58CE9" w14:textId="77777777">
        <w:trPr>
          <w:cantSplit/>
          <w:jc w:val="center"/>
        </w:trPr>
        <w:tc>
          <w:tcPr>
            <w:tcW w:w="2381" w:type="dxa"/>
            <w:tcMar>
              <w:top w:w="65" w:type="dxa"/>
              <w:left w:w="75" w:type="dxa"/>
              <w:bottom w:w="65" w:type="dxa"/>
              <w:right w:w="75" w:type="dxa"/>
            </w:tcMar>
            <w:vAlign w:val="center"/>
          </w:tcPr>
          <w:p w14:paraId="0576FCE7" w14:textId="77777777">
            <w:pPr>
              <w:spacing w:after="0" w:line="240" w:lineRule="auto"/>
            </w:pPr>
            <w:r>
              <w:rPr>
                <w:sz w:val="17"/>
              </w:rPr>
              <w:t>Target pretraining split</w:t>
            </w:r>
          </w:p>
        </w:tc>
        <w:tc>
          <w:tcPr>
            <w:tcW w:w="2041" w:type="dxa"/>
            <w:tcMar>
              <w:top w:w="65" w:type="dxa"/>
              <w:left w:w="75" w:type="dxa"/>
              <w:bottom w:w="65" w:type="dxa"/>
              <w:right w:w="75" w:type="dxa"/>
            </w:tcMar>
            <w:vAlign w:val="center"/>
          </w:tcPr>
          <w:p w14:paraId="40D0E51D" w14:textId="77777777">
            <w:pPr>
              <w:spacing w:after="0" w:line="240" w:lineRule="auto"/>
            </w:pPr>
            <w:r>
              <w:rPr>
                <w:sz w:val="17"/>
              </w:rPr>
              <w:t>99.0% / 0.5% / 0.5%</w:t>
            </w:r>
          </w:p>
        </w:tc>
        <w:tc>
          <w:tcPr>
            <w:tcW w:w="4649" w:type="dxa"/>
            <w:tcMar>
              <w:top w:w="65" w:type="dxa"/>
              <w:left w:w="75" w:type="dxa"/>
              <w:bottom w:w="65" w:type="dxa"/>
              <w:right w:w="75" w:type="dxa"/>
            </w:tcMar>
            <w:vAlign w:val="center"/>
          </w:tcPr>
          <w:p w14:paraId="28F2500B" w14:textId="77777777">
            <w:pPr>
              <w:spacing w:after="0" w:line="240" w:lineRule="auto"/>
            </w:pPr>
            <w:r>
              <w:rPr>
                <w:sz w:val="17"/>
              </w:rPr>
              <w:t>Training / validation / locked internal test</w:t>
            </w:r>
          </w:p>
        </w:tc>
      </w:tr>
    </w:tbl>
    <w:p w14:paraId="512BBB75" w14:textId="77777777">
      <w:pPr>
        <w:pStyle w:val="BodyText"/>
      </w:pPr>
      <w:r>
        <w:t>The complete SHA-256 digests recorded by the immutable configuration are 5b1567fd0f799f6fd71121c028fe73b64a94fd1adcc23b33a354016367d4cd80 for the ZINC Feather file and c17a6a2a81bdc66d662b9470647415f6ce822b823ff6a724bc4fd76bc3c4ea83 for the PubChem Feather file.</w:t>
      </w:r>
    </w:p>
    <w:p w14:paraId="15C3583D" w14:textId="77777777">
      <w:pPr>
        <w:pStyle w:val="Heading3"/>
      </w:pPr>
      <w:r>
        <w:t>1.2.2. Molecular parsing, chemistry eligibility, canonicalization and identity</w:t>
      </w:r>
    </w:p>
    <w:p w14:paraId="021CE2BF" w14:textId="77777777">
      <w:r>
        <w:t>Structures were parsed and sanitized with RDKit.</w:t>
      </w:r>
      <w:r>
        <w:rPr>
          <w:vertAlign w:val="superscript"/>
        </w:rPr>
        <w:t>3</w:t>
      </w:r>
      <w:r>
        <w:t xml:space="preserve"> An input record was accepted only when it represented a single connected molecular component, contained between 2 and 256 atoms inclusive, and contained no element outside the configured set {C, N, O, F, P, S, Cl, Br, I, H, B, Si}. Records containing multiple disconnected components were rejected rather than desalted, neutralized or reduced to a largest fragment. This choice makes the input domain explicit and prevents different standardization policies from changing molecular identity. Stereochemistry was retained when specified in the input.</w:t>
      </w:r>
    </w:p>
    <w:p w14:paraId="293370E9" w14:textId="77777777">
      <w:pPr>
        <w:pStyle w:val="BodyText"/>
      </w:pPr>
      <w:r>
        <w:t xml:space="preserve">For each accepted molecule, RDKit canonical isomeric SMILES was generated and reparsed. </w:t>
      </w:r>
      <w:r>
        <w:rPr>
          <w:i/>
          <w:iCs/>
        </w:rPr>
        <w:t>Canonicalization</w:t>
      </w:r>
      <w:r>
        <w:t xml:space="preserve"> here denotes conversion of chemically equivalent admissible SMILES encodings to a deterministic canonical string under the specified toolkit and options. The canonical isomeric SMILES served as the global deduplication key. Its SHA-256 digest was stored as a compact molecular identity in graph artifacts. Canonical non-isomeric SMILES was generated separately for scaffold and acyclic split logic. No atom-position encoding was supplied to the production graph model; the configured positional-encoding width was zero.</w:t>
      </w:r>
    </w:p>
    <w:p w14:paraId="357F64FA" w14:textId="77777777">
      <w:pPr>
        <w:pStyle w:val="BodyText"/>
      </w:pPr>
      <w:r>
        <w:t xml:space="preserve">A deterministic 64-bit hash was used for bucket assignment and scaffold splitting. For any text string </w:t>
      </w:r>
      <m:oMath>
        <m:r>
          <w:rPr>
            <w:rFonts w:ascii="Cambria Math" w:hAnsi="Cambria Math"/>
          </w:rPr>
          <m:t>s</m:t>
        </m:r>
      </m:oMath>
      <w:r>
        <w:t xml:space="preserve"> and integer seed </w:t>
      </w:r>
      <m:oMath>
        <m:r>
          <w:rPr>
            <w:rFonts w:ascii="Cambria Math" w:hAnsi="Cambria Math"/>
          </w:rPr>
          <m:t>q</m:t>
        </m:r>
      </m:oMath>
      <w:r>
        <w:t xml:space="preserve">, the implementation prepended the unsigned 8-byte little-endian encoding of </w:t>
      </w:r>
      <m:oMath>
        <m:r>
          <w:rPr>
            <w:rFonts w:ascii="Cambria Math" w:hAnsi="Cambria Math"/>
          </w:rPr>
          <m:t>q</m:t>
        </m:r>
      </m:oMath>
      <w:r>
        <w:t xml:space="preserve"> to the UTF-8 bytes of </w:t>
      </w:r>
      <m:oMath>
        <m:r>
          <w:rPr>
            <w:rFonts w:ascii="Cambria Math" w:hAnsi="Cambria Math"/>
          </w:rPr>
          <m:t>s</m:t>
        </m:r>
      </m:oMath>
      <w:r>
        <w:t xml:space="preserve">, computed an 8-byte BLAKE2b digest, and interpreted the digest as an unsigned big-endian 64-bit integer. Let </w:t>
      </w:r>
      <m:oMath>
        <m:sSub>
          <m:sSubPr>
            <m:ctrlPr>
              <w:rPr>
                <w:rFonts w:ascii="Cambria Math" w:hAnsi="Cambria Math"/>
              </w:rPr>
            </m:ctrlPr>
          </m:sSubPr>
          <m:e>
            <m:r>
              <w:rPr>
                <w:rFonts w:ascii="Cambria Math" w:hAnsi="Cambria Math"/>
              </w:rPr>
              <m:t>h</m:t>
            </m:r>
          </m:e>
          <m:sub>
            <m:r>
              <w:rPr>
                <w:rFonts w:ascii="Cambria Math" w:hAnsi="Cambria Math"/>
              </w:rPr>
              <m:t>q</m:t>
            </m:r>
          </m:sub>
        </m:sSub>
        <m:d>
          <m:dPr>
            <m:ctrlPr>
              <w:rPr>
                <w:rFonts w:ascii="Cambria Math" w:hAnsi="Cambria Math"/>
              </w:rPr>
            </m:ctrlPr>
          </m:dPr>
          <m:e>
            <m:r>
              <w:rPr>
                <w:rFonts w:ascii="Cambria Math" w:hAnsi="Cambria Math"/>
              </w:rPr>
              <m:t>s</m:t>
            </m:r>
          </m:e>
        </m:d>
      </m:oMath>
      <w:r>
        <w:t xml:space="preserve"> denote that integer. When a unit-interval variate was required, the implementation used </w:t>
      </w:r>
      <m:oMath>
        <m:sSub>
          <m:sSubPr>
            <m:ctrlPr>
              <w:rPr>
                <w:rFonts w:ascii="Cambria Math" w:hAnsi="Cambria Math"/>
              </w:rPr>
            </m:ctrlPr>
          </m:sSubPr>
          <m:e>
            <m:r>
              <w:rPr>
                <w:rFonts w:ascii="Cambria Math" w:hAnsi="Cambria Math"/>
              </w:rPr>
              <m:t>u</m:t>
            </m:r>
          </m:e>
          <m:sub>
            <m:r>
              <w:rPr>
                <w:rFonts w:ascii="Cambria Math" w:hAnsi="Cambria Math"/>
              </w:rPr>
              <m:t>q</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q</m:t>
            </m:r>
          </m:sub>
        </m:sSub>
        <m:d>
          <m:dPr>
            <m:ctrlPr>
              <w:rPr>
                <w:rFonts w:ascii="Cambria Math" w:hAnsi="Cambria Math"/>
              </w:rPr>
            </m:ctrlPr>
          </m:dPr>
          <m:e>
            <m:r>
              <w:rPr>
                <w:rFonts w:ascii="Cambria Math" w:hAnsi="Cambria Math"/>
              </w:rPr>
              <m:t>s</m:t>
            </m:r>
          </m:e>
        </m:d>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oMath>
      <w:r>
        <w:t xml:space="preserve">, so that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d>
          <m:dPr>
            <m:ctrlPr>
              <w:rPr>
                <w:rFonts w:ascii="Cambria Math" w:hAnsi="Cambria Math"/>
              </w:rPr>
            </m:ctrlPr>
          </m:dPr>
          <m:e>
            <m:r>
              <w:rPr>
                <w:rFonts w:ascii="Cambria Math" w:hAnsi="Cambria Math"/>
              </w:rPr>
              <m:t>s</m:t>
            </m:r>
          </m:e>
        </m:d>
        <m:r>
          <m:rPr>
            <m:sty m:val="p"/>
          </m:rPr>
          <w:rPr>
            <w:rFonts w:ascii="Cambria Math" w:hAnsi="Cambria Math"/>
          </w:rPr>
          <m:t>&lt;</m:t>
        </m:r>
        <m:r>
          <w:rPr>
            <w:rFonts w:ascii="Cambria Math" w:hAnsi="Cambria Math"/>
          </w:rPr>
          <m:t>1</m:t>
        </m:r>
      </m:oMath>
      <w:r>
        <w:t>.</w:t>
      </w:r>
    </w:p>
    <w:p w14:paraId="73519C7D" w14:textId="77777777">
      <w:pPr>
        <w:pStyle w:val="Heading3"/>
      </w:pPr>
      <w:r>
        <w:t>1.2.3. Global duplicate resolution and descriptor-conflict exclusion</w:t>
      </w:r>
    </w:p>
    <w:p w14:paraId="1CED672A" w14:textId="77777777">
      <w:r>
        <w:t xml:space="preserve">Deduplication was performed globally across both sources using canonical isomeric SMILES. Let a duplicate group </w:t>
      </w:r>
      <m:oMath>
        <m:r>
          <w:rPr>
            <w:rFonts w:ascii="Cambria Math" w:hAnsi="Cambria Math"/>
          </w:rPr>
          <m:t>g</m:t>
        </m:r>
      </m:oMath>
      <w:r>
        <w:t xml:space="preserve"> contain descriptor values </w:t>
      </w:r>
      <m:oMath>
        <m:sSub>
          <m:sSubPr>
            <m:ctrlPr>
              <w:rPr>
                <w:rFonts w:ascii="Cambria Math" w:hAnsi="Cambria Math"/>
              </w:rPr>
            </m:ctrlPr>
          </m:sSub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k</m:t>
            </m:r>
          </m:sub>
        </m:sSub>
      </m:oMath>
      <w:r>
        <w:t xml:space="preserve"> for records </w:t>
      </w:r>
      <m:oMath>
        <m:r>
          <w:rPr>
            <w:rFonts w:ascii="Cambria Math" w:hAnsi="Cambria Math"/>
          </w:rPr>
          <m:t>r</m:t>
        </m:r>
        <m:r>
          <m:rPr>
            <m:sty m:val="p"/>
          </m:rPr>
          <w:rPr>
            <w:rFonts w:ascii="Cambria Math" w:hAnsi="Cambria Math"/>
          </w:rPr>
          <m:t>∈</m:t>
        </m:r>
        <m:r>
          <w:rPr>
            <w:rFonts w:ascii="Cambria Math" w:hAnsi="Cambria Math"/>
          </w:rPr>
          <m:t>g</m:t>
        </m:r>
      </m:oMath>
      <w:r>
        <w:t xml:space="preserve"> and descriptor coordinate </w:t>
      </w:r>
      <m:oMath>
        <m:r>
          <w:rPr>
            <w:rFonts w:ascii="Cambria Math" w:hAnsi="Cambria Math"/>
          </w:rPr>
          <m:t>k</m:t>
        </m:r>
      </m:oMath>
      <w:r>
        <w:t>. The group was classified as descriptor-conflicting if at least one coordinate satisfied</w:t>
      </w:r>
    </w:p>
    <w:p w14:paraId="5A9B848E" w14:textId="77777777">
      <w:pPr>
        <w:pStyle w:val="BodyText"/>
        <w:keepLines/>
        <w:spacing w:before="100" w:after="100"/>
        <w:jc w:val="center"/>
      </w:pPr>
      <m:oMathPara>
        <m:oMathParaPr>
          <m:jc m:val="center"/>
        </m:oMathParaP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k</m:t>
                  </m:r>
                </m:sub>
                <m:sup>
                  <m:r>
                    <m:rPr>
                      <m:sty m:val="p"/>
                    </m:rP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k</m:t>
                  </m:r>
                </m:sub>
                <m:sup>
                  <m:r>
                    <m:rPr>
                      <m:sty m:val="p"/>
                    </m:rPr>
                    <w:rPr>
                      <w:rFonts w:ascii="Cambria Math" w:hAnsi="Cambria Math"/>
                    </w:rPr>
                    <m:t>min</m:t>
                  </m:r>
                </m:sup>
              </m:sSubSup>
            </m:e>
          </m:d>
          <m:r>
            <m:rPr>
              <m:sty m:val="p"/>
            </m:rPr>
            <w:rPr>
              <w:rFonts w:ascii="Cambria Math" w:hAnsi="Cambria Math"/>
            </w:rPr>
            <m:t>&gt;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max</m:t>
          </m:r>
          <m:r>
            <w:rPr>
              <w:rFonts w:ascii="Cambria Math" w:hAnsi="Cambria Math"/>
            </w:rPr>
            <m:t>​</m:t>
          </m:r>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k</m:t>
                      </m:r>
                    </m:sub>
                    <m:sup>
                      <m:r>
                        <m:rPr>
                          <m:sty m:val="p"/>
                        </m:rPr>
                        <w:rPr>
                          <w:rFonts w:ascii="Cambria Math" w:hAnsi="Cambria Math"/>
                        </w:rPr>
                        <m:t>max</m:t>
                      </m:r>
                    </m:sup>
                  </m:sSubSup>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k</m:t>
                      </m:r>
                    </m:sub>
                    <m:sup>
                      <m:r>
                        <m:rPr>
                          <m:sty m:val="p"/>
                        </m:rPr>
                        <w:rPr>
                          <w:rFonts w:ascii="Cambria Math" w:hAnsi="Cambria Math"/>
                        </w:rPr>
                        <m:t>min</m:t>
                      </m:r>
                    </m:sup>
                  </m:sSubSup>
                </m:e>
              </m:d>
            </m:e>
          </m:d>
          <m:r>
            <m:rPr>
              <m:sty m:val="p"/>
            </m:rPr>
            <w:rPr>
              <w:rFonts w:ascii="Cambria Math" w:hAnsi="Cambria Math"/>
            </w:rPr>
            <m:t>,</m:t>
          </m:r>
        </m:oMath>
      </m:oMathPara>
    </w:p>
    <w:p w14:paraId="1B3934AC" w14:textId="77777777">
      <w:r>
        <w:t xml:space="preserve">where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and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A conflicting molecular identity was excluded in its entirety rather than averaging discordant source values. Processing was configured to fail if the fraction of conflicting unique molecular identities exceeded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(0.1%).</w:t>
      </w:r>
    </w:p>
    <w:p w14:paraId="7CA67256" w14:textId="77777777">
      <w:pPr>
        <w:pStyle w:val="BodyText"/>
      </w:pPr>
      <w:r>
        <w:t>For each non-conflicting duplicate group, exactly one row was selected by deterministic lexicographic priority: source priority, source name, source batch and source-row index. ZINC had source priority 0 and PubChem priority 1. This procedure ensured that each retained canonical identity was represented once while preserving source-level reproducibility.</w:t>
      </w:r>
    </w:p>
    <w:p w14:paraId="187D54DD" w14:textId="77777777">
      <w:pPr>
        <w:pStyle w:val="Heading3"/>
      </w:pPr>
      <w:r>
        <w:t>1.2.4. Scaffold-aware pretraining partition</w:t>
      </w:r>
    </w:p>
    <w:p w14:paraId="1B2D736F" w14:textId="77777777">
      <w:r>
        <w:t>A Bemis-Murcko scaffold was defined as the molecular framework obtained after removal of terminal side chains while retaining ring systems and the linkers joining them.</w:t>
      </w:r>
      <w:r>
        <w:rPr>
          <w:vertAlign w:val="superscript"/>
        </w:rPr>
        <w:t>4</w:t>
      </w:r>
      <w:r>
        <w:t xml:space="preserve"> RDKit Murcko scaffolds were generated from canonical molecules. If the resulting scaffold was non-empty, the split key was the canonical non-isomeric scaffold SMILES prefixed by SCAFFOLD:. For acyclic molecules, for which a Murcko framework is empty, the canonical non-isomeric molecular SMILES prefixed by ACYCLIC: was used instead. Consequently, molecules sharing a non-empty scaffold key were inseparable by the pretraining split.</w:t>
      </w:r>
    </w:p>
    <w:p w14:paraId="39B2384D" w14:textId="77777777">
      <w:pPr>
        <w:pStyle w:val="BodyText"/>
      </w:pPr>
      <w:r>
        <w:t xml:space="preserve">With split seed </w:t>
      </w:r>
      <m:oMath>
        <m:r>
          <w:rPr>
            <w:rFonts w:ascii="Cambria Math" w:hAnsi="Cambria Math"/>
          </w:rPr>
          <m:t>q</m:t>
        </m:r>
        <m:r>
          <m:rPr>
            <m:sty m:val="p"/>
          </m:rPr>
          <w:rPr>
            <w:rFonts w:ascii="Cambria Math" w:hAnsi="Cambria Math"/>
          </w:rPr>
          <m:t>=</m:t>
        </m:r>
        <m:r>
          <w:rPr>
            <w:rFonts w:ascii="Cambria Math" w:hAnsi="Cambria Math"/>
          </w:rPr>
          <m:t>20260806</m:t>
        </m:r>
      </m:oMath>
      <w:r>
        <w:t xml:space="preserve">, the scalar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d>
          <m:dPr>
            <m:ctrlPr>
              <w:rPr>
                <w:rFonts w:ascii="Cambria Math" w:hAnsi="Cambria Math"/>
              </w:rPr>
            </m:ctrlPr>
          </m:dPr>
          <m:e>
            <m:r>
              <w:rPr>
                <w:rFonts w:ascii="Cambria Math" w:hAnsi="Cambria Math"/>
              </w:rPr>
              <m:t>s</m:t>
            </m:r>
          </m:e>
        </m:d>
      </m:oMath>
      <w:r>
        <w:t xml:space="preserve"> defined above was computed from the split key </w:t>
      </w:r>
      <m:oMath>
        <m:r>
          <w:rPr>
            <w:rFonts w:ascii="Cambria Math" w:hAnsi="Cambria Math"/>
          </w:rPr>
          <m:t>s</m:t>
        </m:r>
      </m:oMath>
      <w:r>
        <w:t>. Assignment was</w:t>
      </w:r>
    </w:p>
    <w:p w14:paraId="0526A6B0" w14:textId="77777777">
      <w:pPr>
        <w:pStyle w:val="BodyText"/>
        <w:keepLines/>
        <w:spacing w:before="100" w:after="100"/>
        <w:jc w:val="center"/>
      </w:pPr>
      <m:oMathPara>
        <m:oMathParaPr>
          <m:jc m:val="center"/>
        </m:oMathParaPr>
        <m:oMath>
          <m:r>
            <m:rPr>
              <m:nor/>
            </m:rPr>
            <m:t>split</m:t>
          </m:r>
          <m:d>
            <m:dPr>
              <m:ctrlPr>
                <w:rPr>
                  <w:rFonts w:ascii="Cambria Math" w:hAnsi="Cambria Math"/>
                </w:rPr>
              </m:ctrlPr>
            </m:dPr>
            <m:e>
              <m:r>
                <w:rPr>
                  <w:rFonts w:ascii="Cambria Math" w:hAnsi="Cambria Math"/>
                </w:rPr>
                <m:t>s</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train</m:t>
                    </m:r>
                    <m:r>
                      <m:rPr>
                        <m:sty m:val="p"/>
                      </m:rPr>
                      <w:rPr>
                        <w:rFonts w:ascii="Cambria Math" w:hAnsi="Cambria Math"/>
                      </w:rPr>
                      <m:t>,</m:t>
                    </m:r>
                  </m:e>
                  <m:e>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0.990</m:t>
                    </m:r>
                    <m:r>
                      <m:rPr>
                        <m:sty m:val="p"/>
                      </m:rPr>
                      <w:rPr>
                        <w:rFonts w:ascii="Cambria Math" w:hAnsi="Cambria Math"/>
                      </w:rPr>
                      <m:t>,</m:t>
                    </m:r>
                  </m:e>
                </m:mr>
                <m:mr>
                  <m:e>
                    <m:r>
                      <m:rPr>
                        <m:nor/>
                      </m:rPr>
                      <m:t>validation</m:t>
                    </m:r>
                    <m:r>
                      <m:rPr>
                        <m:sty m:val="p"/>
                      </m:rPr>
                      <w:rPr>
                        <w:rFonts w:ascii="Cambria Math" w:hAnsi="Cambria Math"/>
                      </w:rPr>
                      <m:t>,</m:t>
                    </m:r>
                  </m:e>
                  <m:e>
                    <m:r>
                      <w:rPr>
                        <w:rFonts w:ascii="Cambria Math" w:hAnsi="Cambria Math"/>
                      </w:rPr>
                      <m:t>0.990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0.995</m:t>
                    </m:r>
                    <m:r>
                      <m:rPr>
                        <m:sty m:val="p"/>
                      </m:rPr>
                      <w:rPr>
                        <w:rFonts w:ascii="Cambria Math" w:hAnsi="Cambria Math"/>
                      </w:rPr>
                      <m:t>,</m:t>
                    </m:r>
                  </m:e>
                </m:mr>
                <m:mr>
                  <m:e>
                    <m:r>
                      <m:rPr>
                        <m:nor/>
                      </m:rPr>
                      <m:t>test</m:t>
                    </m:r>
                    <m:r>
                      <m:rPr>
                        <m:sty m:val="p"/>
                      </m:rPr>
                      <w:rPr>
                        <w:rFonts w:ascii="Cambria Math" w:hAnsi="Cambria Math"/>
                      </w:rPr>
                      <m:t>,</m:t>
                    </m:r>
                  </m:e>
                  <m:e>
                    <m:r>
                      <w:rPr>
                        <w:rFonts w:ascii="Cambria Math" w:hAnsi="Cambria Math"/>
                      </w:rPr>
                      <m:t>0.995</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1</m:t>
                    </m:r>
                    <m:r>
                      <m:rPr>
                        <m:sty m:val="p"/>
                      </m:rPr>
                      <w:rPr>
                        <w:rFonts w:ascii="Cambria Math" w:hAnsi="Cambria Math"/>
                      </w:rPr>
                      <m:t>.</m:t>
                    </m:r>
                  </m:e>
                </m:mr>
              </m:m>
            </m:e>
          </m:d>
        </m:oMath>
      </m:oMathPara>
    </w:p>
    <w:p w14:paraId="36D550B5" w14:textId="77777777">
      <w:r>
        <w:t>The internal test partition was locked: it was not used to fit model parameters, descriptor normalization, embedding calibration, representation weights, checkpoint selection or downstream-probe hyperparameters.</w:t>
      </w:r>
    </w:p>
    <w:p w14:paraId="3085EE05" w14:textId="77777777">
      <w:pPr>
        <w:pStyle w:val="Heading3"/>
      </w:pPr>
      <w:r>
        <w:t>1.2.5. Auxiliary molecular descriptors and train-only target scaling</w:t>
      </w:r>
    </w:p>
    <w:p w14:paraId="1D090D7C" w14:textId="77777777">
      <w:r>
        <w:t>Each source row contained 13 molecular descriptors used as auxiliary pretraining targets. The descriptor vector was not itself used as the released representation; rather, descriptor prediction supplied a global molecular learning signal to the graph encoder. The descriptor order reconstructed from the source-generation function is given in Table 2. The original RDKit version used when the Feather descriptor columns were generated is not encoded in the repository. The released audit therefore verifies descriptor semantics against recomputation while preserving the source values as the immutable training targets.</w:t>
      </w:r>
    </w:p>
    <w:p w14:paraId="7F571573" w14:textId="77777777">
      <w:pPr>
        <w:pStyle w:val="TableCaption"/>
        <w:keepNext/>
        <w:spacing w:before="140" w:after="60"/>
      </w:pPr>
      <w:r>
        <w:rPr>
          <w:b/>
          <w:bCs/>
          <w:sz w:val="19"/>
        </w:rPr>
        <w:t>Table 2 | Auxiliary descriptor targets.</w:t>
      </w:r>
    </w:p>
    <w:tbl>
      <w:tblPr>
        <w:tblStyle w:val="TableGrid"/>
        <w:tblW w:w="0" w:type="auto"/>
        <w:jc w:val="center"/>
        <w:tblLayout w:type="fixed"/>
        <w:tblLook w:val="04A0" w:firstRow="1" w:lastRow="0" w:firstColumn="1" w:lastColumn="0" w:noHBand="0" w:noVBand="1"/>
      </w:tblPr>
      <w:tblGrid>
        <w:gridCol w:w="1984"/>
        <w:gridCol w:w="4706"/>
        <w:gridCol w:w="2381"/>
      </w:tblGrid>
      <w:tr w14:paraId="7ED93F3F" w14:textId="77777777">
        <w:trPr>
          <w:cantSplit/>
          <w:tblHeader/>
          <w:jc w:val="center"/>
        </w:trPr>
        <w:tc>
          <w:tcPr>
            <w:tcW w:w="1984" w:type="dxa"/>
            <w:shd w:val="clear" w:color="auto" w:fill="EDEDED"/>
            <w:tcMar>
              <w:top w:w="65" w:type="dxa"/>
              <w:left w:w="75" w:type="dxa"/>
              <w:bottom w:w="65" w:type="dxa"/>
              <w:right w:w="75" w:type="dxa"/>
            </w:tcMar>
            <w:vAlign w:val="center"/>
          </w:tcPr>
          <w:p w14:paraId="4ADEE0F3" w14:textId="77777777">
            <w:pPr>
              <w:keepNext/>
              <w:spacing w:after="0" w:line="240" w:lineRule="auto"/>
            </w:pPr>
            <w:r>
              <w:rPr>
                <w:b/>
                <w:sz w:val="17"/>
              </w:rPr>
              <w:t>Descriptor</w:t>
            </w:r>
          </w:p>
        </w:tc>
        <w:tc>
          <w:tcPr>
            <w:tcW w:w="4706" w:type="dxa"/>
            <w:shd w:val="clear" w:color="auto" w:fill="EDEDED"/>
            <w:tcMar>
              <w:top w:w="65" w:type="dxa"/>
              <w:left w:w="75" w:type="dxa"/>
              <w:bottom w:w="65" w:type="dxa"/>
              <w:right w:w="75" w:type="dxa"/>
            </w:tcMar>
            <w:vAlign w:val="center"/>
          </w:tcPr>
          <w:p w14:paraId="6368B400" w14:textId="77777777">
            <w:pPr>
              <w:keepNext/>
              <w:spacing w:after="0" w:line="240" w:lineRule="auto"/>
            </w:pPr>
            <w:r>
              <w:rPr>
                <w:b/>
                <w:sz w:val="17"/>
              </w:rPr>
              <w:t>Definition</w:t>
            </w:r>
          </w:p>
        </w:tc>
        <w:tc>
          <w:tcPr>
            <w:tcW w:w="2381" w:type="dxa"/>
            <w:shd w:val="clear" w:color="auto" w:fill="EDEDED"/>
            <w:tcMar>
              <w:top w:w="65" w:type="dxa"/>
              <w:left w:w="75" w:type="dxa"/>
              <w:bottom w:w="65" w:type="dxa"/>
              <w:right w:w="75" w:type="dxa"/>
            </w:tcMar>
            <w:vAlign w:val="center"/>
          </w:tcPr>
          <w:p w14:paraId="42CE4927" w14:textId="77777777">
            <w:pPr>
              <w:keepNext/>
              <w:spacing w:after="0" w:line="240" w:lineRule="auto"/>
            </w:pPr>
            <w:r>
              <w:rPr>
                <w:b/>
                <w:sz w:val="17"/>
              </w:rPr>
              <w:t>Units</w:t>
            </w:r>
          </w:p>
        </w:tc>
      </w:tr>
      <w:tr w14:paraId="7F2B6FCA" w14:textId="77777777">
        <w:trPr>
          <w:cantSplit/>
          <w:jc w:val="center"/>
        </w:trPr>
        <w:tc>
          <w:tcPr>
            <w:tcW w:w="1984" w:type="dxa"/>
            <w:tcMar>
              <w:top w:w="65" w:type="dxa"/>
              <w:left w:w="75" w:type="dxa"/>
              <w:bottom w:w="65" w:type="dxa"/>
              <w:right w:w="75" w:type="dxa"/>
            </w:tcMar>
            <w:vAlign w:val="center"/>
          </w:tcPr>
          <w:p w14:paraId="6F5C4B2C" w14:textId="77777777">
            <w:pPr>
              <w:keepNext/>
              <w:spacing w:after="0" w:line="240" w:lineRule="auto"/>
            </w:pPr>
            <w:r>
              <w:rPr>
                <w:sz w:val="17"/>
              </w:rPr>
              <w:t>QED</w:t>
            </w:r>
          </w:p>
        </w:tc>
        <w:tc>
          <w:tcPr>
            <w:tcW w:w="4706" w:type="dxa"/>
            <w:tcMar>
              <w:top w:w="65" w:type="dxa"/>
              <w:left w:w="75" w:type="dxa"/>
              <w:bottom w:w="65" w:type="dxa"/>
              <w:right w:w="75" w:type="dxa"/>
            </w:tcMar>
            <w:vAlign w:val="center"/>
          </w:tcPr>
          <w:p w14:paraId="42BCB76B" w14:textId="77777777">
            <w:pPr>
              <w:keepNext/>
              <w:spacing w:after="0" w:line="240" w:lineRule="auto"/>
            </w:pPr>
            <w:r>
              <w:rPr>
                <w:sz w:val="17"/>
              </w:rPr>
              <w:t>Quantitative estimate of drug-likeness</w:t>
            </w:r>
          </w:p>
        </w:tc>
        <w:tc>
          <w:tcPr>
            <w:tcW w:w="2381" w:type="dxa"/>
            <w:tcMar>
              <w:top w:w="65" w:type="dxa"/>
              <w:left w:w="75" w:type="dxa"/>
              <w:bottom w:w="65" w:type="dxa"/>
              <w:right w:w="75" w:type="dxa"/>
            </w:tcMar>
            <w:vAlign w:val="center"/>
          </w:tcPr>
          <w:p w14:paraId="5CD55504" w14:textId="77777777">
            <w:pPr>
              <w:keepNext/>
              <w:spacing w:after="0" w:line="240" w:lineRule="auto"/>
            </w:pPr>
            <w:r>
              <w:rPr>
                <w:sz w:val="17"/>
              </w:rPr>
              <w:t>dimensionless</w:t>
            </w:r>
          </w:p>
        </w:tc>
      </w:tr>
      <w:tr w14:paraId="0759773F" w14:textId="77777777">
        <w:trPr>
          <w:cantSplit/>
          <w:jc w:val="center"/>
        </w:trPr>
        <w:tc>
          <w:tcPr>
            <w:tcW w:w="1984" w:type="dxa"/>
            <w:tcMar>
              <w:top w:w="65" w:type="dxa"/>
              <w:left w:w="75" w:type="dxa"/>
              <w:bottom w:w="65" w:type="dxa"/>
              <w:right w:w="75" w:type="dxa"/>
            </w:tcMar>
            <w:vAlign w:val="center"/>
          </w:tcPr>
          <w:p w14:paraId="406C8375" w14:textId="77777777">
            <w:pPr>
              <w:spacing w:after="0" w:line="240" w:lineRule="auto"/>
            </w:pPr>
            <w:r>
              <w:rPr>
                <w:sz w:val="17"/>
              </w:rPr>
              <w:t>MolWt</w:t>
            </w:r>
          </w:p>
        </w:tc>
        <w:tc>
          <w:tcPr>
            <w:tcW w:w="4706" w:type="dxa"/>
            <w:tcMar>
              <w:top w:w="65" w:type="dxa"/>
              <w:left w:w="75" w:type="dxa"/>
              <w:bottom w:w="65" w:type="dxa"/>
              <w:right w:w="75" w:type="dxa"/>
            </w:tcMar>
            <w:vAlign w:val="center"/>
          </w:tcPr>
          <w:p w14:paraId="1DFBE8B6" w14:textId="77777777">
            <w:pPr>
              <w:spacing w:after="0" w:line="240" w:lineRule="auto"/>
            </w:pPr>
            <w:r>
              <w:rPr>
                <w:sz w:val="17"/>
              </w:rPr>
              <w:t>Molecular weight</w:t>
            </w:r>
          </w:p>
        </w:tc>
        <w:tc>
          <w:tcPr>
            <w:tcW w:w="2381" w:type="dxa"/>
            <w:tcMar>
              <w:top w:w="65" w:type="dxa"/>
              <w:left w:w="75" w:type="dxa"/>
              <w:bottom w:w="65" w:type="dxa"/>
              <w:right w:w="75" w:type="dxa"/>
            </w:tcMar>
            <w:vAlign w:val="center"/>
          </w:tcPr>
          <w:p>
            <w:r>
              <w:t>g/mol</w:t>
            </w:r>
          </w:p>
        </w:tc>
      </w:tr>
      <w:tr w14:paraId="42BF3F8D" w14:textId="77777777">
        <w:trPr>
          <w:cantSplit/>
          <w:jc w:val="center"/>
        </w:trPr>
        <w:tc>
          <w:tcPr>
            <w:tcW w:w="1984" w:type="dxa"/>
            <w:tcMar>
              <w:top w:w="65" w:type="dxa"/>
              <w:left w:w="75" w:type="dxa"/>
              <w:bottom w:w="65" w:type="dxa"/>
              <w:right w:w="75" w:type="dxa"/>
            </w:tcMar>
            <w:vAlign w:val="center"/>
          </w:tcPr>
          <w:p w14:paraId="0E404D4F" w14:textId="77777777">
            <w:pPr>
              <w:spacing w:after="0" w:line="240" w:lineRule="auto"/>
            </w:pPr>
            <w:r>
              <w:rPr>
                <w:sz w:val="17"/>
              </w:rPr>
              <w:t>NumValenceElectrons</w:t>
            </w:r>
          </w:p>
        </w:tc>
        <w:tc>
          <w:tcPr>
            <w:tcW w:w="4706" w:type="dxa"/>
            <w:tcMar>
              <w:top w:w="65" w:type="dxa"/>
              <w:left w:w="75" w:type="dxa"/>
              <w:bottom w:w="65" w:type="dxa"/>
              <w:right w:w="75" w:type="dxa"/>
            </w:tcMar>
            <w:vAlign w:val="center"/>
          </w:tcPr>
          <w:p w14:paraId="53E283A0" w14:textId="77777777">
            <w:pPr>
              <w:spacing w:after="0" w:line="240" w:lineRule="auto"/>
            </w:pPr>
            <w:r>
              <w:rPr>
                <w:sz w:val="17"/>
              </w:rPr>
              <w:t>Total valence-electron count</w:t>
            </w:r>
          </w:p>
        </w:tc>
        <w:tc>
          <w:tcPr>
            <w:tcW w:w="2381" w:type="dxa"/>
            <w:tcMar>
              <w:top w:w="65" w:type="dxa"/>
              <w:left w:w="75" w:type="dxa"/>
              <w:bottom w:w="65" w:type="dxa"/>
              <w:right w:w="75" w:type="dxa"/>
            </w:tcMar>
            <w:vAlign w:val="center"/>
          </w:tcPr>
          <w:p w14:paraId="33E0663F" w14:textId="77777777">
            <w:pPr>
              <w:spacing w:after="0" w:line="240" w:lineRule="auto"/>
            </w:pPr>
            <w:r>
              <w:rPr>
                <w:sz w:val="17"/>
              </w:rPr>
              <w:t>count</w:t>
            </w:r>
          </w:p>
        </w:tc>
      </w:tr>
      <w:tr w14:paraId="4C63E891" w14:textId="77777777">
        <w:trPr>
          <w:cantSplit/>
          <w:jc w:val="center"/>
        </w:trPr>
        <w:tc>
          <w:tcPr>
            <w:tcW w:w="1984" w:type="dxa"/>
            <w:tcMar>
              <w:top w:w="65" w:type="dxa"/>
              <w:left w:w="75" w:type="dxa"/>
              <w:bottom w:w="65" w:type="dxa"/>
              <w:right w:w="75" w:type="dxa"/>
            </w:tcMar>
            <w:vAlign w:val="center"/>
          </w:tcPr>
          <w:p w14:paraId="3DF5D4B2" w14:textId="77777777">
            <w:pPr>
              <w:spacing w:after="0" w:line="240" w:lineRule="auto"/>
            </w:pPr>
            <w:r>
              <w:rPr>
                <w:sz w:val="17"/>
              </w:rPr>
              <w:t>MaxPartialCharge</w:t>
            </w:r>
          </w:p>
        </w:tc>
        <w:tc>
          <w:tcPr>
            <w:tcW w:w="4706" w:type="dxa"/>
            <w:tcMar>
              <w:top w:w="65" w:type="dxa"/>
              <w:left w:w="75" w:type="dxa"/>
              <w:bottom w:w="65" w:type="dxa"/>
              <w:right w:w="75" w:type="dxa"/>
            </w:tcMar>
            <w:vAlign w:val="center"/>
          </w:tcPr>
          <w:p w14:paraId="1AED8DA7" w14:textId="77777777">
            <w:pPr>
              <w:spacing w:after="0" w:line="240" w:lineRule="auto"/>
            </w:pPr>
            <w:r>
              <w:rPr>
                <w:sz w:val="17"/>
              </w:rPr>
              <w:t>Maximum Gasteiger partial charge</w:t>
            </w:r>
          </w:p>
        </w:tc>
        <w:tc>
          <w:tcPr>
            <w:tcW w:w="2381" w:type="dxa"/>
            <w:tcMar>
              <w:top w:w="65" w:type="dxa"/>
              <w:left w:w="75" w:type="dxa"/>
              <w:bottom w:w="65" w:type="dxa"/>
              <w:right w:w="75" w:type="dxa"/>
            </w:tcMar>
            <w:vAlign w:val="center"/>
          </w:tcPr>
          <w:p w14:paraId="2660031B" w14:textId="77777777">
            <w:pPr>
              <w:spacing w:after="0" w:line="240" w:lineRule="auto"/>
            </w:pPr>
            <w:r>
              <w:rPr>
                <w:sz w:val="17"/>
              </w:rPr>
              <w:t>elementary-charge units</w:t>
            </w:r>
          </w:p>
        </w:tc>
      </w:tr>
      <w:tr w14:paraId="3FFAE555" w14:textId="77777777">
        <w:trPr>
          <w:cantSplit/>
          <w:jc w:val="center"/>
        </w:trPr>
        <w:tc>
          <w:tcPr>
            <w:tcW w:w="1984" w:type="dxa"/>
            <w:tcMar>
              <w:top w:w="65" w:type="dxa"/>
              <w:left w:w="75" w:type="dxa"/>
              <w:bottom w:w="65" w:type="dxa"/>
              <w:right w:w="75" w:type="dxa"/>
            </w:tcMar>
            <w:vAlign w:val="center"/>
          </w:tcPr>
          <w:p w14:paraId="2FDDE0A3" w14:textId="77777777">
            <w:pPr>
              <w:spacing w:after="0" w:line="240" w:lineRule="auto"/>
            </w:pPr>
            <w:r>
              <w:rPr>
                <w:sz w:val="17"/>
              </w:rPr>
              <w:t>MinPartialCharge</w:t>
            </w:r>
          </w:p>
        </w:tc>
        <w:tc>
          <w:tcPr>
            <w:tcW w:w="4706" w:type="dxa"/>
            <w:tcMar>
              <w:top w:w="65" w:type="dxa"/>
              <w:left w:w="75" w:type="dxa"/>
              <w:bottom w:w="65" w:type="dxa"/>
              <w:right w:w="75" w:type="dxa"/>
            </w:tcMar>
            <w:vAlign w:val="center"/>
          </w:tcPr>
          <w:p w14:paraId="6DFF9E82" w14:textId="77777777">
            <w:pPr>
              <w:spacing w:after="0" w:line="240" w:lineRule="auto"/>
            </w:pPr>
            <w:r>
              <w:rPr>
                <w:sz w:val="17"/>
              </w:rPr>
              <w:t>Minimum Gasteiger partial charge</w:t>
            </w:r>
          </w:p>
        </w:tc>
        <w:tc>
          <w:tcPr>
            <w:tcW w:w="2381" w:type="dxa"/>
            <w:tcMar>
              <w:top w:w="65" w:type="dxa"/>
              <w:left w:w="75" w:type="dxa"/>
              <w:bottom w:w="65" w:type="dxa"/>
              <w:right w:w="75" w:type="dxa"/>
            </w:tcMar>
            <w:vAlign w:val="center"/>
          </w:tcPr>
          <w:p w14:paraId="0270E481" w14:textId="77777777">
            <w:pPr>
              <w:spacing w:after="0" w:line="240" w:lineRule="auto"/>
            </w:pPr>
            <w:r>
              <w:rPr>
                <w:sz w:val="17"/>
              </w:rPr>
              <w:t>elementary-charge units</w:t>
            </w:r>
          </w:p>
        </w:tc>
      </w:tr>
      <w:tr w14:paraId="02FF2371" w14:textId="77777777">
        <w:trPr>
          <w:cantSplit/>
          <w:jc w:val="center"/>
        </w:trPr>
        <w:tc>
          <w:tcPr>
            <w:tcW w:w="1984" w:type="dxa"/>
            <w:tcMar>
              <w:top w:w="65" w:type="dxa"/>
              <w:left w:w="75" w:type="dxa"/>
              <w:bottom w:w="65" w:type="dxa"/>
              <w:right w:w="75" w:type="dxa"/>
            </w:tcMar>
            <w:vAlign w:val="center"/>
          </w:tcPr>
          <w:p w14:paraId="173CB7C3" w14:textId="77777777">
            <w:pPr>
              <w:spacing w:after="0" w:line="240" w:lineRule="auto"/>
            </w:pPr>
            <w:r>
              <w:rPr>
                <w:sz w:val="17"/>
              </w:rPr>
              <w:t>BalabanJ</w:t>
            </w:r>
          </w:p>
        </w:tc>
        <w:tc>
          <w:tcPr>
            <w:tcW w:w="4706" w:type="dxa"/>
            <w:tcMar>
              <w:top w:w="65" w:type="dxa"/>
              <w:left w:w="75" w:type="dxa"/>
              <w:bottom w:w="65" w:type="dxa"/>
              <w:right w:w="75" w:type="dxa"/>
            </w:tcMar>
            <w:vAlign w:val="center"/>
          </w:tcPr>
          <w:p w14:paraId="0F628211" w14:textId="77777777">
            <w:pPr>
              <w:spacing w:after="0" w:line="240" w:lineRule="auto"/>
            </w:pPr>
            <w:r>
              <w:rPr>
                <w:sz w:val="17"/>
              </w:rPr>
              <w:t>Balaban topological J index</w:t>
            </w:r>
          </w:p>
        </w:tc>
        <w:tc>
          <w:tcPr>
            <w:tcW w:w="2381" w:type="dxa"/>
            <w:tcMar>
              <w:top w:w="65" w:type="dxa"/>
              <w:left w:w="75" w:type="dxa"/>
              <w:bottom w:w="65" w:type="dxa"/>
              <w:right w:w="75" w:type="dxa"/>
            </w:tcMar>
            <w:vAlign w:val="center"/>
          </w:tcPr>
          <w:p w14:paraId="512491ED" w14:textId="77777777">
            <w:pPr>
              <w:spacing w:after="0" w:line="240" w:lineRule="auto"/>
            </w:pPr>
            <w:r>
              <w:rPr>
                <w:sz w:val="17"/>
              </w:rPr>
              <w:t>dimensionless</w:t>
            </w:r>
          </w:p>
        </w:tc>
      </w:tr>
      <w:tr w14:paraId="00D85E99" w14:textId="77777777">
        <w:trPr>
          <w:cantSplit/>
          <w:jc w:val="center"/>
        </w:trPr>
        <w:tc>
          <w:tcPr>
            <w:tcW w:w="1984" w:type="dxa"/>
            <w:tcMar>
              <w:top w:w="65" w:type="dxa"/>
              <w:left w:w="75" w:type="dxa"/>
              <w:bottom w:w="65" w:type="dxa"/>
              <w:right w:w="75" w:type="dxa"/>
            </w:tcMar>
            <w:vAlign w:val="center"/>
          </w:tcPr>
          <w:p w14:paraId="10FF6093" w14:textId="77777777">
            <w:pPr>
              <w:spacing w:after="0" w:line="240" w:lineRule="auto"/>
            </w:pPr>
            <w:r>
              <w:rPr>
                <w:sz w:val="17"/>
              </w:rPr>
              <w:t>LabuteASA</w:t>
            </w:r>
          </w:p>
        </w:tc>
        <w:tc>
          <w:tcPr>
            <w:tcW w:w="4706" w:type="dxa"/>
            <w:tcMar>
              <w:top w:w="65" w:type="dxa"/>
              <w:left w:w="75" w:type="dxa"/>
              <w:bottom w:w="65" w:type="dxa"/>
              <w:right w:w="75" w:type="dxa"/>
            </w:tcMar>
            <w:vAlign w:val="center"/>
          </w:tcPr>
          <w:p w14:paraId="30289590" w14:textId="77777777">
            <w:pPr>
              <w:spacing w:after="0" w:line="240" w:lineRule="auto"/>
            </w:pPr>
            <w:r>
              <w:rPr>
                <w:sz w:val="17"/>
              </w:rPr>
              <w:t>Labute approximate molecular surface area</w:t>
            </w:r>
          </w:p>
        </w:tc>
        <w:tc>
          <w:tcPr>
            <w:tcW w:w="2381" w:type="dxa"/>
            <w:tcMar>
              <w:top w:w="65" w:type="dxa"/>
              <w:left w:w="75" w:type="dxa"/>
              <w:bottom w:w="65" w:type="dxa"/>
              <w:right w:w="75" w:type="dxa"/>
            </w:tcMar>
            <w:vAlign w:val="center"/>
          </w:tcPr>
          <w:p w14:paraId="1FFE7B99" w14:textId="77777777">
            <w:pPr>
              <w:spacing w:after="0" w:line="240" w:lineRule="auto"/>
            </w:pPr>
            <w:r>
              <w:rPr>
                <w:sz w:val="17"/>
              </w:rPr>
              <w:t>Å²</w:t>
            </w:r>
          </w:p>
        </w:tc>
      </w:tr>
      <w:tr w14:paraId="522025A4" w14:textId="77777777">
        <w:trPr>
          <w:cantSplit/>
          <w:jc w:val="center"/>
        </w:trPr>
        <w:tc>
          <w:tcPr>
            <w:tcW w:w="1984" w:type="dxa"/>
            <w:tcMar>
              <w:top w:w="65" w:type="dxa"/>
              <w:left w:w="75" w:type="dxa"/>
              <w:bottom w:w="65" w:type="dxa"/>
              <w:right w:w="75" w:type="dxa"/>
            </w:tcMar>
            <w:vAlign w:val="center"/>
          </w:tcPr>
          <w:p w14:paraId="07B1C809" w14:textId="77777777">
            <w:pPr>
              <w:spacing w:after="0" w:line="240" w:lineRule="auto"/>
            </w:pPr>
            <w:r>
              <w:rPr>
                <w:sz w:val="17"/>
              </w:rPr>
              <w:t>TPSA</w:t>
            </w:r>
          </w:p>
        </w:tc>
        <w:tc>
          <w:tcPr>
            <w:tcW w:w="4706" w:type="dxa"/>
            <w:tcMar>
              <w:top w:w="65" w:type="dxa"/>
              <w:left w:w="75" w:type="dxa"/>
              <w:bottom w:w="65" w:type="dxa"/>
              <w:right w:w="75" w:type="dxa"/>
            </w:tcMar>
            <w:vAlign w:val="center"/>
          </w:tcPr>
          <w:p w14:paraId="4A53BA71" w14:textId="77777777">
            <w:pPr>
              <w:spacing w:after="0" w:line="240" w:lineRule="auto"/>
            </w:pPr>
            <w:r>
              <w:rPr>
                <w:sz w:val="17"/>
              </w:rPr>
              <w:t>Topological polar surface area</w:t>
            </w:r>
          </w:p>
        </w:tc>
        <w:tc>
          <w:tcPr>
            <w:tcW w:w="2381" w:type="dxa"/>
            <w:tcMar>
              <w:top w:w="65" w:type="dxa"/>
              <w:left w:w="75" w:type="dxa"/>
              <w:bottom w:w="65" w:type="dxa"/>
              <w:right w:w="75" w:type="dxa"/>
            </w:tcMar>
            <w:vAlign w:val="center"/>
          </w:tcPr>
          <w:p w14:paraId="092456BC" w14:textId="77777777">
            <w:pPr>
              <w:spacing w:after="0" w:line="240" w:lineRule="auto"/>
            </w:pPr>
            <w:r>
              <w:rPr>
                <w:sz w:val="17"/>
              </w:rPr>
              <w:t>Å²</w:t>
            </w:r>
          </w:p>
        </w:tc>
      </w:tr>
      <w:tr w14:paraId="7C3F9D16" w14:textId="77777777">
        <w:trPr>
          <w:cantSplit/>
          <w:jc w:val="center"/>
        </w:trPr>
        <w:tc>
          <w:tcPr>
            <w:tcW w:w="1984" w:type="dxa"/>
            <w:tcMar>
              <w:top w:w="65" w:type="dxa"/>
              <w:left w:w="75" w:type="dxa"/>
              <w:bottom w:w="65" w:type="dxa"/>
              <w:right w:w="75" w:type="dxa"/>
            </w:tcMar>
            <w:vAlign w:val="center"/>
          </w:tcPr>
          <w:p w14:paraId="3650D906" w14:textId="77777777">
            <w:pPr>
              <w:spacing w:after="0" w:line="240" w:lineRule="auto"/>
            </w:pPr>
            <w:r>
              <w:rPr>
                <w:sz w:val="17"/>
              </w:rPr>
              <w:lastRenderedPageBreak/>
              <w:t>HeavyAtomCount</w:t>
            </w:r>
          </w:p>
        </w:tc>
        <w:tc>
          <w:tcPr>
            <w:tcW w:w="4706" w:type="dxa"/>
            <w:tcMar>
              <w:top w:w="65" w:type="dxa"/>
              <w:left w:w="75" w:type="dxa"/>
              <w:bottom w:w="65" w:type="dxa"/>
              <w:right w:w="75" w:type="dxa"/>
            </w:tcMar>
            <w:vAlign w:val="center"/>
          </w:tcPr>
          <w:p w14:paraId="56A289DA" w14:textId="77777777">
            <w:pPr>
              <w:spacing w:after="0" w:line="240" w:lineRule="auto"/>
            </w:pPr>
            <w:r>
              <w:rPr>
                <w:sz w:val="17"/>
              </w:rPr>
              <w:t>Number of non-hydrogen atoms</w:t>
            </w:r>
          </w:p>
        </w:tc>
        <w:tc>
          <w:tcPr>
            <w:tcW w:w="2381" w:type="dxa"/>
            <w:tcMar>
              <w:top w:w="65" w:type="dxa"/>
              <w:left w:w="75" w:type="dxa"/>
              <w:bottom w:w="65" w:type="dxa"/>
              <w:right w:w="75" w:type="dxa"/>
            </w:tcMar>
            <w:vAlign w:val="center"/>
          </w:tcPr>
          <w:p w14:paraId="348F65C2" w14:textId="77777777">
            <w:pPr>
              <w:spacing w:after="0" w:line="240" w:lineRule="auto"/>
            </w:pPr>
            <w:r>
              <w:rPr>
                <w:sz w:val="17"/>
              </w:rPr>
              <w:t>count</w:t>
            </w:r>
          </w:p>
        </w:tc>
      </w:tr>
      <w:tr w14:paraId="6D93389C" w14:textId="77777777">
        <w:trPr>
          <w:cantSplit/>
          <w:jc w:val="center"/>
        </w:trPr>
        <w:tc>
          <w:tcPr>
            <w:tcW w:w="1984" w:type="dxa"/>
            <w:tcMar>
              <w:top w:w="65" w:type="dxa"/>
              <w:left w:w="75" w:type="dxa"/>
              <w:bottom w:w="65" w:type="dxa"/>
              <w:right w:w="75" w:type="dxa"/>
            </w:tcMar>
            <w:vAlign w:val="center"/>
          </w:tcPr>
          <w:p w14:paraId="2F7A5E7D" w14:textId="77777777">
            <w:pPr>
              <w:spacing w:after="0" w:line="240" w:lineRule="auto"/>
            </w:pPr>
            <w:r>
              <w:rPr>
                <w:sz w:val="17"/>
              </w:rPr>
              <w:t>NumHAcceptors</w:t>
            </w:r>
          </w:p>
        </w:tc>
        <w:tc>
          <w:tcPr>
            <w:tcW w:w="4706" w:type="dxa"/>
            <w:tcMar>
              <w:top w:w="65" w:type="dxa"/>
              <w:left w:w="75" w:type="dxa"/>
              <w:bottom w:w="65" w:type="dxa"/>
              <w:right w:w="75" w:type="dxa"/>
            </w:tcMar>
            <w:vAlign w:val="center"/>
          </w:tcPr>
          <w:p w14:paraId="0487A0E1" w14:textId="77777777">
            <w:pPr>
              <w:spacing w:after="0" w:line="240" w:lineRule="auto"/>
            </w:pPr>
            <w:r>
              <w:rPr>
                <w:sz w:val="17"/>
              </w:rPr>
              <w:t>Hydrogen-bond acceptor count</w:t>
            </w:r>
          </w:p>
        </w:tc>
        <w:tc>
          <w:tcPr>
            <w:tcW w:w="2381" w:type="dxa"/>
            <w:tcMar>
              <w:top w:w="65" w:type="dxa"/>
              <w:left w:w="75" w:type="dxa"/>
              <w:bottom w:w="65" w:type="dxa"/>
              <w:right w:w="75" w:type="dxa"/>
            </w:tcMar>
            <w:vAlign w:val="center"/>
          </w:tcPr>
          <w:p w14:paraId="62338571" w14:textId="77777777">
            <w:pPr>
              <w:spacing w:after="0" w:line="240" w:lineRule="auto"/>
            </w:pPr>
            <w:r>
              <w:rPr>
                <w:sz w:val="17"/>
              </w:rPr>
              <w:t>count</w:t>
            </w:r>
          </w:p>
        </w:tc>
      </w:tr>
      <w:tr w14:paraId="70F01B20" w14:textId="77777777">
        <w:trPr>
          <w:cantSplit/>
          <w:jc w:val="center"/>
        </w:trPr>
        <w:tc>
          <w:tcPr>
            <w:tcW w:w="1984" w:type="dxa"/>
            <w:tcMar>
              <w:top w:w="65" w:type="dxa"/>
              <w:left w:w="75" w:type="dxa"/>
              <w:bottom w:w="65" w:type="dxa"/>
              <w:right w:w="75" w:type="dxa"/>
            </w:tcMar>
            <w:vAlign w:val="center"/>
          </w:tcPr>
          <w:p w14:paraId="43EF9C7A" w14:textId="77777777">
            <w:pPr>
              <w:spacing w:after="0" w:line="240" w:lineRule="auto"/>
            </w:pPr>
            <w:r>
              <w:rPr>
                <w:sz w:val="17"/>
              </w:rPr>
              <w:t>NumHDonors</w:t>
            </w:r>
          </w:p>
        </w:tc>
        <w:tc>
          <w:tcPr>
            <w:tcW w:w="4706" w:type="dxa"/>
            <w:tcMar>
              <w:top w:w="65" w:type="dxa"/>
              <w:left w:w="75" w:type="dxa"/>
              <w:bottom w:w="65" w:type="dxa"/>
              <w:right w:w="75" w:type="dxa"/>
            </w:tcMar>
            <w:vAlign w:val="center"/>
          </w:tcPr>
          <w:p w14:paraId="5A52CC0F" w14:textId="77777777">
            <w:pPr>
              <w:spacing w:after="0" w:line="240" w:lineRule="auto"/>
            </w:pPr>
            <w:r>
              <w:rPr>
                <w:sz w:val="17"/>
              </w:rPr>
              <w:t>Hydrogen-bond donor count</w:t>
            </w:r>
          </w:p>
        </w:tc>
        <w:tc>
          <w:tcPr>
            <w:tcW w:w="2381" w:type="dxa"/>
            <w:tcMar>
              <w:top w:w="65" w:type="dxa"/>
              <w:left w:w="75" w:type="dxa"/>
              <w:bottom w:w="65" w:type="dxa"/>
              <w:right w:w="75" w:type="dxa"/>
            </w:tcMar>
            <w:vAlign w:val="center"/>
          </w:tcPr>
          <w:p w14:paraId="356B5030" w14:textId="77777777">
            <w:pPr>
              <w:spacing w:after="0" w:line="240" w:lineRule="auto"/>
            </w:pPr>
            <w:r>
              <w:rPr>
                <w:sz w:val="17"/>
              </w:rPr>
              <w:t>count</w:t>
            </w:r>
          </w:p>
        </w:tc>
      </w:tr>
      <w:tr w14:paraId="167275ED" w14:textId="77777777">
        <w:trPr>
          <w:cantSplit/>
          <w:jc w:val="center"/>
        </w:trPr>
        <w:tc>
          <w:tcPr>
            <w:tcW w:w="1984" w:type="dxa"/>
            <w:tcMar>
              <w:top w:w="65" w:type="dxa"/>
              <w:left w:w="75" w:type="dxa"/>
              <w:bottom w:w="65" w:type="dxa"/>
              <w:right w:w="75" w:type="dxa"/>
            </w:tcMar>
            <w:vAlign w:val="center"/>
          </w:tcPr>
          <w:p w14:paraId="464D84B9" w14:textId="77777777">
            <w:pPr>
              <w:spacing w:after="0" w:line="240" w:lineRule="auto"/>
            </w:pPr>
            <w:r>
              <w:rPr>
                <w:sz w:val="17"/>
              </w:rPr>
              <w:t>MolLogP</w:t>
            </w:r>
          </w:p>
        </w:tc>
        <w:tc>
          <w:tcPr>
            <w:tcW w:w="4706" w:type="dxa"/>
            <w:tcMar>
              <w:top w:w="65" w:type="dxa"/>
              <w:left w:w="75" w:type="dxa"/>
              <w:bottom w:w="65" w:type="dxa"/>
              <w:right w:w="75" w:type="dxa"/>
            </w:tcMar>
            <w:vAlign w:val="center"/>
          </w:tcPr>
          <w:p w14:paraId="26E98ED7" w14:textId="77777777">
            <w:pPr>
              <w:spacing w:after="0" w:line="240" w:lineRule="auto"/>
            </w:pPr>
            <w:r>
              <w:rPr>
                <w:sz w:val="17"/>
              </w:rPr>
              <w:t>Wildman-Crippen octanol/water logP estimate</w:t>
            </w:r>
          </w:p>
        </w:tc>
        <w:tc>
          <w:tcPr>
            <w:tcW w:w="2381" w:type="dxa"/>
            <w:tcMar>
              <w:top w:w="65" w:type="dxa"/>
              <w:left w:w="75" w:type="dxa"/>
              <w:bottom w:w="65" w:type="dxa"/>
              <w:right w:w="75" w:type="dxa"/>
            </w:tcMar>
            <w:vAlign w:val="center"/>
          </w:tcPr>
          <w:p w14:paraId="69199B94" w14:textId="77777777">
            <w:pPr>
              <w:spacing w:after="0" w:line="240" w:lineRule="auto"/>
            </w:pPr>
            <w:r>
              <w:rPr>
                <w:sz w:val="17"/>
              </w:rPr>
              <w:t>dimensionless</w:t>
            </w:r>
          </w:p>
        </w:tc>
      </w:tr>
      <w:tr w14:paraId="7005087A" w14:textId="77777777">
        <w:trPr>
          <w:cantSplit/>
          <w:jc w:val="center"/>
        </w:trPr>
        <w:tc>
          <w:tcPr>
            <w:tcW w:w="1984" w:type="dxa"/>
            <w:tcMar>
              <w:top w:w="65" w:type="dxa"/>
              <w:left w:w="75" w:type="dxa"/>
              <w:bottom w:w="65" w:type="dxa"/>
              <w:right w:w="75" w:type="dxa"/>
            </w:tcMar>
            <w:vAlign w:val="center"/>
          </w:tcPr>
          <w:p w14:paraId="4022D3EC" w14:textId="77777777">
            <w:pPr>
              <w:spacing w:after="0" w:line="240" w:lineRule="auto"/>
            </w:pPr>
            <w:r>
              <w:rPr>
                <w:sz w:val="17"/>
              </w:rPr>
              <w:t>MolMR</w:t>
            </w:r>
          </w:p>
        </w:tc>
        <w:tc>
          <w:tcPr>
            <w:tcW w:w="4706" w:type="dxa"/>
            <w:tcMar>
              <w:top w:w="65" w:type="dxa"/>
              <w:left w:w="75" w:type="dxa"/>
              <w:bottom w:w="65" w:type="dxa"/>
              <w:right w:w="75" w:type="dxa"/>
            </w:tcMar>
            <w:vAlign w:val="center"/>
          </w:tcPr>
          <w:p w14:paraId="1328E1E0" w14:textId="77777777">
            <w:pPr>
              <w:spacing w:after="0" w:line="240" w:lineRule="auto"/>
            </w:pPr>
            <w:r>
              <w:rPr>
                <w:sz w:val="17"/>
              </w:rPr>
              <w:t>Wildman-Crippen molar-refractivity estimate</w:t>
            </w:r>
          </w:p>
        </w:tc>
        <w:tc>
          <w:tcPr>
            <w:tcW w:w="2381" w:type="dxa"/>
            <w:tcMar>
              <w:top w:w="65" w:type="dxa"/>
              <w:left w:w="75" w:type="dxa"/>
              <w:bottom w:w="65" w:type="dxa"/>
              <w:right w:w="75" w:type="dxa"/>
            </w:tcMar>
            <w:vAlign w:val="center"/>
          </w:tcPr>
          <w:p w14:paraId="226DF963" w14:textId="77777777">
            <w:pPr>
              <w:spacing w:after="0" w:line="240" w:lineRule="auto"/>
            </w:pPr>
            <w:r>
              <w:rPr>
                <w:sz w:val="17"/>
              </w:rPr>
              <w:t>Crippen MR units</w:t>
            </w:r>
          </w:p>
        </w:tc>
      </w:tr>
    </w:tbl>
    <w:p w14:paraId="5F3547B5" w14:textId="77777777">
      <w:pPr>
        <w:pStyle w:val="BodyText"/>
      </w:pPr>
    </w:p>
    <w:p w14:paraId="0C233565" w14:textId="5F7323E7">
      <w:pPr>
        <w:pStyle w:val="BodyText"/>
      </w:pPr>
      <w:r>
        <w:t xml:space="preserve">Descriptor normalization was fitted only to deduplicated molecules assigned to the pretraining training partition. For descriptor coordinate </w:t>
      </w:r>
      <m:oMath>
        <m:r>
          <w:rPr>
            <w:rFonts w:ascii="Cambria Math" w:hAnsi="Cambria Math"/>
          </w:rPr>
          <m:t>k</m:t>
        </m:r>
      </m:oMath>
      <w:r>
        <w:t xml:space="preserve">, population mean </w:t>
      </w:r>
      <m:oMath>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k</m:t>
            </m:r>
          </m:sub>
        </m:sSub>
      </m:oMath>
      <w:r>
        <w:t xml:space="preserve"> and population standard deviation </w:t>
      </w:r>
      <m:oMath>
        <m:sSub>
          <m:sSubPr>
            <m:ctrlPr>
              <w:rPr>
                <w:rFonts w:ascii="Cambria Math" w:hAnsi="Cambria Math"/>
              </w:rPr>
            </m:ctrlPr>
          </m:sSub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k</m:t>
            </m:r>
          </m:sub>
        </m:sSub>
      </m:oMath>
      <w:r>
        <w:t xml:space="preserve"> were accumulated in double precision using streaming combined moments. The model target was</w:t>
      </w:r>
    </w:p>
    <w:p w14:paraId="3DC42DF2" w14:textId="77777777">
      <w:pPr>
        <w:pStyle w:val="BodyText"/>
        <w:keepLines/>
        <w:spacing w:before="100" w:after="10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k</m:t>
                  </m:r>
                </m:sub>
              </m:sSub>
            </m:den>
          </m:f>
          <m:r>
            <m:rPr>
              <m:sty m:val="p"/>
            </m:rPr>
            <w:rPr>
              <w:rFonts w:ascii="Cambria Math" w:hAnsi="Cambria Math"/>
            </w:rPr>
            <m:t>.</m:t>
          </m:r>
        </m:oMath>
      </m:oMathPara>
    </w:p>
    <w:p w14:paraId="2A2376FB" w14:textId="77777777">
      <w:r>
        <w:t>Population variance, with denominator equal to the number of training molecules, was used. A coordinate with exactly zero fitted standard deviation was assigned scale 1 to avoid division by zero. The resulting scaler was immutable and hash-bound to the graph manifest. Validation and test descriptor targets were transformed using these training statistics without refitting. This descriptor-target scaler is conceptually and computationally distinct from the embedding-coordinate calibrator described below.</w:t>
      </w:r>
    </w:p>
    <w:p w14:paraId="2D983B66" w14:textId="77777777">
      <w:pPr>
        <w:pStyle w:val="Heading3"/>
      </w:pPr>
      <w:r>
        <w:t>1.2.6. Molecular graph representation and feature schema</w:t>
      </w:r>
    </w:p>
    <w:p w14:paraId="442B8515" w14:textId="77777777">
      <w:r>
        <w:t xml:space="preserve">Each molecule was represented as an attributed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A</m:t>
            </m:r>
          </m:e>
        </m:d>
      </m:oMath>
      <w:r>
        <w:t xml:space="preserve">, where </w:t>
      </w:r>
      <m:oMath>
        <m:r>
          <w:rPr>
            <w:rFonts w:ascii="Cambria Math" w:hAnsi="Cambria Math"/>
          </w:rPr>
          <m:t>V</m:t>
        </m:r>
      </m:oMath>
      <w:r>
        <w:t xml:space="preserve"> is the atom set, </w:t>
      </w:r>
      <m:oMath>
        <m:r>
          <w:rPr>
            <w:rFonts w:ascii="Cambria Math" w:hAnsi="Cambria Math"/>
          </w:rPr>
          <m:t>E</m:t>
        </m:r>
      </m:oMath>
      <w:r>
        <w:t xml:space="preserve"> is the chemical-bond set, </w:t>
      </w: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V</m:t>
            </m:r>
          </m:e>
        </m:d>
      </m:oMath>
      <w:r>
        <w:t xml:space="preserve"> is the number of atoms,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48</m:t>
            </m:r>
          </m:sup>
        </m:sSup>
      </m:oMath>
      <w:r>
        <w:t xml:space="preserve"> contains atom features, and </w:t>
      </w:r>
      <m:oMath>
        <m:r>
          <m:rPr>
            <m:sty m:val="b"/>
          </m:rP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m:t>
            </m:r>
            <m:r>
              <m:rPr>
                <m:sty m:val="p"/>
              </m:rPr>
              <w:rPr>
                <w:rFonts w:ascii="Cambria Math" w:hAnsi="Cambria Math"/>
              </w:rPr>
              <m:t>×</m:t>
            </m:r>
            <m:r>
              <w:rPr>
                <w:rFonts w:ascii="Cambria Math" w:hAnsi="Cambria Math"/>
              </w:rPr>
              <m:t>15</m:t>
            </m:r>
          </m:sup>
        </m:sSup>
      </m:oMath>
      <w:r>
        <w:t xml:space="preserve"> contains attributes for the directed message-passing edges generated from </w:t>
      </w:r>
      <m:oMath>
        <m:r>
          <w:rPr>
            <w:rFonts w:ascii="Cambria Math" w:hAnsi="Cambria Math"/>
          </w:rPr>
          <m:t>M</m:t>
        </m:r>
      </m:oMath>
      <w:r>
        <w:t xml:space="preserve"> undirected chemical bonds. Every RDKit bond was stored twice in the message-passing edge list, once in each direction. Bond-reconstruction targets were canonicalized to one unordered atom pair per chemical bond.</w:t>
      </w:r>
    </w:p>
    <w:p w14:paraId="549D45FA" w14:textId="77777777">
      <w:pPr>
        <w:pStyle w:val="BodyText"/>
      </w:pPr>
      <w:r>
        <w:t>Hydrogen-bond donor and acceptor flags were obtained from the RDKit BaseFeatures.fdef feature definitions. Categorical variables were represented as one-hot groups and binary properties as scalar indicators. The exact production schema is summarized in Table 3.</w:t>
      </w:r>
    </w:p>
    <w:p w14:paraId="30926F5F" w14:textId="77777777">
      <w:pPr>
        <w:pStyle w:val="TableCaption"/>
        <w:keepNext/>
        <w:spacing w:before="140" w:after="60"/>
      </w:pPr>
      <w:r>
        <w:rPr>
          <w:b/>
          <w:bCs/>
          <w:sz w:val="19"/>
        </w:rPr>
        <w:t>Table 3 | Atom and bond feature schema.</w:t>
      </w:r>
    </w:p>
    <w:tbl>
      <w:tblPr>
        <w:tblStyle w:val="TableGrid"/>
        <w:tblW w:w="0" w:type="auto"/>
        <w:jc w:val="center"/>
        <w:tblLayout w:type="fixed"/>
        <w:tblLook w:val="04A0" w:firstRow="1" w:lastRow="0" w:firstColumn="1" w:lastColumn="0" w:noHBand="0" w:noVBand="1"/>
      </w:tblPr>
      <w:tblGrid>
        <w:gridCol w:w="1134"/>
        <w:gridCol w:w="2268"/>
        <w:gridCol w:w="4252"/>
        <w:gridCol w:w="1417"/>
      </w:tblGrid>
      <w:tr w14:paraId="5F904E7D" w14:textId="77777777">
        <w:trPr>
          <w:cantSplit/>
          <w:tblHeader/>
          <w:jc w:val="center"/>
        </w:trPr>
        <w:tc>
          <w:tcPr>
            <w:tcW w:w="1134" w:type="dxa"/>
            <w:shd w:val="clear" w:color="auto" w:fill="EDEDED"/>
            <w:tcMar>
              <w:top w:w="65" w:type="dxa"/>
              <w:left w:w="75" w:type="dxa"/>
              <w:bottom w:w="65" w:type="dxa"/>
              <w:right w:w="75" w:type="dxa"/>
            </w:tcMar>
            <w:vAlign w:val="center"/>
          </w:tcPr>
          <w:p w14:paraId="7CC76A65" w14:textId="77777777">
            <w:pPr>
              <w:keepNext/>
              <w:spacing w:after="0" w:line="240" w:lineRule="auto"/>
            </w:pPr>
            <w:r>
              <w:rPr>
                <w:b/>
                <w:sz w:val="17"/>
              </w:rPr>
              <w:t>Entity</w:t>
            </w:r>
          </w:p>
        </w:tc>
        <w:tc>
          <w:tcPr>
            <w:tcW w:w="2268" w:type="dxa"/>
            <w:shd w:val="clear" w:color="auto" w:fill="EDEDED"/>
            <w:tcMar>
              <w:top w:w="65" w:type="dxa"/>
              <w:left w:w="75" w:type="dxa"/>
              <w:bottom w:w="65" w:type="dxa"/>
              <w:right w:w="75" w:type="dxa"/>
            </w:tcMar>
            <w:vAlign w:val="center"/>
          </w:tcPr>
          <w:p w14:paraId="0949B18F" w14:textId="77777777">
            <w:pPr>
              <w:keepNext/>
              <w:spacing w:after="0" w:line="240" w:lineRule="auto"/>
            </w:pPr>
            <w:r>
              <w:rPr>
                <w:b/>
                <w:sz w:val="17"/>
              </w:rPr>
              <w:t>Feature group</w:t>
            </w:r>
          </w:p>
        </w:tc>
        <w:tc>
          <w:tcPr>
            <w:tcW w:w="4252" w:type="dxa"/>
            <w:shd w:val="clear" w:color="auto" w:fill="EDEDED"/>
            <w:tcMar>
              <w:top w:w="65" w:type="dxa"/>
              <w:left w:w="75" w:type="dxa"/>
              <w:bottom w:w="65" w:type="dxa"/>
              <w:right w:w="75" w:type="dxa"/>
            </w:tcMar>
            <w:vAlign w:val="center"/>
          </w:tcPr>
          <w:p w14:paraId="6B2D8101" w14:textId="77777777">
            <w:pPr>
              <w:keepNext/>
              <w:spacing w:after="0" w:line="240" w:lineRule="auto"/>
            </w:pPr>
            <w:r>
              <w:rPr>
                <w:b/>
                <w:sz w:val="17"/>
              </w:rPr>
              <w:t>Encoding</w:t>
            </w:r>
          </w:p>
        </w:tc>
        <w:tc>
          <w:tcPr>
            <w:tcW w:w="1417" w:type="dxa"/>
            <w:shd w:val="clear" w:color="auto" w:fill="EDEDED"/>
            <w:tcMar>
              <w:top w:w="65" w:type="dxa"/>
              <w:left w:w="75" w:type="dxa"/>
              <w:bottom w:w="65" w:type="dxa"/>
              <w:right w:w="75" w:type="dxa"/>
            </w:tcMar>
            <w:vAlign w:val="center"/>
          </w:tcPr>
          <w:p w14:paraId="4BBAFD32" w14:textId="77777777">
            <w:pPr>
              <w:keepNext/>
              <w:spacing w:after="0" w:line="240" w:lineRule="auto"/>
            </w:pPr>
            <w:r>
              <w:rPr>
                <w:b/>
                <w:sz w:val="17"/>
              </w:rPr>
              <w:t>Dimensions</w:t>
            </w:r>
          </w:p>
        </w:tc>
      </w:tr>
      <w:tr w14:paraId="1D39EA18" w14:textId="77777777">
        <w:trPr>
          <w:cantSplit/>
          <w:jc w:val="center"/>
        </w:trPr>
        <w:tc>
          <w:tcPr>
            <w:tcW w:w="1134" w:type="dxa"/>
            <w:tcMar>
              <w:top w:w="65" w:type="dxa"/>
              <w:left w:w="75" w:type="dxa"/>
              <w:bottom w:w="65" w:type="dxa"/>
              <w:right w:w="75" w:type="dxa"/>
            </w:tcMar>
            <w:vAlign w:val="center"/>
          </w:tcPr>
          <w:p w14:paraId="3E1FFDC2" w14:textId="77777777">
            <w:pPr>
              <w:keepNext/>
              <w:spacing w:after="0" w:line="240" w:lineRule="auto"/>
            </w:pPr>
            <w:r>
              <w:rPr>
                <w:sz w:val="17"/>
              </w:rPr>
              <w:t>Atom</w:t>
            </w:r>
          </w:p>
        </w:tc>
        <w:tc>
          <w:tcPr>
            <w:tcW w:w="2268" w:type="dxa"/>
            <w:tcMar>
              <w:top w:w="65" w:type="dxa"/>
              <w:left w:w="75" w:type="dxa"/>
              <w:bottom w:w="65" w:type="dxa"/>
              <w:right w:w="75" w:type="dxa"/>
            </w:tcMar>
            <w:vAlign w:val="center"/>
          </w:tcPr>
          <w:p w14:paraId="6C56C7FA" w14:textId="77777777">
            <w:pPr>
              <w:keepNext/>
              <w:spacing w:after="0" w:line="240" w:lineRule="auto"/>
            </w:pPr>
            <w:r>
              <w:rPr>
                <w:sz w:val="17"/>
              </w:rPr>
              <w:t>Element</w:t>
            </w:r>
          </w:p>
        </w:tc>
        <w:tc>
          <w:tcPr>
            <w:tcW w:w="4252" w:type="dxa"/>
            <w:tcMar>
              <w:top w:w="65" w:type="dxa"/>
              <w:left w:w="75" w:type="dxa"/>
              <w:bottom w:w="65" w:type="dxa"/>
              <w:right w:w="75" w:type="dxa"/>
            </w:tcMar>
            <w:vAlign w:val="center"/>
          </w:tcPr>
          <w:p w14:paraId="5842AD1E" w14:textId="77777777">
            <w:pPr>
              <w:keepNext/>
              <w:spacing w:after="0" w:line="240" w:lineRule="auto"/>
            </w:pPr>
            <w:r>
              <w:rPr>
                <w:sz w:val="17"/>
              </w:rPr>
              <w:t>C, N, O, F, P, S, Cl, Br, I, H, B, Si</w:t>
            </w:r>
          </w:p>
        </w:tc>
        <w:tc>
          <w:tcPr>
            <w:tcW w:w="1417" w:type="dxa"/>
            <w:tcMar>
              <w:top w:w="65" w:type="dxa"/>
              <w:left w:w="75" w:type="dxa"/>
              <w:bottom w:w="65" w:type="dxa"/>
              <w:right w:w="75" w:type="dxa"/>
            </w:tcMar>
            <w:vAlign w:val="center"/>
          </w:tcPr>
          <w:p w14:paraId="10F835F0" w14:textId="77777777">
            <w:pPr>
              <w:keepNext/>
              <w:spacing w:after="0" w:line="240" w:lineRule="auto"/>
            </w:pPr>
            <w:r>
              <w:rPr>
                <w:sz w:val="17"/>
              </w:rPr>
              <w:t>12</w:t>
            </w:r>
          </w:p>
        </w:tc>
      </w:tr>
      <w:tr w14:paraId="5C347C5A" w14:textId="77777777">
        <w:trPr>
          <w:cantSplit/>
          <w:jc w:val="center"/>
        </w:trPr>
        <w:tc>
          <w:tcPr>
            <w:tcW w:w="1134" w:type="dxa"/>
            <w:tcMar>
              <w:top w:w="65" w:type="dxa"/>
              <w:left w:w="75" w:type="dxa"/>
              <w:bottom w:w="65" w:type="dxa"/>
              <w:right w:w="75" w:type="dxa"/>
            </w:tcMar>
            <w:vAlign w:val="center"/>
          </w:tcPr>
          <w:p w14:paraId="51D64D25" w14:textId="77777777">
            <w:pPr>
              <w:spacing w:after="0" w:line="240" w:lineRule="auto"/>
            </w:pPr>
            <w:r>
              <w:rPr>
                <w:sz w:val="17"/>
              </w:rPr>
              <w:t>Atom</w:t>
            </w:r>
          </w:p>
        </w:tc>
        <w:tc>
          <w:tcPr>
            <w:tcW w:w="2268" w:type="dxa"/>
            <w:tcMar>
              <w:top w:w="65" w:type="dxa"/>
              <w:left w:w="75" w:type="dxa"/>
              <w:bottom w:w="65" w:type="dxa"/>
              <w:right w:w="75" w:type="dxa"/>
            </w:tcMar>
            <w:vAlign w:val="center"/>
          </w:tcPr>
          <w:p w14:paraId="255A67A6" w14:textId="77777777">
            <w:pPr>
              <w:spacing w:after="0" w:line="240" w:lineRule="auto"/>
            </w:pPr>
            <w:r>
              <w:rPr>
                <w:sz w:val="17"/>
              </w:rPr>
              <w:t>Formal charge</w:t>
            </w:r>
          </w:p>
        </w:tc>
        <w:tc>
          <w:tcPr>
            <w:tcW w:w="4252" w:type="dxa"/>
            <w:tcMar>
              <w:top w:w="65" w:type="dxa"/>
              <w:left w:w="75" w:type="dxa"/>
              <w:bottom w:w="65" w:type="dxa"/>
              <w:right w:w="75" w:type="dxa"/>
            </w:tcMar>
            <w:vAlign w:val="center"/>
          </w:tcPr>
          <w:p w14:paraId="184711AA" w14:textId="77777777">
            <w:pPr>
              <w:spacing w:after="0" w:line="240" w:lineRule="auto"/>
            </w:pPr>
            <w:r>
              <w:rPr>
                <w:sz w:val="17"/>
              </w:rPr>
              <w:t>-3 to +3, plus other</w:t>
            </w:r>
          </w:p>
        </w:tc>
        <w:tc>
          <w:tcPr>
            <w:tcW w:w="1417" w:type="dxa"/>
            <w:tcMar>
              <w:top w:w="65" w:type="dxa"/>
              <w:left w:w="75" w:type="dxa"/>
              <w:bottom w:w="65" w:type="dxa"/>
              <w:right w:w="75" w:type="dxa"/>
            </w:tcMar>
            <w:vAlign w:val="center"/>
          </w:tcPr>
          <w:p w14:paraId="797D6FBC" w14:textId="77777777">
            <w:pPr>
              <w:spacing w:after="0" w:line="240" w:lineRule="auto"/>
            </w:pPr>
            <w:r>
              <w:rPr>
                <w:sz w:val="17"/>
              </w:rPr>
              <w:t>8</w:t>
            </w:r>
          </w:p>
        </w:tc>
      </w:tr>
      <w:tr w14:paraId="1671DBCE" w14:textId="77777777">
        <w:trPr>
          <w:cantSplit/>
          <w:jc w:val="center"/>
        </w:trPr>
        <w:tc>
          <w:tcPr>
            <w:tcW w:w="1134" w:type="dxa"/>
            <w:tcMar>
              <w:top w:w="65" w:type="dxa"/>
              <w:left w:w="75" w:type="dxa"/>
              <w:bottom w:w="65" w:type="dxa"/>
              <w:right w:w="75" w:type="dxa"/>
            </w:tcMar>
            <w:vAlign w:val="center"/>
          </w:tcPr>
          <w:p w14:paraId="649368AD" w14:textId="77777777">
            <w:pPr>
              <w:spacing w:after="0" w:line="240" w:lineRule="auto"/>
            </w:pPr>
            <w:r>
              <w:rPr>
                <w:sz w:val="17"/>
              </w:rPr>
              <w:t>Atom</w:t>
            </w:r>
          </w:p>
        </w:tc>
        <w:tc>
          <w:tcPr>
            <w:tcW w:w="2268" w:type="dxa"/>
            <w:tcMar>
              <w:top w:w="65" w:type="dxa"/>
              <w:left w:w="75" w:type="dxa"/>
              <w:bottom w:w="65" w:type="dxa"/>
              <w:right w:w="75" w:type="dxa"/>
            </w:tcMar>
            <w:vAlign w:val="center"/>
          </w:tcPr>
          <w:p w14:paraId="0623A8D7" w14:textId="77777777">
            <w:pPr>
              <w:spacing w:after="0" w:line="240" w:lineRule="auto"/>
            </w:pPr>
            <w:r>
              <w:rPr>
                <w:sz w:val="17"/>
              </w:rPr>
              <w:t>Hybridization</w:t>
            </w:r>
          </w:p>
        </w:tc>
        <w:tc>
          <w:tcPr>
            <w:tcW w:w="4252" w:type="dxa"/>
            <w:tcMar>
              <w:top w:w="65" w:type="dxa"/>
              <w:left w:w="75" w:type="dxa"/>
              <w:bottom w:w="65" w:type="dxa"/>
              <w:right w:w="75" w:type="dxa"/>
            </w:tcMar>
            <w:vAlign w:val="center"/>
          </w:tcPr>
          <w:p w14:paraId="2110FA7A" w14:textId="77777777">
            <w:pPr>
              <w:spacing w:after="0" w:line="240" w:lineRule="auto"/>
            </w:pPr>
            <w:r>
              <w:rPr>
                <w:sz w:val="17"/>
              </w:rPr>
              <w:t>SP, SP2, SP3, SP3D, SP3D2, unspecified, plus other</w:t>
            </w:r>
          </w:p>
        </w:tc>
        <w:tc>
          <w:tcPr>
            <w:tcW w:w="1417" w:type="dxa"/>
            <w:tcMar>
              <w:top w:w="65" w:type="dxa"/>
              <w:left w:w="75" w:type="dxa"/>
              <w:bottom w:w="65" w:type="dxa"/>
              <w:right w:w="75" w:type="dxa"/>
            </w:tcMar>
            <w:vAlign w:val="center"/>
          </w:tcPr>
          <w:p w14:paraId="2365E0E8" w14:textId="77777777">
            <w:pPr>
              <w:spacing w:after="0" w:line="240" w:lineRule="auto"/>
            </w:pPr>
            <w:r>
              <w:rPr>
                <w:sz w:val="17"/>
              </w:rPr>
              <w:t>7</w:t>
            </w:r>
          </w:p>
        </w:tc>
      </w:tr>
      <w:tr w14:paraId="6CA1488D" w14:textId="77777777">
        <w:trPr>
          <w:cantSplit/>
          <w:jc w:val="center"/>
        </w:trPr>
        <w:tc>
          <w:tcPr>
            <w:tcW w:w="1134" w:type="dxa"/>
            <w:tcMar>
              <w:top w:w="65" w:type="dxa"/>
              <w:left w:w="75" w:type="dxa"/>
              <w:bottom w:w="65" w:type="dxa"/>
              <w:right w:w="75" w:type="dxa"/>
            </w:tcMar>
            <w:vAlign w:val="center"/>
          </w:tcPr>
          <w:p w14:paraId="290A382B" w14:textId="77777777">
            <w:pPr>
              <w:spacing w:after="0" w:line="240" w:lineRule="auto"/>
            </w:pPr>
            <w:r>
              <w:rPr>
                <w:sz w:val="17"/>
              </w:rPr>
              <w:t>Atom</w:t>
            </w:r>
          </w:p>
        </w:tc>
        <w:tc>
          <w:tcPr>
            <w:tcW w:w="2268" w:type="dxa"/>
            <w:tcMar>
              <w:top w:w="65" w:type="dxa"/>
              <w:left w:w="75" w:type="dxa"/>
              <w:bottom w:w="65" w:type="dxa"/>
              <w:right w:w="75" w:type="dxa"/>
            </w:tcMar>
            <w:vAlign w:val="center"/>
          </w:tcPr>
          <w:p w14:paraId="0819844B" w14:textId="77777777">
            <w:pPr>
              <w:spacing w:after="0" w:line="240" w:lineRule="auto"/>
            </w:pPr>
            <w:r>
              <w:rPr>
                <w:sz w:val="17"/>
              </w:rPr>
              <w:t>H-bond donor / acceptor</w:t>
            </w:r>
          </w:p>
        </w:tc>
        <w:tc>
          <w:tcPr>
            <w:tcW w:w="4252" w:type="dxa"/>
            <w:tcMar>
              <w:top w:w="65" w:type="dxa"/>
              <w:left w:w="75" w:type="dxa"/>
              <w:bottom w:w="65" w:type="dxa"/>
              <w:right w:w="75" w:type="dxa"/>
            </w:tcMar>
            <w:vAlign w:val="center"/>
          </w:tcPr>
          <w:p w14:paraId="55F4ED56" w14:textId="77777777">
            <w:pPr>
              <w:spacing w:after="0" w:line="240" w:lineRule="auto"/>
            </w:pPr>
            <w:r>
              <w:rPr>
                <w:sz w:val="17"/>
              </w:rPr>
              <w:t>Two binary indicators</w:t>
            </w:r>
          </w:p>
        </w:tc>
        <w:tc>
          <w:tcPr>
            <w:tcW w:w="1417" w:type="dxa"/>
            <w:tcMar>
              <w:top w:w="65" w:type="dxa"/>
              <w:left w:w="75" w:type="dxa"/>
              <w:bottom w:w="65" w:type="dxa"/>
              <w:right w:w="75" w:type="dxa"/>
            </w:tcMar>
            <w:vAlign w:val="center"/>
          </w:tcPr>
          <w:p w14:paraId="3041F002" w14:textId="77777777">
            <w:pPr>
              <w:spacing w:after="0" w:line="240" w:lineRule="auto"/>
            </w:pPr>
            <w:r>
              <w:rPr>
                <w:sz w:val="17"/>
              </w:rPr>
              <w:t>2</w:t>
            </w:r>
          </w:p>
        </w:tc>
      </w:tr>
      <w:tr w14:paraId="35E57E3D" w14:textId="77777777">
        <w:trPr>
          <w:cantSplit/>
          <w:jc w:val="center"/>
        </w:trPr>
        <w:tc>
          <w:tcPr>
            <w:tcW w:w="1134" w:type="dxa"/>
            <w:tcMar>
              <w:top w:w="65" w:type="dxa"/>
              <w:left w:w="75" w:type="dxa"/>
              <w:bottom w:w="65" w:type="dxa"/>
              <w:right w:w="75" w:type="dxa"/>
            </w:tcMar>
            <w:vAlign w:val="center"/>
          </w:tcPr>
          <w:p w14:paraId="02694289" w14:textId="77777777">
            <w:pPr>
              <w:spacing w:after="0" w:line="240" w:lineRule="auto"/>
            </w:pPr>
            <w:r>
              <w:rPr>
                <w:sz w:val="17"/>
              </w:rPr>
              <w:t>Atom</w:t>
            </w:r>
          </w:p>
        </w:tc>
        <w:tc>
          <w:tcPr>
            <w:tcW w:w="2268" w:type="dxa"/>
            <w:tcMar>
              <w:top w:w="65" w:type="dxa"/>
              <w:left w:w="75" w:type="dxa"/>
              <w:bottom w:w="65" w:type="dxa"/>
              <w:right w:w="75" w:type="dxa"/>
            </w:tcMar>
            <w:vAlign w:val="center"/>
          </w:tcPr>
          <w:p w14:paraId="1B2A383F" w14:textId="77777777">
            <w:pPr>
              <w:spacing w:after="0" w:line="240" w:lineRule="auto"/>
            </w:pPr>
            <w:r>
              <w:rPr>
                <w:sz w:val="17"/>
              </w:rPr>
              <w:t>Aromaticity</w:t>
            </w:r>
          </w:p>
        </w:tc>
        <w:tc>
          <w:tcPr>
            <w:tcW w:w="4252" w:type="dxa"/>
            <w:tcMar>
              <w:top w:w="65" w:type="dxa"/>
              <w:left w:w="75" w:type="dxa"/>
              <w:bottom w:w="65" w:type="dxa"/>
              <w:right w:w="75" w:type="dxa"/>
            </w:tcMar>
            <w:vAlign w:val="center"/>
          </w:tcPr>
          <w:p w14:paraId="3DBC7E63" w14:textId="77777777">
            <w:pPr>
              <w:spacing w:after="0" w:line="240" w:lineRule="auto"/>
            </w:pPr>
            <w:r>
              <w:rPr>
                <w:sz w:val="17"/>
              </w:rPr>
              <w:t>Binary indicator</w:t>
            </w:r>
          </w:p>
        </w:tc>
        <w:tc>
          <w:tcPr>
            <w:tcW w:w="1417" w:type="dxa"/>
            <w:tcMar>
              <w:top w:w="65" w:type="dxa"/>
              <w:left w:w="75" w:type="dxa"/>
              <w:bottom w:w="65" w:type="dxa"/>
              <w:right w:w="75" w:type="dxa"/>
            </w:tcMar>
            <w:vAlign w:val="center"/>
          </w:tcPr>
          <w:p w14:paraId="034980F9" w14:textId="77777777">
            <w:pPr>
              <w:spacing w:after="0" w:line="240" w:lineRule="auto"/>
            </w:pPr>
            <w:r>
              <w:rPr>
                <w:sz w:val="17"/>
              </w:rPr>
              <w:t>1</w:t>
            </w:r>
          </w:p>
        </w:tc>
      </w:tr>
      <w:tr w14:paraId="2157CE80" w14:textId="77777777">
        <w:trPr>
          <w:cantSplit/>
          <w:jc w:val="center"/>
        </w:trPr>
        <w:tc>
          <w:tcPr>
            <w:tcW w:w="1134" w:type="dxa"/>
            <w:tcMar>
              <w:top w:w="65" w:type="dxa"/>
              <w:left w:w="75" w:type="dxa"/>
              <w:bottom w:w="65" w:type="dxa"/>
              <w:right w:w="75" w:type="dxa"/>
            </w:tcMar>
            <w:vAlign w:val="center"/>
          </w:tcPr>
          <w:p w14:paraId="4028C354" w14:textId="77777777">
            <w:pPr>
              <w:spacing w:after="0" w:line="240" w:lineRule="auto"/>
            </w:pPr>
            <w:r>
              <w:rPr>
                <w:sz w:val="17"/>
              </w:rPr>
              <w:t>Atom</w:t>
            </w:r>
          </w:p>
        </w:tc>
        <w:tc>
          <w:tcPr>
            <w:tcW w:w="2268" w:type="dxa"/>
            <w:tcMar>
              <w:top w:w="65" w:type="dxa"/>
              <w:left w:w="75" w:type="dxa"/>
              <w:bottom w:w="65" w:type="dxa"/>
              <w:right w:w="75" w:type="dxa"/>
            </w:tcMar>
            <w:vAlign w:val="center"/>
          </w:tcPr>
          <w:p w14:paraId="76DA3DD6" w14:textId="77777777">
            <w:pPr>
              <w:spacing w:after="0" w:line="240" w:lineRule="auto"/>
            </w:pPr>
            <w:r>
              <w:rPr>
                <w:sz w:val="17"/>
              </w:rPr>
              <w:t>Total degree</w:t>
            </w:r>
          </w:p>
        </w:tc>
        <w:tc>
          <w:tcPr>
            <w:tcW w:w="4252" w:type="dxa"/>
            <w:tcMar>
              <w:top w:w="65" w:type="dxa"/>
              <w:left w:w="75" w:type="dxa"/>
              <w:bottom w:w="65" w:type="dxa"/>
              <w:right w:w="75" w:type="dxa"/>
            </w:tcMar>
            <w:vAlign w:val="center"/>
          </w:tcPr>
          <w:p w14:paraId="2D833028" w14:textId="77777777">
            <w:pPr>
              <w:spacing w:after="0" w:line="240" w:lineRule="auto"/>
            </w:pPr>
            <w:r>
              <w:rPr>
                <w:sz w:val="17"/>
              </w:rPr>
              <w:t>0-6, plus other</w:t>
            </w:r>
          </w:p>
        </w:tc>
        <w:tc>
          <w:tcPr>
            <w:tcW w:w="1417" w:type="dxa"/>
            <w:tcMar>
              <w:top w:w="65" w:type="dxa"/>
              <w:left w:w="75" w:type="dxa"/>
              <w:bottom w:w="65" w:type="dxa"/>
              <w:right w:w="75" w:type="dxa"/>
            </w:tcMar>
            <w:vAlign w:val="center"/>
          </w:tcPr>
          <w:p w14:paraId="1CDB3A49" w14:textId="77777777">
            <w:pPr>
              <w:spacing w:after="0" w:line="240" w:lineRule="auto"/>
            </w:pPr>
            <w:r>
              <w:rPr>
                <w:sz w:val="17"/>
              </w:rPr>
              <w:t>8</w:t>
            </w:r>
          </w:p>
        </w:tc>
      </w:tr>
      <w:tr w14:paraId="12282C7D" w14:textId="77777777">
        <w:trPr>
          <w:cantSplit/>
          <w:jc w:val="center"/>
        </w:trPr>
        <w:tc>
          <w:tcPr>
            <w:tcW w:w="1134" w:type="dxa"/>
            <w:tcMar>
              <w:top w:w="65" w:type="dxa"/>
              <w:left w:w="75" w:type="dxa"/>
              <w:bottom w:w="65" w:type="dxa"/>
              <w:right w:w="75" w:type="dxa"/>
            </w:tcMar>
            <w:vAlign w:val="center"/>
          </w:tcPr>
          <w:p w14:paraId="4099BF05" w14:textId="77777777">
            <w:pPr>
              <w:spacing w:after="0" w:line="240" w:lineRule="auto"/>
            </w:pPr>
            <w:r>
              <w:rPr>
                <w:sz w:val="17"/>
              </w:rPr>
              <w:t>Atom</w:t>
            </w:r>
          </w:p>
        </w:tc>
        <w:tc>
          <w:tcPr>
            <w:tcW w:w="2268" w:type="dxa"/>
            <w:tcMar>
              <w:top w:w="65" w:type="dxa"/>
              <w:left w:w="75" w:type="dxa"/>
              <w:bottom w:w="65" w:type="dxa"/>
              <w:right w:w="75" w:type="dxa"/>
            </w:tcMar>
            <w:vAlign w:val="center"/>
          </w:tcPr>
          <w:p w14:paraId="6541F755" w14:textId="77777777">
            <w:pPr>
              <w:spacing w:after="0" w:line="240" w:lineRule="auto"/>
            </w:pPr>
            <w:r>
              <w:rPr>
                <w:sz w:val="17"/>
              </w:rPr>
              <w:t>Total hydrogen count</w:t>
            </w:r>
          </w:p>
        </w:tc>
        <w:tc>
          <w:tcPr>
            <w:tcW w:w="4252" w:type="dxa"/>
            <w:tcMar>
              <w:top w:w="65" w:type="dxa"/>
              <w:left w:w="75" w:type="dxa"/>
              <w:bottom w:w="65" w:type="dxa"/>
              <w:right w:w="75" w:type="dxa"/>
            </w:tcMar>
            <w:vAlign w:val="center"/>
          </w:tcPr>
          <w:p w14:paraId="2EBA73E3" w14:textId="77777777">
            <w:pPr>
              <w:spacing w:after="0" w:line="240" w:lineRule="auto"/>
            </w:pPr>
            <w:r>
              <w:rPr>
                <w:sz w:val="17"/>
              </w:rPr>
              <w:t>0-4, plus other</w:t>
            </w:r>
          </w:p>
        </w:tc>
        <w:tc>
          <w:tcPr>
            <w:tcW w:w="1417" w:type="dxa"/>
            <w:tcMar>
              <w:top w:w="65" w:type="dxa"/>
              <w:left w:w="75" w:type="dxa"/>
              <w:bottom w:w="65" w:type="dxa"/>
              <w:right w:w="75" w:type="dxa"/>
            </w:tcMar>
            <w:vAlign w:val="center"/>
          </w:tcPr>
          <w:p w14:paraId="41FC968B" w14:textId="77777777">
            <w:pPr>
              <w:spacing w:after="0" w:line="240" w:lineRule="auto"/>
            </w:pPr>
            <w:r>
              <w:rPr>
                <w:sz w:val="17"/>
              </w:rPr>
              <w:t>6</w:t>
            </w:r>
          </w:p>
        </w:tc>
      </w:tr>
      <w:tr w14:paraId="365CAE70" w14:textId="77777777">
        <w:trPr>
          <w:cantSplit/>
          <w:jc w:val="center"/>
        </w:trPr>
        <w:tc>
          <w:tcPr>
            <w:tcW w:w="1134" w:type="dxa"/>
            <w:tcMar>
              <w:top w:w="65" w:type="dxa"/>
              <w:left w:w="75" w:type="dxa"/>
              <w:bottom w:w="65" w:type="dxa"/>
              <w:right w:w="75" w:type="dxa"/>
            </w:tcMar>
            <w:vAlign w:val="center"/>
          </w:tcPr>
          <w:p w14:paraId="2A3F70A8" w14:textId="77777777">
            <w:pPr>
              <w:spacing w:after="0" w:line="240" w:lineRule="auto"/>
            </w:pPr>
            <w:r>
              <w:rPr>
                <w:sz w:val="17"/>
              </w:rPr>
              <w:t>Atom</w:t>
            </w:r>
          </w:p>
        </w:tc>
        <w:tc>
          <w:tcPr>
            <w:tcW w:w="2268" w:type="dxa"/>
            <w:tcMar>
              <w:top w:w="65" w:type="dxa"/>
              <w:left w:w="75" w:type="dxa"/>
              <w:bottom w:w="65" w:type="dxa"/>
              <w:right w:w="75" w:type="dxa"/>
            </w:tcMar>
            <w:vAlign w:val="center"/>
          </w:tcPr>
          <w:p w14:paraId="5ED1AE2D" w14:textId="77777777">
            <w:pPr>
              <w:spacing w:after="0" w:line="240" w:lineRule="auto"/>
            </w:pPr>
            <w:r>
              <w:rPr>
                <w:sz w:val="17"/>
              </w:rPr>
              <w:t>Chirality</w:t>
            </w:r>
          </w:p>
        </w:tc>
        <w:tc>
          <w:tcPr>
            <w:tcW w:w="4252" w:type="dxa"/>
            <w:tcMar>
              <w:top w:w="65" w:type="dxa"/>
              <w:left w:w="75" w:type="dxa"/>
              <w:bottom w:w="65" w:type="dxa"/>
              <w:right w:w="75" w:type="dxa"/>
            </w:tcMar>
            <w:vAlign w:val="center"/>
          </w:tcPr>
          <w:p w14:paraId="2D13E9B0" w14:textId="77777777">
            <w:pPr>
              <w:spacing w:after="0" w:line="240" w:lineRule="auto"/>
            </w:pPr>
            <w:r>
              <w:rPr>
                <w:sz w:val="17"/>
              </w:rPr>
              <w:t>unspecified, tetrahedral CW, tetrahedral CCW, plus other</w:t>
            </w:r>
          </w:p>
        </w:tc>
        <w:tc>
          <w:tcPr>
            <w:tcW w:w="1417" w:type="dxa"/>
            <w:tcMar>
              <w:top w:w="65" w:type="dxa"/>
              <w:left w:w="75" w:type="dxa"/>
              <w:bottom w:w="65" w:type="dxa"/>
              <w:right w:w="75" w:type="dxa"/>
            </w:tcMar>
            <w:vAlign w:val="center"/>
          </w:tcPr>
          <w:p w14:paraId="6FF8C9A5" w14:textId="77777777">
            <w:pPr>
              <w:spacing w:after="0" w:line="240" w:lineRule="auto"/>
            </w:pPr>
            <w:r>
              <w:rPr>
                <w:sz w:val="17"/>
              </w:rPr>
              <w:t>4</w:t>
            </w:r>
          </w:p>
        </w:tc>
      </w:tr>
      <w:tr w14:paraId="0CA9CE20" w14:textId="77777777">
        <w:trPr>
          <w:cantSplit/>
          <w:jc w:val="center"/>
        </w:trPr>
        <w:tc>
          <w:tcPr>
            <w:tcW w:w="1134" w:type="dxa"/>
            <w:tcMar>
              <w:top w:w="65" w:type="dxa"/>
              <w:left w:w="75" w:type="dxa"/>
              <w:bottom w:w="65" w:type="dxa"/>
              <w:right w:w="75" w:type="dxa"/>
            </w:tcMar>
            <w:vAlign w:val="center"/>
          </w:tcPr>
          <w:p w14:paraId="1C9CBCF5" w14:textId="77777777">
            <w:pPr>
              <w:spacing w:after="0" w:line="240" w:lineRule="auto"/>
            </w:pPr>
            <w:r>
              <w:rPr>
                <w:sz w:val="17"/>
              </w:rPr>
              <w:t>Bond</w:t>
            </w:r>
          </w:p>
        </w:tc>
        <w:tc>
          <w:tcPr>
            <w:tcW w:w="2268" w:type="dxa"/>
            <w:tcMar>
              <w:top w:w="65" w:type="dxa"/>
              <w:left w:w="75" w:type="dxa"/>
              <w:bottom w:w="65" w:type="dxa"/>
              <w:right w:w="75" w:type="dxa"/>
            </w:tcMar>
            <w:vAlign w:val="center"/>
          </w:tcPr>
          <w:p w14:paraId="4409B44F" w14:textId="77777777">
            <w:pPr>
              <w:spacing w:after="0" w:line="240" w:lineRule="auto"/>
            </w:pPr>
            <w:r>
              <w:rPr>
                <w:sz w:val="17"/>
              </w:rPr>
              <w:t>Bond type</w:t>
            </w:r>
          </w:p>
        </w:tc>
        <w:tc>
          <w:tcPr>
            <w:tcW w:w="4252" w:type="dxa"/>
            <w:tcMar>
              <w:top w:w="65" w:type="dxa"/>
              <w:left w:w="75" w:type="dxa"/>
              <w:bottom w:w="65" w:type="dxa"/>
              <w:right w:w="75" w:type="dxa"/>
            </w:tcMar>
            <w:vAlign w:val="center"/>
          </w:tcPr>
          <w:p w14:paraId="4357021B" w14:textId="77777777">
            <w:pPr>
              <w:spacing w:after="0" w:line="240" w:lineRule="auto"/>
            </w:pPr>
            <w:r>
              <w:rPr>
                <w:sz w:val="17"/>
              </w:rPr>
              <w:t>single, double, triple, aromatic, dative, plus other</w:t>
            </w:r>
          </w:p>
        </w:tc>
        <w:tc>
          <w:tcPr>
            <w:tcW w:w="1417" w:type="dxa"/>
            <w:tcMar>
              <w:top w:w="65" w:type="dxa"/>
              <w:left w:w="75" w:type="dxa"/>
              <w:bottom w:w="65" w:type="dxa"/>
              <w:right w:w="75" w:type="dxa"/>
            </w:tcMar>
            <w:vAlign w:val="center"/>
          </w:tcPr>
          <w:p w14:paraId="7BF8A39E" w14:textId="77777777">
            <w:pPr>
              <w:spacing w:after="0" w:line="240" w:lineRule="auto"/>
            </w:pPr>
            <w:r>
              <w:rPr>
                <w:sz w:val="17"/>
              </w:rPr>
              <w:t>6</w:t>
            </w:r>
          </w:p>
        </w:tc>
      </w:tr>
      <w:tr w14:paraId="03FC1F04" w14:textId="77777777">
        <w:trPr>
          <w:cantSplit/>
          <w:jc w:val="center"/>
        </w:trPr>
        <w:tc>
          <w:tcPr>
            <w:tcW w:w="1134" w:type="dxa"/>
            <w:tcMar>
              <w:top w:w="65" w:type="dxa"/>
              <w:left w:w="75" w:type="dxa"/>
              <w:bottom w:w="65" w:type="dxa"/>
              <w:right w:w="75" w:type="dxa"/>
            </w:tcMar>
            <w:vAlign w:val="center"/>
          </w:tcPr>
          <w:p w14:paraId="6955607D" w14:textId="77777777">
            <w:pPr>
              <w:spacing w:after="0" w:line="240" w:lineRule="auto"/>
            </w:pPr>
            <w:r>
              <w:rPr>
                <w:sz w:val="17"/>
              </w:rPr>
              <w:t>Bond</w:t>
            </w:r>
          </w:p>
        </w:tc>
        <w:tc>
          <w:tcPr>
            <w:tcW w:w="2268" w:type="dxa"/>
            <w:tcMar>
              <w:top w:w="65" w:type="dxa"/>
              <w:left w:w="75" w:type="dxa"/>
              <w:bottom w:w="65" w:type="dxa"/>
              <w:right w:w="75" w:type="dxa"/>
            </w:tcMar>
            <w:vAlign w:val="center"/>
          </w:tcPr>
          <w:p w14:paraId="0B638477" w14:textId="77777777">
            <w:pPr>
              <w:spacing w:after="0" w:line="240" w:lineRule="auto"/>
            </w:pPr>
            <w:r>
              <w:rPr>
                <w:sz w:val="17"/>
              </w:rPr>
              <w:t>Ring membership</w:t>
            </w:r>
          </w:p>
        </w:tc>
        <w:tc>
          <w:tcPr>
            <w:tcW w:w="4252" w:type="dxa"/>
            <w:tcMar>
              <w:top w:w="65" w:type="dxa"/>
              <w:left w:w="75" w:type="dxa"/>
              <w:bottom w:w="65" w:type="dxa"/>
              <w:right w:w="75" w:type="dxa"/>
            </w:tcMar>
            <w:vAlign w:val="center"/>
          </w:tcPr>
          <w:p w14:paraId="03DD6FAC" w14:textId="77777777">
            <w:pPr>
              <w:spacing w:after="0" w:line="240" w:lineRule="auto"/>
            </w:pPr>
            <w:r>
              <w:rPr>
                <w:sz w:val="17"/>
              </w:rPr>
              <w:t>Binary indicator</w:t>
            </w:r>
          </w:p>
        </w:tc>
        <w:tc>
          <w:tcPr>
            <w:tcW w:w="1417" w:type="dxa"/>
            <w:tcMar>
              <w:top w:w="65" w:type="dxa"/>
              <w:left w:w="75" w:type="dxa"/>
              <w:bottom w:w="65" w:type="dxa"/>
              <w:right w:w="75" w:type="dxa"/>
            </w:tcMar>
            <w:vAlign w:val="center"/>
          </w:tcPr>
          <w:p w14:paraId="6111D3ED" w14:textId="77777777">
            <w:pPr>
              <w:spacing w:after="0" w:line="240" w:lineRule="auto"/>
            </w:pPr>
            <w:r>
              <w:rPr>
                <w:sz w:val="17"/>
              </w:rPr>
              <w:t>1</w:t>
            </w:r>
          </w:p>
        </w:tc>
      </w:tr>
      <w:tr w14:paraId="45B62486" w14:textId="77777777">
        <w:trPr>
          <w:cantSplit/>
          <w:jc w:val="center"/>
        </w:trPr>
        <w:tc>
          <w:tcPr>
            <w:tcW w:w="1134" w:type="dxa"/>
            <w:tcMar>
              <w:top w:w="65" w:type="dxa"/>
              <w:left w:w="75" w:type="dxa"/>
              <w:bottom w:w="65" w:type="dxa"/>
              <w:right w:w="75" w:type="dxa"/>
            </w:tcMar>
            <w:vAlign w:val="center"/>
          </w:tcPr>
          <w:p w14:paraId="7A3E8FDA" w14:textId="77777777">
            <w:pPr>
              <w:spacing w:after="0" w:line="240" w:lineRule="auto"/>
            </w:pPr>
            <w:r>
              <w:rPr>
                <w:sz w:val="17"/>
              </w:rPr>
              <w:t>Bond</w:t>
            </w:r>
          </w:p>
        </w:tc>
        <w:tc>
          <w:tcPr>
            <w:tcW w:w="2268" w:type="dxa"/>
            <w:tcMar>
              <w:top w:w="65" w:type="dxa"/>
              <w:left w:w="75" w:type="dxa"/>
              <w:bottom w:w="65" w:type="dxa"/>
              <w:right w:w="75" w:type="dxa"/>
            </w:tcMar>
            <w:vAlign w:val="center"/>
          </w:tcPr>
          <w:p w14:paraId="4D218F43" w14:textId="77777777">
            <w:pPr>
              <w:spacing w:after="0" w:line="240" w:lineRule="auto"/>
            </w:pPr>
            <w:r>
              <w:rPr>
                <w:sz w:val="17"/>
              </w:rPr>
              <w:t>Conjugation</w:t>
            </w:r>
          </w:p>
        </w:tc>
        <w:tc>
          <w:tcPr>
            <w:tcW w:w="4252" w:type="dxa"/>
            <w:tcMar>
              <w:top w:w="65" w:type="dxa"/>
              <w:left w:w="75" w:type="dxa"/>
              <w:bottom w:w="65" w:type="dxa"/>
              <w:right w:w="75" w:type="dxa"/>
            </w:tcMar>
            <w:vAlign w:val="center"/>
          </w:tcPr>
          <w:p w14:paraId="1B81DAEE" w14:textId="77777777">
            <w:pPr>
              <w:spacing w:after="0" w:line="240" w:lineRule="auto"/>
            </w:pPr>
            <w:r>
              <w:rPr>
                <w:sz w:val="17"/>
              </w:rPr>
              <w:t>Binary indicator</w:t>
            </w:r>
          </w:p>
        </w:tc>
        <w:tc>
          <w:tcPr>
            <w:tcW w:w="1417" w:type="dxa"/>
            <w:tcMar>
              <w:top w:w="65" w:type="dxa"/>
              <w:left w:w="75" w:type="dxa"/>
              <w:bottom w:w="65" w:type="dxa"/>
              <w:right w:w="75" w:type="dxa"/>
            </w:tcMar>
            <w:vAlign w:val="center"/>
          </w:tcPr>
          <w:p w14:paraId="5FB88AEA" w14:textId="77777777">
            <w:pPr>
              <w:spacing w:after="0" w:line="240" w:lineRule="auto"/>
            </w:pPr>
            <w:r>
              <w:rPr>
                <w:sz w:val="17"/>
              </w:rPr>
              <w:t>1</w:t>
            </w:r>
          </w:p>
        </w:tc>
      </w:tr>
      <w:tr w14:paraId="39571619" w14:textId="77777777">
        <w:trPr>
          <w:cantSplit/>
          <w:jc w:val="center"/>
        </w:trPr>
        <w:tc>
          <w:tcPr>
            <w:tcW w:w="1134" w:type="dxa"/>
            <w:tcMar>
              <w:top w:w="65" w:type="dxa"/>
              <w:left w:w="75" w:type="dxa"/>
              <w:bottom w:w="65" w:type="dxa"/>
              <w:right w:w="75" w:type="dxa"/>
            </w:tcMar>
            <w:vAlign w:val="center"/>
          </w:tcPr>
          <w:p w14:paraId="77A409A2" w14:textId="77777777">
            <w:pPr>
              <w:spacing w:after="0" w:line="240" w:lineRule="auto"/>
            </w:pPr>
            <w:r>
              <w:rPr>
                <w:sz w:val="17"/>
              </w:rPr>
              <w:lastRenderedPageBreak/>
              <w:t>Bond</w:t>
            </w:r>
          </w:p>
        </w:tc>
        <w:tc>
          <w:tcPr>
            <w:tcW w:w="2268" w:type="dxa"/>
            <w:tcMar>
              <w:top w:w="65" w:type="dxa"/>
              <w:left w:w="75" w:type="dxa"/>
              <w:bottom w:w="65" w:type="dxa"/>
              <w:right w:w="75" w:type="dxa"/>
            </w:tcMar>
            <w:vAlign w:val="center"/>
          </w:tcPr>
          <w:p w14:paraId="6B128DB3" w14:textId="77777777">
            <w:pPr>
              <w:spacing w:after="0" w:line="240" w:lineRule="auto"/>
            </w:pPr>
            <w:r>
              <w:rPr>
                <w:sz w:val="17"/>
              </w:rPr>
              <w:t>Stereochemistry</w:t>
            </w:r>
          </w:p>
        </w:tc>
        <w:tc>
          <w:tcPr>
            <w:tcW w:w="4252" w:type="dxa"/>
            <w:tcMar>
              <w:top w:w="65" w:type="dxa"/>
              <w:left w:w="75" w:type="dxa"/>
              <w:bottom w:w="65" w:type="dxa"/>
              <w:right w:w="75" w:type="dxa"/>
            </w:tcMar>
            <w:vAlign w:val="center"/>
          </w:tcPr>
          <w:p w14:paraId="41D303FD" w14:textId="77777777">
            <w:pPr>
              <w:spacing w:after="0" w:line="240" w:lineRule="auto"/>
            </w:pPr>
            <w:r>
              <w:rPr>
                <w:sz w:val="17"/>
              </w:rPr>
              <w:t>none, any, Z, E, cis, trans, plus other</w:t>
            </w:r>
          </w:p>
        </w:tc>
        <w:tc>
          <w:tcPr>
            <w:tcW w:w="1417" w:type="dxa"/>
            <w:tcMar>
              <w:top w:w="65" w:type="dxa"/>
              <w:left w:w="75" w:type="dxa"/>
              <w:bottom w:w="65" w:type="dxa"/>
              <w:right w:w="75" w:type="dxa"/>
            </w:tcMar>
            <w:vAlign w:val="center"/>
          </w:tcPr>
          <w:p w14:paraId="574CD368" w14:textId="77777777">
            <w:pPr>
              <w:spacing w:after="0" w:line="240" w:lineRule="auto"/>
            </w:pPr>
            <w:r>
              <w:rPr>
                <w:sz w:val="17"/>
              </w:rPr>
              <w:t>7</w:t>
            </w:r>
          </w:p>
        </w:tc>
      </w:tr>
      <w:tr w14:paraId="2BDED5DD" w14:textId="77777777">
        <w:trPr>
          <w:cantSplit/>
          <w:jc w:val="center"/>
        </w:trPr>
        <w:tc>
          <w:tcPr>
            <w:tcW w:w="1134" w:type="dxa"/>
            <w:tcMar>
              <w:top w:w="65" w:type="dxa"/>
              <w:left w:w="75" w:type="dxa"/>
              <w:bottom w:w="65" w:type="dxa"/>
              <w:right w:w="75" w:type="dxa"/>
            </w:tcMar>
            <w:vAlign w:val="center"/>
          </w:tcPr>
          <w:p w14:paraId="5CF78456" w14:textId="77777777">
            <w:pPr>
              <w:spacing w:after="0" w:line="240" w:lineRule="auto"/>
            </w:pPr>
            <w:r>
              <w:rPr>
                <w:sz w:val="17"/>
              </w:rPr>
              <w:t>Total</w:t>
            </w:r>
          </w:p>
        </w:tc>
        <w:tc>
          <w:tcPr>
            <w:tcW w:w="2268" w:type="dxa"/>
            <w:tcMar>
              <w:top w:w="65" w:type="dxa"/>
              <w:left w:w="75" w:type="dxa"/>
              <w:bottom w:w="65" w:type="dxa"/>
              <w:right w:w="75" w:type="dxa"/>
            </w:tcMar>
            <w:vAlign w:val="center"/>
          </w:tcPr>
          <w:p w14:paraId="1E9CCD7B" w14:textId="77777777">
            <w:pPr>
              <w:spacing w:after="0" w:line="240" w:lineRule="auto"/>
            </w:pPr>
            <w:r>
              <w:rPr>
                <w:sz w:val="17"/>
              </w:rPr>
              <w:t>Atom / bond widths</w:t>
            </w:r>
          </w:p>
        </w:tc>
        <w:tc>
          <w:tcPr>
            <w:tcW w:w="4252" w:type="dxa"/>
            <w:tcMar>
              <w:top w:w="65" w:type="dxa"/>
              <w:left w:w="75" w:type="dxa"/>
              <w:bottom w:w="65" w:type="dxa"/>
              <w:right w:w="75" w:type="dxa"/>
            </w:tcMar>
            <w:vAlign w:val="center"/>
          </w:tcPr>
          <w:p w14:paraId="0083B34A" w14:textId="77777777">
            <w:pPr>
              <w:spacing w:after="0" w:line="240" w:lineRule="auto"/>
            </w:pPr>
            <w:r>
              <w:rPr>
                <w:sz w:val="17"/>
              </w:rPr>
              <w:t>Production schema</w:t>
            </w:r>
          </w:p>
        </w:tc>
        <w:tc>
          <w:tcPr>
            <w:tcW w:w="1417" w:type="dxa"/>
            <w:tcMar>
              <w:top w:w="65" w:type="dxa"/>
              <w:left w:w="75" w:type="dxa"/>
              <w:bottom w:w="65" w:type="dxa"/>
              <w:right w:w="75" w:type="dxa"/>
            </w:tcMar>
            <w:vAlign w:val="center"/>
          </w:tcPr>
          <w:p w14:paraId="5781DBEC" w14:textId="77777777">
            <w:pPr>
              <w:spacing w:after="0" w:line="240" w:lineRule="auto"/>
            </w:pPr>
            <w:r>
              <w:rPr>
                <w:sz w:val="17"/>
              </w:rPr>
              <w:t>48 / 15</w:t>
            </w:r>
          </w:p>
        </w:tc>
      </w:tr>
    </w:tbl>
    <w:p w14:paraId="314CB007" w14:textId="77777777">
      <w:pPr>
        <w:pStyle w:val="BodyText"/>
      </w:pPr>
    </w:p>
    <w:p w14:paraId="1EBF3828" w14:textId="3F801FB1">
      <w:pPr>
        <w:pStyle w:val="BodyText"/>
      </w:pPr>
      <w:r>
        <w:t>The finalized graph store contained packed tensors for node features, directed edge indices, edge attributes, auxiliary descriptor targets, graph boundaries, molecule hashes, graph identifiers and molecule-hash-bucket metadata. With positional encoding disabled, atom and bond features were stored compactly as unsigned 8-bit tensors and converted to floating point when loaded for training.</w:t>
      </w:r>
    </w:p>
    <w:p>
      <w:pPr>
        <w:pStyle w:val="Heading2"/>
      </w:pPr>
      <w:r>
        <w:t>1.3. Model architecture and self-supervised pretraining</w:t>
      </w:r>
    </w:p>
    <w:p w14:paraId="28DA2B34" w14:textId="77777777">
      <w:pPr>
        <w:pStyle w:val="Heading3"/>
      </w:pPr>
      <w:r>
        <w:t>1.3.1. Deterministic residual GINE encoder</w:t>
      </w:r>
    </w:p>
    <w:p w14:paraId="54B8271B" w14:textId="77777777">
      <w:r>
        <w:t>The production encoder consisted of four residual graph isomorphism network blocks with edge features (GINE).</w:t>
      </w:r>
      <w:r>
        <w:rPr>
          <w:vertAlign w:val="superscript"/>
        </w:rPr>
        <w:t>5</w:t>
      </w:r>
      <w:r>
        <w:t xml:space="preserve"> GINE is a message-passing architecture in which the representation of each atom is updated from its current state, neighboring atom states and bond attributes. The 48-dimensional atom-feature vector was first projected linearly to a hidden width of 256. Let </w:t>
      </w:r>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m:rPr>
                    <m:scr m:val="script"/>
                    <m:sty m:val="p"/>
                  </m:rPr>
                  <w:rPr>
                    <w:rFonts w:ascii="Cambria Math" w:hAnsi="Cambria Math"/>
                  </w:rPr>
                  <m:t>l</m:t>
                </m:r>
              </m:e>
            </m:d>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t xml:space="preserve"> denote the hidden state of atom </w:t>
      </w:r>
      <m:oMath>
        <m:r>
          <w:rPr>
            <w:rFonts w:ascii="Cambria Math" w:hAnsi="Cambria Math"/>
          </w:rPr>
          <m:t>i</m:t>
        </m:r>
      </m:oMath>
      <w:r>
        <w:t xml:space="preserve"> before GINE block </w:t>
      </w:r>
      <m:oMath>
        <m:r>
          <m:rPr>
            <m:scr m:val="script"/>
            <m:sty m:val="p"/>
          </m:rPr>
          <w:rPr>
            <w:rFonts w:ascii="Cambria Math" w:hAnsi="Cambria Math"/>
          </w:rPr>
          <m:t>l</m:t>
        </m:r>
      </m:oMath>
      <w:r>
        <w:t xml:space="preserve">, let </w:t>
      </w:r>
      <m:oMath>
        <m:sSub>
          <m:sSubPr>
            <m:ctrlPr>
              <w:rPr>
                <w:rFonts w:ascii="Cambria Math" w:hAnsi="Cambria Math"/>
              </w:rPr>
            </m:ctrlPr>
          </m:sSubPr>
          <m:e>
            <m:r>
              <m:rPr>
                <m:sty m:val="b"/>
              </m:rPr>
              <w:rPr>
                <w:rFonts w:ascii="Cambria Math" w:hAnsi="Cambria Math"/>
              </w:rPr>
              <m:t>e</m:t>
            </m:r>
          </m:e>
          <m:sub>
            <m:r>
              <w:rPr>
                <w:rFonts w:ascii="Cambria Math" w:hAnsi="Cambria Math"/>
              </w:rPr>
              <m:t>ji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m:t>
            </m:r>
          </m:sup>
        </m:sSup>
      </m:oMath>
      <w:r>
        <w:t xml:space="preserve"> denote the bond attributes for edge </w:t>
      </w:r>
      <m:oMath>
        <m:r>
          <w:rPr>
            <w:rFonts w:ascii="Cambria Math" w:hAnsi="Cambria Math"/>
          </w:rPr>
          <m:t>j</m:t>
        </m:r>
        <m:r>
          <m:rPr>
            <m:sty m:val="p"/>
          </m:rPr>
          <w:rPr>
            <w:rFonts w:ascii="Cambria Math" w:hAnsi="Cambria Math"/>
          </w:rPr>
          <m:t>→</m:t>
        </m:r>
        <m:r>
          <w:rPr>
            <w:rFonts w:ascii="Cambria Math" w:hAnsi="Cambria Math"/>
          </w:rPr>
          <m:t>i</m:t>
        </m:r>
      </m:oMath>
      <w:r>
        <w:t xml:space="preserve">, and let </w:t>
      </w:r>
      <m:oMath>
        <m:r>
          <m:rPr>
            <m:scr m:val="script"/>
            <m:sty m:val="p"/>
          </m:rPr>
          <w:rPr>
            <w:rFonts w:ascii="Cambria Math" w:hAnsi="Cambria Math"/>
          </w:rPr>
          <m:t>N</m:t>
        </m:r>
        <m:d>
          <m:dPr>
            <m:ctrlPr>
              <w:rPr>
                <w:rFonts w:ascii="Cambria Math" w:hAnsi="Cambria Math"/>
              </w:rPr>
            </m:ctrlPr>
          </m:dPr>
          <m:e>
            <m:r>
              <w:rPr>
                <w:rFonts w:ascii="Cambria Math" w:hAnsi="Cambria Math"/>
              </w:rPr>
              <m:t>i</m:t>
            </m:r>
          </m:e>
        </m:d>
      </m:oMath>
      <w:r>
        <w:t xml:space="preserve"> denote the neighbors of atom </w:t>
      </w:r>
      <m:oMath>
        <m:r>
          <w:rPr>
            <w:rFonts w:ascii="Cambria Math" w:hAnsi="Cambria Math"/>
          </w:rPr>
          <m:t>i</m:t>
        </m:r>
      </m:oMath>
      <w:r>
        <w:t>. An implementation-equivalent form of the PyTorch Geometric GINE update is</w:t>
      </w:r>
    </w:p>
    <w:p w14:paraId="37C12002" w14:textId="77777777">
      <w:pPr>
        <w:pStyle w:val="BodyText"/>
        <w:keepLines/>
        <w:spacing w:before="100" w:after="100"/>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h</m:t>
                  </m:r>
                </m:e>
              </m:acc>
            </m:e>
            <m:sub>
              <m:r>
                <w:rPr>
                  <w:rFonts w:ascii="Cambria Math" w:hAnsi="Cambria Math"/>
                </w:rPr>
                <m:t>i</m:t>
              </m:r>
            </m:sub>
            <m:sup>
              <m:d>
                <m:dPr>
                  <m:ctrlPr>
                    <w:rPr>
                      <w:rFonts w:ascii="Cambria Math" w:hAnsi="Cambria Math"/>
                    </w:rPr>
                  </m:ctrlPr>
                </m:dPr>
                <m:e>
                  <m:r>
                    <m:rPr>
                      <m:scr m:val="script"/>
                      <m:sty m:val="p"/>
                    </m:rPr>
                    <w:rPr>
                      <w:rFonts w:ascii="Cambria Math" w:hAnsi="Cambria Math"/>
                    </w:rPr>
                    <m:t>l+</m:t>
                  </m:r>
                  <m:r>
                    <w:rPr>
                      <w:rFonts w:ascii="Cambria Math" w:hAnsi="Cambria Math"/>
                    </w:rPr>
                    <m:t>1</m:t>
                  </m:r>
                </m:e>
              </m:d>
            </m:sup>
          </m:sSubSup>
          <m:r>
            <m:rPr>
              <m:sty m:val="p"/>
            </m:rPr>
            <w:rPr>
              <w:rFonts w:ascii="Cambria Math" w:hAnsi="Cambria Math"/>
            </w:rPr>
            <m:t>=</m:t>
          </m:r>
          <m:sSub>
            <m:sSubPr>
              <m:ctrlPr>
                <w:rPr>
                  <w:rFonts w:ascii="Cambria Math" w:hAnsi="Cambria Math"/>
                </w:rPr>
              </m:ctrlPr>
            </m:sSubPr>
            <m:e>
              <m:r>
                <m:rPr>
                  <m:nor/>
                </m:rPr>
                <m:t>MLP</m:t>
              </m:r>
            </m:e>
            <m:sub>
              <m:r>
                <m:rPr>
                  <m:scr m:val="script"/>
                  <m:sty m:val="p"/>
                </m:rPr>
                <w:rPr>
                  <w:rFonts w:ascii="Cambria Math" w:hAnsi="Cambria Math"/>
                </w:rPr>
                <m:t>l</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m:rPr>
                          <m:scr m:val="script"/>
                          <m:sty m:val="p"/>
                        </m:rPr>
                        <w:rPr>
                          <w:rFonts w:ascii="Cambria Math" w:hAnsi="Cambria Math"/>
                        </w:rPr>
                        <m:t>l</m:t>
                      </m:r>
                    </m:sub>
                  </m:sSub>
                </m:e>
              </m:d>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m:rPr>
                          <m:scr m:val="script"/>
                          <m:sty m:val="p"/>
                        </m:rPr>
                        <w:rPr>
                          <w:rFonts w:ascii="Cambria Math" w:hAnsi="Cambria Math"/>
                        </w:rPr>
                        <m:t>l</m:t>
                      </m:r>
                    </m:e>
                  </m:d>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∈N</m:t>
                  </m:r>
                  <m:d>
                    <m:dPr>
                      <m:ctrlPr>
                        <w:rPr>
                          <w:rFonts w:ascii="Cambria Math" w:hAnsi="Cambria Math"/>
                        </w:rPr>
                      </m:ctrlPr>
                    </m:dPr>
                    <m:e>
                      <m:r>
                        <w:rPr>
                          <w:rFonts w:ascii="Cambria Math" w:hAnsi="Cambria Math"/>
                        </w:rPr>
                        <m:t>i</m:t>
                      </m:r>
                    </m:e>
                  </m:d>
                </m:sub>
                <m:sup>
                  <m:r>
                    <w:rPr>
                      <w:rFonts w:ascii="Cambria Math" w:hAnsi="Cambria Math"/>
                    </w:rPr>
                    <m:t>​</m:t>
                  </m:r>
                </m:sup>
                <m:e>
                  <m:r>
                    <m:rPr>
                      <m:nor/>
                    </m:rPr>
                    <m:t>ReLU</m:t>
                  </m:r>
                </m:e>
              </m:nary>
              <m:r>
                <w:rPr>
                  <w:rFonts w:ascii="Cambria Math" w:hAnsi="Cambria Math"/>
                </w:rPr>
                <m:t>​</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j</m:t>
                      </m:r>
                    </m:sub>
                    <m:sup>
                      <m:d>
                        <m:dPr>
                          <m:ctrlPr>
                            <w:rPr>
                              <w:rFonts w:ascii="Cambria Math" w:hAnsi="Cambria Math"/>
                            </w:rPr>
                          </m:ctrlPr>
                        </m:dPr>
                        <m:e>
                          <m:r>
                            <m:rPr>
                              <m:scr m:val="script"/>
                              <m:sty m:val="p"/>
                            </m:rPr>
                            <w:rPr>
                              <w:rFonts w:ascii="Cambria Math" w:hAnsi="Cambria Math"/>
                            </w:rPr>
                            <m:t>l</m:t>
                          </m:r>
                        </m:e>
                      </m:d>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e</m:t>
                      </m:r>
                      <m:r>
                        <m:rPr>
                          <m:scr m:val="script"/>
                          <m:sty m:val="p"/>
                        </m:rPr>
                        <w:rPr>
                          <w:rFonts w:ascii="Cambria Math" w:hAnsi="Cambria Math"/>
                        </w:rPr>
                        <m:t>,l</m:t>
                      </m:r>
                    </m:sub>
                  </m:sSub>
                  <m:sSub>
                    <m:sSubPr>
                      <m:ctrlPr>
                        <w:rPr>
                          <w:rFonts w:ascii="Cambria Math" w:hAnsi="Cambria Math"/>
                        </w:rPr>
                      </m:ctrlPr>
                    </m:sSubPr>
                    <m:e>
                      <m:r>
                        <m:rPr>
                          <m:sty m:val="b"/>
                        </m:rPr>
                        <w:rPr>
                          <w:rFonts w:ascii="Cambria Math" w:hAnsi="Cambria Math"/>
                        </w:rPr>
                        <m:t>e</m:t>
                      </m:r>
                    </m:e>
                    <m:sub>
                      <m:r>
                        <w:rPr>
                          <w:rFonts w:ascii="Cambria Math" w:hAnsi="Cambria Math"/>
                        </w:rPr>
                        <m:t>ji</m:t>
                      </m:r>
                    </m:sub>
                  </m:sSub>
                </m:e>
              </m:d>
            </m:e>
          </m:d>
          <m:r>
            <m:rPr>
              <m:sty m:val="p"/>
            </m:rPr>
            <w:rPr>
              <w:rFonts w:ascii="Cambria Math" w:hAnsi="Cambria Math"/>
            </w:rPr>
            <m:t>,</m:t>
          </m:r>
        </m:oMath>
      </m:oMathPara>
    </w:p>
    <w:p w14:paraId="06F5C778" w14:textId="77777777">
      <w:r>
        <w:t xml:space="preserve">where </w:t>
      </w:r>
      <m:oMath>
        <m:sSub>
          <m:sSubPr>
            <m:ctrlPr>
              <w:rPr>
                <w:rFonts w:ascii="Cambria Math" w:hAnsi="Cambria Math"/>
              </w:rPr>
            </m:ctrlPr>
          </m:sSubPr>
          <m:e>
            <m:r>
              <w:rPr>
                <w:rFonts w:ascii="Cambria Math" w:hAnsi="Cambria Math"/>
              </w:rPr>
              <m:t>ϵ</m:t>
            </m:r>
          </m:e>
          <m:sub>
            <m:r>
              <m:rPr>
                <m:scr m:val="script"/>
                <m:sty m:val="p"/>
              </m:rPr>
              <w:rPr>
                <w:rFonts w:ascii="Cambria Math" w:hAnsi="Cambria Math"/>
              </w:rPr>
              <m:t>l</m:t>
            </m:r>
          </m:sub>
        </m:sSub>
      </m:oMath>
      <w:r>
        <w:t xml:space="preserve"> is a learned scalar (train_eps=True) and </w:t>
      </w:r>
      <m:oMath>
        <m:sSub>
          <m:sSubPr>
            <m:ctrlPr>
              <w:rPr>
                <w:rFonts w:ascii="Cambria Math" w:hAnsi="Cambria Math"/>
              </w:rPr>
            </m:ctrlPr>
          </m:sSubPr>
          <m:e>
            <m:r>
              <m:rPr>
                <m:sty m:val="b"/>
              </m:rPr>
              <w:rPr>
                <w:rFonts w:ascii="Cambria Math" w:hAnsi="Cambria Math"/>
              </w:rPr>
              <m:t>W</m:t>
            </m:r>
          </m:e>
          <m:sub>
            <m:r>
              <w:rPr>
                <w:rFonts w:ascii="Cambria Math" w:hAnsi="Cambria Math"/>
              </w:rPr>
              <m:t>e</m:t>
            </m:r>
            <m:r>
              <m:rPr>
                <m:scr m:val="script"/>
                <m:sty m:val="p"/>
              </m:rPr>
              <w:rPr>
                <w:rFonts w:ascii="Cambria Math" w:hAnsi="Cambria Math"/>
              </w:rPr>
              <m:t>,l</m:t>
            </m:r>
          </m:sub>
        </m:sSub>
      </m:oMath>
      <w:r>
        <w:t xml:space="preserve"> denotes the learned edge projection used when the edge-feature width differs from the hidden width. Each GINE block used a two-layer multilayer perceptron with widths 256, 512 and 256 with SiLU nonlinearity and dropout probability 0.10. A residual connection, dropout, layer normalization and SiLU activation were then applied:</w:t>
      </w:r>
    </w:p>
    <w:p w14:paraId="1DF1F8CC" w14:textId="77777777">
      <w:pPr>
        <w:pStyle w:val="BodyText"/>
        <w:keepLines/>
        <w:spacing w:before="100" w:after="100"/>
        <w:jc w:val="center"/>
        <w:rPr>
          <w:lang w:val="sv-SE"/>
        </w:rPr>
      </w:pPr>
      <m:oMathPara>
        <m:oMathParaPr>
          <m:jc m:val="center"/>
        </m:oMathParaPr>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m:rPr>
                      <m:scr m:val="script"/>
                      <m:sty m:val="p"/>
                    </m:rPr>
                    <w:rPr>
                      <w:rFonts w:ascii="Cambria Math" w:hAnsi="Cambria Math"/>
                      <w:lang w:val="sv-SE"/>
                    </w:rPr>
                    <m:t>l+</m:t>
                  </m:r>
                  <m:r>
                    <w:rPr>
                      <w:rFonts w:ascii="Cambria Math" w:hAnsi="Cambria Math"/>
                      <w:lang w:val="sv-SE"/>
                    </w:rPr>
                    <m:t>1</m:t>
                  </m:r>
                </m:e>
              </m:d>
            </m:sup>
          </m:sSubSup>
          <m:r>
            <m:rPr>
              <m:sty m:val="p"/>
            </m:rPr>
            <w:rPr>
              <w:rFonts w:ascii="Cambria Math" w:hAnsi="Cambria Math"/>
              <w:lang w:val="sv-SE"/>
            </w:rPr>
            <m:t>=</m:t>
          </m:r>
          <m:r>
            <m:rPr>
              <m:nor/>
            </m:rPr>
            <w:rPr>
              <w:lang w:val="sv-SE"/>
            </w:rPr>
            <m:t>SiLU</m:t>
          </m:r>
          <m:r>
            <w:rPr>
              <w:rFonts w:ascii="Cambria Math" w:hAnsi="Cambria Math"/>
              <w:lang w:val="sv-SE"/>
            </w:rPr>
            <m:t>​</m:t>
          </m:r>
          <m:d>
            <m:dPr>
              <m:begChr m:val="{"/>
              <m:endChr m:val="}"/>
              <m:ctrlPr>
                <w:rPr>
                  <w:rFonts w:ascii="Cambria Math" w:hAnsi="Cambria Math"/>
                </w:rPr>
              </m:ctrlPr>
            </m:dPr>
            <m:e>
              <m:r>
                <m:rPr>
                  <m:nor/>
                </m:rPr>
                <w:rPr>
                  <w:lang w:val="sv-SE"/>
                </w:rPr>
                <m:t>LN</m:t>
              </m:r>
              <m:r>
                <w:rPr>
                  <w:rFonts w:ascii="Cambria Math" w:hAnsi="Cambria Math"/>
                  <w:lang w:val="sv-SE"/>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m:rPr>
                              <m:scr m:val="script"/>
                              <m:sty m:val="p"/>
                            </m:rPr>
                            <w:rPr>
                              <w:rFonts w:ascii="Cambria Math" w:hAnsi="Cambria Math"/>
                              <w:lang w:val="sv-SE"/>
                            </w:rPr>
                            <m:t>l</m:t>
                          </m:r>
                        </m:e>
                      </m:d>
                    </m:sup>
                  </m:sSubSup>
                  <m:r>
                    <m:rPr>
                      <m:sty m:val="p"/>
                    </m:rPr>
                    <w:rPr>
                      <w:rFonts w:ascii="Cambria Math" w:hAnsi="Cambria Math"/>
                      <w:lang w:val="sv-SE"/>
                    </w:rPr>
                    <m:t>+</m:t>
                  </m:r>
                  <m:r>
                    <m:rPr>
                      <m:nor/>
                    </m:rPr>
                    <w:rPr>
                      <w:lang w:val="sv-SE"/>
                    </w:rPr>
                    <m:t>Dropout</m:t>
                  </m:r>
                  <m:r>
                    <w:rPr>
                      <w:rFonts w:ascii="Cambria Math" w:hAnsi="Cambria Math"/>
                      <w:lang w:val="sv-SE"/>
                    </w:rPr>
                    <m:t>​</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h</m:t>
                              </m:r>
                            </m:e>
                          </m:acc>
                        </m:e>
                        <m:sub>
                          <m:r>
                            <w:rPr>
                              <w:rFonts w:ascii="Cambria Math" w:hAnsi="Cambria Math"/>
                            </w:rPr>
                            <m:t>i</m:t>
                          </m:r>
                        </m:sub>
                        <m:sup>
                          <m:d>
                            <m:dPr>
                              <m:ctrlPr>
                                <w:rPr>
                                  <w:rFonts w:ascii="Cambria Math" w:hAnsi="Cambria Math"/>
                                </w:rPr>
                              </m:ctrlPr>
                            </m:dPr>
                            <m:e>
                              <m:r>
                                <m:rPr>
                                  <m:scr m:val="script"/>
                                  <m:sty m:val="p"/>
                                </m:rPr>
                                <w:rPr>
                                  <w:rFonts w:ascii="Cambria Math" w:hAnsi="Cambria Math"/>
                                  <w:lang w:val="sv-SE"/>
                                </w:rPr>
                                <m:t>l+</m:t>
                              </m:r>
                              <m:r>
                                <w:rPr>
                                  <w:rFonts w:ascii="Cambria Math" w:hAnsi="Cambria Math"/>
                                  <w:lang w:val="sv-SE"/>
                                </w:rPr>
                                <m:t>1</m:t>
                              </m:r>
                            </m:e>
                          </m:d>
                        </m:sup>
                      </m:sSubSup>
                      <m:r>
                        <m:rPr>
                          <m:sty m:val="p"/>
                        </m:rPr>
                        <w:rPr>
                          <w:rFonts w:ascii="Cambria Math" w:hAnsi="Cambria Math"/>
                          <w:lang w:val="sv-SE"/>
                        </w:rPr>
                        <m:t>;</m:t>
                      </m:r>
                      <m:r>
                        <w:rPr>
                          <w:rFonts w:ascii="Cambria Math" w:hAnsi="Cambria Math"/>
                        </w:rPr>
                        <m:t>p</m:t>
                      </m:r>
                      <m:r>
                        <m:rPr>
                          <m:sty m:val="p"/>
                        </m:rPr>
                        <w:rPr>
                          <w:rFonts w:ascii="Cambria Math" w:hAnsi="Cambria Math"/>
                          <w:lang w:val="sv-SE"/>
                        </w:rPr>
                        <m:t>=</m:t>
                      </m:r>
                      <m:r>
                        <w:rPr>
                          <w:rFonts w:ascii="Cambria Math" w:hAnsi="Cambria Math"/>
                          <w:lang w:val="sv-SE"/>
                        </w:rPr>
                        <m:t>0.10</m:t>
                      </m:r>
                    </m:e>
                  </m:d>
                </m:e>
              </m:d>
            </m:e>
          </m:d>
          <m:r>
            <m:rPr>
              <m:sty m:val="p"/>
            </m:rPr>
            <w:rPr>
              <w:rFonts w:ascii="Cambria Math" w:hAnsi="Cambria Math"/>
              <w:lang w:val="sv-SE"/>
            </w:rPr>
            <m:t>.</m:t>
          </m:r>
        </m:oMath>
      </m:oMathPara>
    </w:p>
    <w:p w14:paraId="66E27868" w14:textId="77777777">
      <w:r>
        <w:t xml:space="preserve">After four blocks, a learned linear projection from 256 to 128 features followed by layer normalization produced the deterministic atom latent </w:t>
      </w:r>
      <m:oMath>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t xml:space="preserve"> (node_z). No posterior sampling or variational KL term is present in the production v5 representation model.</w:t>
      </w:r>
    </w:p>
    <w:p w14:paraId="193226DE" w14:textId="77777777">
      <w:pPr>
        <w:pStyle w:val="Heading3"/>
      </w:pPr>
      <w:r>
        <w:t>1.3.2. Whole-molecule graph readout</w:t>
      </w:r>
    </w:p>
    <w:p w14:paraId="3409DA81" w14:textId="77777777">
      <w:r>
        <w:t xml:space="preserve">The whole-molecule latent was not obtained by simply averaging atom latents. Instead, four permutation-invariant summary statistics were computed. For a molecule with atom latents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t>,</w:t>
      </w:r>
    </w:p>
    <w:p w14:paraId="7910681E" w14:textId="77777777">
      <w:pPr>
        <w:pStyle w:val="BodyText"/>
        <w:keepLines/>
        <w:spacing w:before="100" w:after="100"/>
        <w:jc w:val="center"/>
      </w:pPr>
      <m:oMathPara>
        <m:oMathParaPr>
          <m:jc m:val="center"/>
        </m:oMathParaPr>
        <m:oMath>
          <m:bar>
            <m:barPr>
              <m:pos m:val="top"/>
              <m:ctrlPr>
                <w:rPr>
                  <w:rFonts w:ascii="Cambria Math" w:hAnsi="Cambria Math"/>
                </w:rPr>
              </m:ctrlPr>
            </m:barPr>
            <m:e>
              <m:r>
                <m:rPr>
                  <m:sty m:val="b"/>
                </m:rPr>
                <w:rPr>
                  <w:rFonts w:ascii="Cambria Math" w:hAnsi="Cambria Math"/>
                </w:rPr>
                <m:t>z</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
                    </m:rPr>
                    <w:rPr>
                      <w:rFonts w:ascii="Cambria Math" w:hAnsi="Cambria Math"/>
                    </w:rPr>
                    <m:t>z</m:t>
                  </m:r>
                </m:e>
                <m:sub>
                  <m:r>
                    <w:rPr>
                      <w:rFonts w:ascii="Cambria Math" w:hAnsi="Cambria Math"/>
                    </w:rPr>
                    <m:t>i</m:t>
                  </m:r>
                </m:sub>
              </m:sSub>
            </m:e>
          </m:nary>
          <m:r>
            <m:rPr>
              <m:sty m:val="p"/>
            </m:rPr>
            <w:rPr>
              <w:rFonts w:ascii="Cambria Math" w:hAnsi="Cambria Math"/>
            </w:rPr>
            <m:t>,</m:t>
          </m:r>
          <m:r>
            <w:rPr>
              <w:rFonts w:ascii="Cambria Math" w:hAnsi="Cambria Math"/>
            </w:rPr>
            <m:t>  </m:t>
          </m:r>
          <m:r>
            <m:rPr>
              <m:sty m:val="b"/>
            </m:rP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
                    </m:rPr>
                    <w:rPr>
                      <w:rFonts w:ascii="Cambria Math" w:hAnsi="Cambria Math"/>
                    </w:rPr>
                    <m:t>z</m:t>
                  </m:r>
                </m:e>
                <m:sub>
                  <m:r>
                    <w:rPr>
                      <w:rFonts w:ascii="Cambria Math" w:hAnsi="Cambria Math"/>
                    </w:rPr>
                    <m:t>i</m:t>
                  </m:r>
                </m:sub>
              </m:sSub>
            </m:e>
          </m:nary>
          <m:r>
            <m:rPr>
              <m:sty m:val="p"/>
            </m:rPr>
            <w:rPr>
              <w:rFonts w:ascii="Cambria Math" w:hAnsi="Cambria Math"/>
            </w:rPr>
            <m:t>,</m:t>
          </m:r>
          <m:r>
            <w:rPr>
              <w:rFonts w:ascii="Cambria Math" w:hAnsi="Cambria Math"/>
            </w:rPr>
            <m:t>  </m:t>
          </m:r>
          <m:r>
            <m:rPr>
              <m:sty m:val="b"/>
            </m:rPr>
            <w:rPr>
              <w:rFonts w:ascii="Cambria Math" w:hAnsi="Cambria Math"/>
            </w:rPr>
            <m:t>m</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lim>
          </m:limLow>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  q</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N</m:t>
              </m:r>
            </m:e>
          </m:d>
          <m:r>
            <m:rPr>
              <m:sty m:val="p"/>
            </m:rPr>
            <w:rPr>
              <w:rFonts w:ascii="Cambria Math" w:hAnsi="Cambria Math"/>
            </w:rPr>
            <m:t>,</m:t>
          </m:r>
        </m:oMath>
      </m:oMathPara>
    </w:p>
    <w:p w14:paraId="05773E43" w14:textId="77777777">
      <w:r>
        <w:t>where the maximum is taken independently for each latent coordinate. The three 128-dimensional vectors and the scalar size term were concatenated to define the pooled molecular summary</w:t>
      </w:r>
    </w:p>
    <w:p w14:paraId="4A9C5174" w14:textId="77777777">
      <w:pPr>
        <w:pStyle w:val="BodyText"/>
        <w:keepLines/>
        <w:spacing w:before="100" w:after="100"/>
        <w:jc w:val="center"/>
      </w:pPr>
      <m:oMathPara>
        <m:oMathParaPr>
          <m:jc m:val="center"/>
        </m:oMathParaPr>
        <m:oMath>
          <m:sSub>
            <m:sSubPr>
              <m:ctrlPr>
                <w:rPr>
                  <w:rFonts w:ascii="Cambria Math" w:hAnsi="Cambria Math"/>
                </w:rPr>
              </m:ctrlPr>
            </m:sSubPr>
            <m:e>
              <m:r>
                <m:rPr>
                  <m:sty m:val="b"/>
                </m:rPr>
                <w:rPr>
                  <w:rFonts w:ascii="Cambria Math" w:hAnsi="Cambria Math"/>
                </w:rPr>
                <m:t>p</m:t>
              </m:r>
            </m:e>
            <m:sub>
              <m:r>
                <w:rPr>
                  <w:rFonts w:ascii="Cambria Math" w:hAnsi="Cambria Math"/>
                </w:rPr>
                <m:t>G</m:t>
              </m:r>
            </m:sub>
          </m:sSub>
          <m:r>
            <m:rPr>
              <m:sty m:val="p"/>
            </m:rPr>
            <w:rPr>
              <w:rFonts w:ascii="Cambria Math" w:hAnsi="Cambria Math"/>
            </w:rPr>
            <m:t>=</m:t>
          </m:r>
          <m:d>
            <m:dPr>
              <m:begChr m:val="["/>
              <m:endChr m:val="]"/>
              <m:ctrlPr>
                <w:rPr>
                  <w:rFonts w:ascii="Cambria Math" w:hAnsi="Cambria Math"/>
                </w:rPr>
              </m:ctrlPr>
            </m:dPr>
            <m:e>
              <m:bar>
                <m:barPr>
                  <m:pos m:val="top"/>
                  <m:ctrlPr>
                    <w:rPr>
                      <w:rFonts w:ascii="Cambria Math" w:hAnsi="Cambria Math"/>
                    </w:rPr>
                  </m:ctrlPr>
                </m:barPr>
                <m:e>
                  <m:r>
                    <m:rPr>
                      <m:sty m:val="b"/>
                    </m:rPr>
                    <w:rPr>
                      <w:rFonts w:ascii="Cambria Math" w:hAnsi="Cambria Math"/>
                    </w:rPr>
                    <m:t>z</m:t>
                  </m:r>
                </m:e>
              </m:bar>
              <m:r>
                <m:rPr>
                  <m:sty m:val="p"/>
                </m:rPr>
                <w:rPr>
                  <w:rFonts w:ascii="Cambria Math" w:hAnsi="Cambria Math"/>
                </w:rPr>
                <m:t>;</m:t>
              </m:r>
              <m:r>
                <m:rPr>
                  <m:sty m:val="b"/>
                </m:rPr>
                <w:rPr>
                  <w:rFonts w:ascii="Cambria Math" w:hAnsi="Cambria Math"/>
                </w:rPr>
                <m:t>s</m:t>
              </m:r>
              <m:r>
                <m:rPr>
                  <m:sty m:val="p"/>
                </m:rPr>
                <w:rPr>
                  <w:rFonts w:ascii="Cambria Math" w:hAnsi="Cambria Math"/>
                </w:rPr>
                <m:t>;</m:t>
              </m:r>
              <m:r>
                <m:rPr>
                  <m:sty m:val="b"/>
                </m:rPr>
                <w:rPr>
                  <w:rFonts w:ascii="Cambria Math" w:hAnsi="Cambria Math"/>
                </w:rPr>
                <m:t>m</m:t>
              </m:r>
              <m:r>
                <m:rPr>
                  <m:sty m:val="p"/>
                </m:rPr>
                <w:rPr>
                  <w:rFonts w:ascii="Cambria Math" w:hAnsi="Cambria Math"/>
                </w:rPr>
                <m:t>;</m:t>
              </m:r>
              <m:r>
                <w:rPr>
                  <w:rFonts w:ascii="Cambria Math" w:hAnsi="Cambria Math"/>
                </w:rPr>
                <m:t>q</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385</m:t>
              </m:r>
            </m:sup>
          </m:sSup>
          <m:r>
            <m:rPr>
              <m:sty m:val="p"/>
            </m:rPr>
            <w:rPr>
              <w:rFonts w:ascii="Cambria Math" w:hAnsi="Cambria Math"/>
            </w:rPr>
            <m:t>.</m:t>
          </m:r>
        </m:oMath>
      </m:oMathPara>
    </w:p>
    <w:p w14:paraId="69EDA30F" w14:textId="77777777">
      <w:r>
        <w:t xml:space="preserve">A learned readout network transformed </w:t>
      </w:r>
      <m:oMath>
        <m:sSub>
          <m:sSubPr>
            <m:ctrlPr>
              <w:rPr>
                <w:rFonts w:ascii="Cambria Math" w:hAnsi="Cambria Math"/>
              </w:rPr>
            </m:ctrlPr>
          </m:sSubPr>
          <m:e>
            <m:r>
              <m:rPr>
                <m:sty m:val="b"/>
              </m:rPr>
              <w:rPr>
                <w:rFonts w:ascii="Cambria Math" w:hAnsi="Cambria Math"/>
              </w:rPr>
              <m:t>p</m:t>
            </m:r>
          </m:e>
          <m:sub>
            <m:r>
              <w:rPr>
                <w:rFonts w:ascii="Cambria Math" w:hAnsi="Cambria Math"/>
              </w:rPr>
              <m:t>G</m:t>
            </m:r>
          </m:sub>
        </m:sSub>
      </m:oMath>
      <w:r>
        <w:t xml:space="preserve"> to the 256-dimensional graph latent </w:t>
      </w: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t xml:space="preserve"> (graph_z):</w:t>
      </w:r>
    </w:p>
    <w:p w14:paraId="5C956112" w14:textId="77777777">
      <w:pPr>
        <w:pStyle w:val="BodyText"/>
        <w:keepLines/>
        <w:spacing w:before="100" w:after="100"/>
        <w:jc w:val="center"/>
        <w:rPr>
          <w:lang w:val="sv-SE"/>
        </w:rPr>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r>
            <m:rPr>
              <m:sty m:val="p"/>
            </m:rPr>
            <w:rPr>
              <w:rFonts w:ascii="Cambria Math" w:hAnsi="Cambria Math"/>
              <w:lang w:val="sv-SE"/>
            </w:rPr>
            <m:t>=</m:t>
          </m:r>
          <m:r>
            <m:rPr>
              <m:nor/>
            </m:rPr>
            <w:rPr>
              <w:lang w:val="sv-SE"/>
            </w:rPr>
            <m:t>LN</m:t>
          </m:r>
          <m:r>
            <w:rPr>
              <w:rFonts w:ascii="Cambria Math" w:hAnsi="Cambria Math"/>
              <w:lang w:val="sv-SE"/>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lang w:val="sv-SE"/>
                    </w:rPr>
                    <m:t>2</m:t>
                  </m:r>
                </m:sub>
              </m:sSub>
              <m:r>
                <w:rPr>
                  <w:rFonts w:ascii="Cambria Math" w:hAnsi="Cambria Math"/>
                  <w:lang w:val="sv-SE"/>
                </w:rPr>
                <m:t> </m:t>
              </m:r>
              <m:r>
                <m:rPr>
                  <m:nor/>
                </m:rPr>
                <w:rPr>
                  <w:lang w:val="sv-SE"/>
                </w:rPr>
                <m:t>Dropout</m:t>
              </m:r>
              <m:r>
                <w:rPr>
                  <w:rFonts w:ascii="Cambria Math" w:hAnsi="Cambria Math"/>
                  <w:lang w:val="sv-SE"/>
                </w:rPr>
                <m:t>​</m:t>
              </m:r>
              <m:d>
                <m:dPr>
                  <m:ctrlPr>
                    <w:rPr>
                      <w:rFonts w:ascii="Cambria Math" w:hAnsi="Cambria Math"/>
                    </w:rPr>
                  </m:ctrlPr>
                </m:dPr>
                <m:e>
                  <m:r>
                    <m:rPr>
                      <m:nor/>
                    </m:rPr>
                    <w:rPr>
                      <w:lang w:val="sv-SE"/>
                    </w:rPr>
                    <m:t>SiLU</m:t>
                  </m:r>
                  <m:r>
                    <w:rPr>
                      <w:rFonts w:ascii="Cambria Math" w:hAnsi="Cambria Math"/>
                      <w:lang w:val="sv-SE"/>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lang w:val="sv-SE"/>
                            </w:rPr>
                            <m:t>1</m:t>
                          </m:r>
                        </m:sub>
                      </m:sSub>
                      <m:sSub>
                        <m:sSubPr>
                          <m:ctrlPr>
                            <w:rPr>
                              <w:rFonts w:ascii="Cambria Math" w:hAnsi="Cambria Math"/>
                            </w:rPr>
                          </m:ctrlPr>
                        </m:sSubPr>
                        <m:e>
                          <m:r>
                            <m:rPr>
                              <m:sty m:val="b"/>
                            </m:rPr>
                            <w:rPr>
                              <w:rFonts w:ascii="Cambria Math" w:hAnsi="Cambria Math"/>
                            </w:rPr>
                            <m:t>p</m:t>
                          </m:r>
                        </m:e>
                        <m:sub>
                          <m:r>
                            <w:rPr>
                              <w:rFonts w:ascii="Cambria Math" w:hAnsi="Cambria Math"/>
                            </w:rPr>
                            <m:t>G</m:t>
                          </m:r>
                        </m:sub>
                      </m:sSub>
                      <m:r>
                        <m:rPr>
                          <m:sty m:val="p"/>
                        </m:rPr>
                        <w:rPr>
                          <w:rFonts w:ascii="Cambria Math" w:hAnsi="Cambria Math"/>
                          <w:lang w:val="sv-SE"/>
                        </w:rPr>
                        <m:t>+</m:t>
                      </m:r>
                      <m:sSub>
                        <m:sSubPr>
                          <m:ctrlPr>
                            <w:rPr>
                              <w:rFonts w:ascii="Cambria Math" w:hAnsi="Cambria Math"/>
                            </w:rPr>
                          </m:ctrlPr>
                        </m:sSubPr>
                        <m:e>
                          <m:r>
                            <m:rPr>
                              <m:sty m:val="b"/>
                            </m:rPr>
                            <w:rPr>
                              <w:rFonts w:ascii="Cambria Math" w:hAnsi="Cambria Math"/>
                            </w:rPr>
                            <m:t>b</m:t>
                          </m:r>
                        </m:e>
                        <m:sub>
                          <m:r>
                            <w:rPr>
                              <w:rFonts w:ascii="Cambria Math" w:hAnsi="Cambria Math"/>
                              <w:lang w:val="sv-SE"/>
                            </w:rPr>
                            <m:t>1</m:t>
                          </m:r>
                        </m:sub>
                      </m:sSub>
                    </m:e>
                  </m:d>
                  <m:r>
                    <m:rPr>
                      <m:sty m:val="p"/>
                    </m:rPr>
                    <w:rPr>
                      <w:rFonts w:ascii="Cambria Math" w:hAnsi="Cambria Math"/>
                      <w:lang w:val="sv-SE"/>
                    </w:rPr>
                    <m:t>;</m:t>
                  </m:r>
                  <m:r>
                    <w:rPr>
                      <w:rFonts w:ascii="Cambria Math" w:hAnsi="Cambria Math"/>
                    </w:rPr>
                    <m:t>p</m:t>
                  </m:r>
                  <m:r>
                    <m:rPr>
                      <m:sty m:val="p"/>
                    </m:rPr>
                    <w:rPr>
                      <w:rFonts w:ascii="Cambria Math" w:hAnsi="Cambria Math"/>
                      <w:lang w:val="sv-SE"/>
                    </w:rPr>
                    <m:t>=</m:t>
                  </m:r>
                  <m:r>
                    <w:rPr>
                      <w:rFonts w:ascii="Cambria Math" w:hAnsi="Cambria Math"/>
                      <w:lang w:val="sv-SE"/>
                    </w:rPr>
                    <m:t>0.10</m:t>
                  </m:r>
                </m:e>
              </m:d>
              <m:r>
                <m:rPr>
                  <m:sty m:val="p"/>
                </m:rPr>
                <w:rPr>
                  <w:rFonts w:ascii="Cambria Math" w:hAnsi="Cambria Math"/>
                  <w:lang w:val="sv-SE"/>
                </w:rPr>
                <m:t>+</m:t>
              </m:r>
              <m:sSub>
                <m:sSubPr>
                  <m:ctrlPr>
                    <w:rPr>
                      <w:rFonts w:ascii="Cambria Math" w:hAnsi="Cambria Math"/>
                    </w:rPr>
                  </m:ctrlPr>
                </m:sSubPr>
                <m:e>
                  <m:r>
                    <m:rPr>
                      <m:sty m:val="b"/>
                    </m:rPr>
                    <w:rPr>
                      <w:rFonts w:ascii="Cambria Math" w:hAnsi="Cambria Math"/>
                    </w:rPr>
                    <m:t>b</m:t>
                  </m:r>
                </m:e>
                <m:sub>
                  <m:r>
                    <w:rPr>
                      <w:rFonts w:ascii="Cambria Math" w:hAnsi="Cambria Math"/>
                      <w:lang w:val="sv-SE"/>
                    </w:rPr>
                    <m:t>2</m:t>
                  </m:r>
                </m:sub>
              </m:sSub>
            </m:e>
          </m:d>
          <m:r>
            <m:rPr>
              <m:sty m:val="p"/>
            </m:rPr>
            <w:rPr>
              <w:rFonts w:ascii="Cambria Math" w:hAnsi="Cambria Math"/>
              <w:lang w:val="sv-SE"/>
            </w:rPr>
            <m:t>.</m:t>
          </m:r>
        </m:oMath>
      </m:oMathPara>
    </w:p>
    <w:p w14:paraId="69B9DB95" w14:textId="77777777">
      <w:r>
        <w:t>The first affine transformation mapped 385 features to 512 features; the second mapped 512 features to 256 features.</w:t>
      </w:r>
    </w:p>
    <w:p w14:paraId="1A29E07D" w14:textId="77777777">
      <w:pPr>
        <w:pStyle w:val="Heading3"/>
      </w:pPr>
      <w:r>
        <w:t>1.3.3. Graph-conditioned reconstruction heads</w:t>
      </w:r>
    </w:p>
    <w:p w14:paraId="5395CA77" w14:textId="77777777">
      <w:r>
        <w:t xml:space="preserve">All production reconstruction heads were explicitly conditioned on </w:t>
      </w: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oMath>
      <w:r>
        <w:t xml:space="preserve">, thereby making the exported whole-molecule vector part of the reconstruction pathway rather than a pooling statistic used only by an auxiliary property head. For atom reconstruction, the graph latent was broadcast to each atom and concatenated with the atom latent, producing a 384-dimensional decoder input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G</m:t>
                </m:r>
              </m:sub>
            </m:sSub>
          </m:e>
        </m:d>
      </m:oMath>
      <w:r>
        <w:t>. A two-layer decoder mapping 384 features to 256 hidden features and then to 48 outputs, with SiLU nonlinearity, predicted the original atom-feature groups.</w:t>
      </w:r>
    </w:p>
    <w:p w14:paraId="348513C5" w14:textId="77777777">
      <w:pPr>
        <w:pStyle w:val="BodyText"/>
      </w:pPr>
      <w:r>
        <w:t xml:space="preserve">For an unordered atom pair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order-invariant pair features were constructed as</w:t>
      </w:r>
    </w:p>
    <w:p w14:paraId="70542C8D" w14:textId="77777777">
      <w:pPr>
        <w:pStyle w:val="BodyText"/>
        <w:keepLines/>
        <w:spacing w:before="100" w:after="100"/>
        <w:jc w:val="center"/>
      </w:pPr>
      <m:oMathPara>
        <m:oMathParaPr>
          <m:jc m:val="center"/>
        </m:oMathParaPr>
        <m:oMath>
          <m:sSub>
            <m:sSubPr>
              <m:ctrlPr>
                <w:rPr>
                  <w:rFonts w:ascii="Cambria Math" w:hAnsi="Cambria Math"/>
                </w:rPr>
              </m:ctrlPr>
            </m:sSubPr>
            <m:e>
              <m:r>
                <m:rPr>
                  <m:sty m:val="b"/>
                </m:rPr>
                <w:rPr>
                  <w:rFonts w:ascii="Cambria Math" w:hAnsi="Cambria Math"/>
                </w:rPr>
                <m:t>ϕ</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r>
            <m:rPr>
              <m:sty m:val="p"/>
            </m:rPr>
            <w:rPr>
              <w:rFonts w:ascii="Cambria Math" w:hAnsi="Cambria Math"/>
            </w:rPr>
            <m:t>,</m:t>
          </m:r>
        </m:oMath>
      </m:oMathPara>
    </w:p>
    <w:p w14:paraId="683E2212" w14:textId="77777777">
      <w:r>
        <w:t xml:space="preserve">where </w:t>
      </w:r>
      <m:oMath>
        <m:r>
          <m:rPr>
            <m:sty m:val="p"/>
          </m:rPr>
          <w:rPr>
            <w:rFonts w:ascii="Cambria Math" w:hAnsi="Cambria Math"/>
          </w:rPr>
          <m:t>⊙</m:t>
        </m:r>
      </m:oMath>
      <w:r>
        <w:t xml:space="preserve"> denotes element-wise multiplication. The symmetric pair representation was concatenated with the corresponding 256-dimensional graph latent to form the same 512-dimensional input for two separate graph-conditioned MLP decoders. The bond-existence decoder and bond-attribute decoder did not share a trunk or parameters. Each decoder independently mapped 512 features to 256 hidden features, applied SiLU, mapped 256 to 256 with a second SiLU, and then produced either (i) one bond-existence logit or (ii) 15 bond-attribute logits. The auxiliary descriptor head mapped </w:t>
      </w: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oMath>
      <w:r>
        <w:t xml:space="preserve"> through a multilayer perceptron with widths 256, 512, 256 and 13 with SiLU activations and dropout 0.10 after the first hidden layer.</w:t>
      </w:r>
    </w:p>
    <w:p w14:paraId="32ADE854" w14:textId="77777777">
      <w:pPr>
        <w:pStyle w:val="Heading3"/>
      </w:pPr>
      <w:r>
        <w:t>1.3.4. Graph corruption and self-supervised reconstruction task</w:t>
      </w:r>
    </w:p>
    <w:p w14:paraId="54B6A58C" w14:textId="77777777">
      <w:r>
        <w:t>Training used two views of each molecular graph: one stochastically corrupted view and the corresponding clean graph. The same encoder parameters were used for both. The corrupted view was generated independently at each optimization step using deterministic step- and rank-derived random seeds. Atom masking was sampled with probability 0.30; when selected, the complete 48-dimensional atom-feature vector was set to zero. Bond-feature masking was sampled on unique undirected bonds with probability 0.30 and set all 15 attributes to zero for the retained directed copies. Bond dropout was sampled independently on unique undirected bonds with probability 0.15 and removed both directed copies of a selected bond. For a non-empty batched set of atoms or unique bonds, the implementation forced at least one item in an enabled corruption category if Bernoulli sampling selected none in the entire batch.</w:t>
      </w:r>
    </w:p>
    <w:p w14:paraId="7DF9CD30" w14:textId="77777777">
      <w:pPr>
        <w:pStyle w:val="BodyText"/>
      </w:pPr>
      <w:r>
        <w:t xml:space="preserve">Atom reconstruction loss was evaluated only for masked atoms. Bond-feature reconstruction loss was evaluated for each unique true bond whose attributes had been masked or whose bond had been dropped. Because the feature schema mixes categorical one-hot groups with binary attributes, reconstruction loss was computed separately for each semantic group and then averaged across groups. For one-hot group </w:t>
      </w:r>
      <m:oMath>
        <m:r>
          <w:rPr>
            <w:rFonts w:ascii="Cambria Math" w:hAnsi="Cambria Math"/>
          </w:rPr>
          <m:t>g</m:t>
        </m:r>
      </m:oMath>
      <w:r>
        <w:t xml:space="preserve">, categorical cross-entropy was used; for binary group </w:t>
      </w:r>
      <m:oMath>
        <m:r>
          <w:rPr>
            <w:rFonts w:ascii="Cambria Math" w:hAnsi="Cambria Math"/>
          </w:rPr>
          <m:t>g</m:t>
        </m:r>
      </m:oMath>
      <w:r>
        <w:t xml:space="preserve">, binary cross-entropy with logits was used. If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x</m:t>
            </m:r>
          </m:sub>
        </m:sSub>
      </m:oMath>
      <w:r>
        <w:t xml:space="preserve"> denotes the atom-feature groups, this can be written compactly as</w:t>
      </w:r>
    </w:p>
    <w:p w14:paraId="7341A8C4" w14:textId="77777777">
      <w:pPr>
        <w:pStyle w:val="BodyText"/>
        <w:keepLines/>
        <w:spacing w:before="10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node</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G</m:t>
                      </m:r>
                    </m:e>
                    <m:sub>
                      <m:r>
                        <w:rPr>
                          <w:rFonts w:ascii="Cambria Math" w:hAnsi="Cambria Math"/>
                        </w:rPr>
                        <m:t>x</m:t>
                      </m:r>
                    </m:sub>
                  </m:sSub>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x</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g</m:t>
                  </m:r>
                </m:sub>
              </m:sSub>
            </m:e>
          </m:nary>
          <m: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m:rPr>
                      <m:scr m:val="script"/>
                      <m:sty m:val="p"/>
                    </m:rPr>
                    <w:rPr>
                      <w:rFonts w:ascii="Cambria Math" w:hAnsi="Cambria Math"/>
                    </w:rPr>
                    <m:t>M,</m:t>
                  </m:r>
                  <m: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m:rPr>
                      <m:scr m:val="script"/>
                      <m:sty m:val="p"/>
                    </m:rPr>
                    <w:rPr>
                      <w:rFonts w:ascii="Cambria Math" w:hAnsi="Cambria Math"/>
                    </w:rPr>
                    <m:t>M,</m:t>
                  </m:r>
                  <m:r>
                    <w:rPr>
                      <w:rFonts w:ascii="Cambria Math" w:hAnsi="Cambria Math"/>
                    </w:rPr>
                    <m:t>g</m:t>
                  </m:r>
                </m:sub>
              </m:sSub>
            </m:e>
          </m:d>
          <m:r>
            <m:rPr>
              <m:sty m:val="p"/>
            </m:rPr>
            <w:rPr>
              <w:rFonts w:ascii="Cambria Math" w:hAnsi="Cambria Math"/>
            </w:rPr>
            <m:t>,</m:t>
          </m:r>
        </m:oMath>
      </m:oMathPara>
    </w:p>
    <w:p w14:paraId="38F44AA2" w14:textId="77777777">
      <w:r>
        <w:t xml:space="preserve">where </w:t>
      </w:r>
      <m:oMath>
        <m:r>
          <m:rPr>
            <m:scr m:val="script"/>
            <m:sty m:val="p"/>
          </m:rPr>
          <w:rPr>
            <w:rFonts w:ascii="Cambria Math" w:hAnsi="Cambria Math"/>
          </w:rPr>
          <m:t>M</m:t>
        </m:r>
      </m:oMath>
      <w:r>
        <w:t xml:space="preserve"> is the set of masked atoms and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g</m:t>
            </m:r>
          </m:sub>
        </m:sSub>
      </m:oMath>
      <w:r>
        <w:t xml:space="preserve"> is categorical or binary cross-entropy according to the group definition. The bond-feature term </w:t>
      </w:r>
      <m:oMath>
        <m:sSub>
          <m:sSubPr>
            <m:ctrlPr>
              <w:rPr>
                <w:rFonts w:ascii="Cambria Math" w:hAnsi="Cambria Math"/>
              </w:rPr>
            </m:ctrlPr>
          </m:sSubPr>
          <m:e>
            <m:r>
              <m:rPr>
                <m:scr m:val="script"/>
                <m:sty m:val="p"/>
              </m:rPr>
              <w:rPr>
                <w:rFonts w:ascii="Cambria Math" w:hAnsi="Cambria Math"/>
              </w:rPr>
              <m:t>L</m:t>
            </m:r>
          </m:e>
          <m:sub>
            <m:r>
              <m:rPr>
                <m:nor/>
              </m:rPr>
              <m:t>edge</m:t>
            </m:r>
          </m:sub>
        </m:sSub>
      </m:oMath>
      <w:r>
        <w:t xml:space="preserve"> was defined analogously over corrupted true bonds and the bond-feature groups.</w:t>
      </w:r>
    </w:p>
    <w:p w14:paraId="0EE00431" w14:textId="77777777">
      <w:pPr>
        <w:pStyle w:val="Heading3"/>
      </w:pPr>
      <w:r>
        <w:t>1.3.5. Bond-existence prediction and model-hard negative mining</w:t>
      </w:r>
    </w:p>
    <w:p w14:paraId="430D8F63" w14:textId="77777777">
      <w:r>
        <w:t xml:space="preserve">Bond-existence training distinguished true dropped bonds from atom pairs that are not bonded. Negative atom pairs were sampled independently within each molecular graph; pairs from different molecules could therefore never become negatives. Candidate pairs were canonical unordered pairs </w:t>
      </w:r>
      <m:oMath>
        <m:r>
          <w:rPr>
            <w:rFonts w:ascii="Cambria Math" w:hAnsi="Cambria Math"/>
          </w:rPr>
          <m:t>i</m:t>
        </m:r>
        <m:r>
          <m:rPr>
            <m:sty m:val="p"/>
          </m:rPr>
          <w:rPr>
            <w:rFonts w:ascii="Cambria Math" w:hAnsi="Cambria Math"/>
          </w:rPr>
          <m:t>&lt;</m:t>
        </m:r>
        <m:r>
          <w:rPr>
            <w:rFonts w:ascii="Cambria Math" w:hAnsi="Cambria Math"/>
          </w:rPr>
          <m:t>j</m:t>
        </m:r>
      </m:oMath>
      <w:r>
        <w:t>, with all true bonds excluded. Counts were scaled to the number of unique true bonds in the corresponding graph.</w:t>
      </w:r>
    </w:p>
    <w:p w14:paraId="7A429CA8" w14:textId="77777777">
      <w:pPr>
        <w:pStyle w:val="BodyText"/>
      </w:pPr>
      <w:r>
        <w:t xml:space="preserve">Two negative sets were used. </w:t>
      </w:r>
      <w:r>
        <w:rPr>
          <w:i/>
          <w:iCs/>
        </w:rPr>
        <w:t>Easy negatives</w:t>
      </w:r>
      <w:r>
        <w:t xml:space="preserve"> were sampled uniformly without replacement from valid non-bonded pairs at a target ratio of 1.0 per positive bond. A disjoint </w:t>
      </w:r>
      <w:r>
        <w:rPr>
          <w:i/>
          <w:iCs/>
        </w:rPr>
        <w:t>hard-negative pool</w:t>
      </w:r>
      <w:r>
        <w:t xml:space="preserve"> was sampled at a target pool ratio of 5.0 per positive bond. The current model scored this pool, and the highest-scoring false edges were retained at a target hard-negative ratio of 1.0 per positive bond. Selection therefore remained graph-local and model-dependent, with gradients retained for the selected hard examples. The positive examples presented to the existence decoder were dropped true bonds; if a batch contained no dropped bond, all unique true bonds were used as the positive fallback.</w:t>
      </w:r>
    </w:p>
    <w:p w14:paraId="6880D51C" w14:textId="77777777">
      <w:pPr>
        <w:pStyle w:val="BodyText"/>
      </w:pPr>
      <w:r>
        <w:t xml:space="preserve">Let </w:t>
      </w:r>
      <m:oMath>
        <m:r>
          <m:rPr>
            <m:scr m:val="script"/>
            <m:sty m:val="p"/>
          </m:rPr>
          <w:rPr>
            <w:rFonts w:ascii="Cambria Math" w:hAnsi="Cambria Math"/>
          </w:rPr>
          <m:t>P</m:t>
        </m:r>
      </m:oMath>
      <w:r>
        <w:t xml:space="preserve"> and </w:t>
      </w:r>
      <m:oMath>
        <m:r>
          <m:rPr>
            <m:scr m:val="script"/>
            <m:sty m:val="p"/>
          </m:rPr>
          <w:rPr>
            <w:rFonts w:ascii="Cambria Math" w:hAnsi="Cambria Math"/>
          </w:rPr>
          <m:t>N</m:t>
        </m:r>
      </m:oMath>
      <w:r>
        <w:t xml:space="preserve"> denote the positive and combined easy-plus-hard negative candidate sets and let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be the predicted bond-existence logit. Positive and negative binary cross-entropies were computed separately and added, preventing a larger negative set from trivially dominating the scale:</w:t>
      </w:r>
    </w:p>
    <w:p w14:paraId="317C8B95" w14:textId="77777777">
      <w:pPr>
        <w:pStyle w:val="BodyText"/>
        <w:keepLines/>
        <w:spacing w:before="10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exist</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P</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cr m:val="script"/>
                  <m:sty m:val="p"/>
                </m:rPr>
                <w:rPr>
                  <w:rFonts w:ascii="Cambria Math" w:hAnsi="Cambria Math"/>
                </w:rPr>
                <m:t>∈P</m:t>
              </m:r>
            </m:sub>
            <m:sup>
              <m:r>
                <w:rPr>
                  <w:rFonts w:ascii="Cambria Math" w:hAnsi="Cambria Math"/>
                </w:rPr>
                <m:t>​</m:t>
              </m:r>
            </m:sup>
            <m:e>
              <m:r>
                <m:rPr>
                  <m:sty m:val="p"/>
                </m:rPr>
                <w:rPr>
                  <w:rFonts w:ascii="Cambria Math" w:hAnsi="Cambria Math"/>
                </w:rPr>
                <m:t>log</m:t>
              </m:r>
            </m:e>
          </m:nary>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N</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cr m:val="script"/>
                  <m:sty m:val="p"/>
                </m:rPr>
                <w:rPr>
                  <w:rFonts w:ascii="Cambria Math" w:hAnsi="Cambria Math"/>
                </w:rPr>
                <m:t>∈N</m:t>
              </m:r>
            </m:sub>
            <m:sup>
              <m:r>
                <w:rPr>
                  <w:rFonts w:ascii="Cambria Math" w:hAnsi="Cambria Math"/>
                </w:rPr>
                <m:t>​</m:t>
              </m:r>
            </m:sup>
            <m:e>
              <m:r>
                <m:rPr>
                  <m:sty m:val="p"/>
                </m:rPr>
                <w:rPr>
                  <w:rFonts w:ascii="Cambria Math" w:hAnsi="Cambria Math"/>
                </w:rPr>
                <m:t>log</m:t>
              </m:r>
            </m:e>
          </m:nary>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e>
              </m:d>
            </m:e>
          </m:d>
          <m:r>
            <m:rPr>
              <m:sty m:val="p"/>
            </m:rPr>
            <w:rPr>
              <w:rFonts w:ascii="Cambria Math" w:hAnsi="Cambria Math"/>
            </w:rPr>
            <m:t>,</m:t>
          </m:r>
        </m:oMath>
      </m:oMathPara>
    </w:p>
    <w:p w14:paraId="1203A900" w14:textId="77777777">
      <w:r>
        <w:t>with an absent class contributing zero when its candidate set was empty.</w:t>
      </w:r>
    </w:p>
    <w:p w14:paraId="31771E9F" w14:textId="77777777">
      <w:pPr>
        <w:pStyle w:val="Heading3"/>
      </w:pPr>
      <w:r>
        <w:t>1.3.6. Auxiliary descriptor and cross-view contrastive objectives</w:t>
      </w:r>
    </w:p>
    <w:p w14:paraId="41DE8763" w14:textId="77777777">
      <w:r>
        <w:t xml:space="preserve">The descriptor head was applied to both the corrupted-view graph latent and the clean-view graph latent. If </w:t>
      </w:r>
      <m:oMath>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c</m:t>
                </m:r>
              </m:e>
            </m:d>
          </m:sup>
        </m:sSup>
      </m:oMath>
      <w:r>
        <w:t xml:space="preserve"> and </w:t>
      </w:r>
      <m:oMath>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0</m:t>
                </m:r>
              </m:e>
            </m:d>
          </m:sup>
        </m:sSup>
      </m:oMath>
      <w:r>
        <w:t xml:space="preserve"> denote their predictions of standardized descriptor vector </w:t>
      </w:r>
      <m:oMath>
        <m:acc>
          <m:accPr>
            <m:chr m:val="̃"/>
            <m:ctrlPr>
              <w:rPr>
                <w:rFonts w:ascii="Cambria Math" w:hAnsi="Cambria Math"/>
              </w:rPr>
            </m:ctrlPr>
          </m:accPr>
          <m:e>
            <m:r>
              <m:rPr>
                <m:sty m:val="b"/>
              </m:rPr>
              <w:rPr>
                <w:rFonts w:ascii="Cambria Math" w:hAnsi="Cambria Math"/>
              </w:rPr>
              <m:t>y</m:t>
            </m:r>
          </m:e>
        </m:acc>
      </m:oMath>
      <w:r>
        <w:t>, the descriptor term was</w:t>
      </w:r>
    </w:p>
    <w:p w14:paraId="10FCC1B3" w14:textId="77777777">
      <w:pPr>
        <w:pStyle w:val="BodyText"/>
        <w:keepLines/>
        <w:spacing w:before="10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desc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nor/>
                </m:rPr>
                <m:t>MSE</m:t>
              </m:r>
              <m:r>
                <w:rPr>
                  <w:rFonts w:ascii="Cambria Math" w:hAnsi="Cambria Math"/>
                </w:rPr>
                <m:t>​</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c</m:t>
                          </m:r>
                        </m:e>
                      </m:d>
                    </m:sup>
                  </m:sSup>
                  <m:r>
                    <m:rPr>
                      <m:sty m:val="p"/>
                    </m:rPr>
                    <w:rPr>
                      <w:rFonts w:ascii="Cambria Math" w:hAnsi="Cambria Math"/>
                    </w:rPr>
                    <m:t>,</m:t>
                  </m:r>
                  <m:acc>
                    <m:accPr>
                      <m:chr m:val="̃"/>
                      <m:ctrlPr>
                        <w:rPr>
                          <w:rFonts w:ascii="Cambria Math" w:hAnsi="Cambria Math"/>
                        </w:rPr>
                      </m:ctrlPr>
                    </m:accPr>
                    <m:e>
                      <m:r>
                        <m:rPr>
                          <m:sty m:val="b"/>
                        </m:rPr>
                        <w:rPr>
                          <w:rFonts w:ascii="Cambria Math" w:hAnsi="Cambria Math"/>
                        </w:rPr>
                        <m:t>y</m:t>
                      </m:r>
                    </m:e>
                  </m:acc>
                </m:e>
              </m:d>
              <m:r>
                <m:rPr>
                  <m:sty m:val="p"/>
                </m:rPr>
                <w:rPr>
                  <w:rFonts w:ascii="Cambria Math" w:hAnsi="Cambria Math"/>
                </w:rPr>
                <m:t>+</m:t>
              </m:r>
              <m:r>
                <m:rPr>
                  <m:nor/>
                </m:rPr>
                <m:t>MSE</m:t>
              </m:r>
              <m:r>
                <w:rPr>
                  <w:rFonts w:ascii="Cambria Math" w:hAnsi="Cambria Math"/>
                </w:rPr>
                <m:t>​</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0</m:t>
                          </m:r>
                        </m:e>
                      </m:d>
                    </m:sup>
                  </m:sSup>
                  <m:r>
                    <m:rPr>
                      <m:sty m:val="p"/>
                    </m:rPr>
                    <w:rPr>
                      <w:rFonts w:ascii="Cambria Math" w:hAnsi="Cambria Math"/>
                    </w:rPr>
                    <m:t>,</m:t>
                  </m:r>
                  <m:acc>
                    <m:accPr>
                      <m:chr m:val="̃"/>
                      <m:ctrlPr>
                        <w:rPr>
                          <w:rFonts w:ascii="Cambria Math" w:hAnsi="Cambria Math"/>
                        </w:rPr>
                      </m:ctrlPr>
                    </m:accPr>
                    <m:e>
                      <m:r>
                        <m:rPr>
                          <m:sty m:val="b"/>
                        </m:rPr>
                        <w:rPr>
                          <w:rFonts w:ascii="Cambria Math" w:hAnsi="Cambria Math"/>
                        </w:rPr>
                        <m:t>y</m:t>
                      </m:r>
                    </m:e>
                  </m:acc>
                </m:e>
              </m:d>
            </m:e>
          </m:d>
          <m:r>
            <m:rPr>
              <m:sty m:val="p"/>
            </m:rPr>
            <w:rPr>
              <w:rFonts w:ascii="Cambria Math" w:hAnsi="Cambria Math"/>
            </w:rPr>
            <m:t>.</m:t>
          </m:r>
        </m:oMath>
      </m:oMathPara>
    </w:p>
    <w:p w14:paraId="4B9FB69C" w14:textId="77777777">
      <w:r>
        <w:t>A weak normalized temperature-scaled cross-entropy (NT-Xent; equivalently a symmetric cross-view InfoNCE objective) was applied to the 128-dimensional mean atom vectors from the corrupted and clean views.</w:t>
      </w:r>
      <w:r>
        <w:rPr>
          <w:vertAlign w:val="superscript"/>
        </w:rPr>
        <w:t>6,7</w:t>
      </w:r>
      <w:r>
        <w:t xml:space="preserve"> For a batch of </w:t>
      </w:r>
      <m:oMath>
        <m:r>
          <w:rPr>
            <w:rFonts w:ascii="Cambria Math" w:hAnsi="Cambria Math"/>
          </w:rPr>
          <m:t>B</m:t>
        </m:r>
      </m:oMath>
      <w:r>
        <w:t xml:space="preserve"> molecules, let </w:t>
      </w:r>
      <m:oMath>
        <m:sSub>
          <m:sSubPr>
            <m:ctrlPr>
              <w:rPr>
                <w:rFonts w:ascii="Cambria Math" w:hAnsi="Cambria Math"/>
              </w:rPr>
            </m:ctrlPr>
          </m:sSubPr>
          <m:e>
            <m:r>
              <m:rPr>
                <m:sty m:val="b"/>
              </m:rPr>
              <w:rPr>
                <w:rFonts w:ascii="Cambria Math" w:hAnsi="Cambria Math"/>
              </w:rPr>
              <m:t>u</m:t>
            </m:r>
          </m:e>
          <m:sub>
            <m:r>
              <w:rPr>
                <w:rFonts w:ascii="Cambria Math" w:hAnsi="Cambria Math"/>
              </w:rPr>
              <m:t>i</m:t>
            </m:r>
          </m:sub>
        </m:sSub>
      </m:oMath>
      <w:r>
        <w:t xml:space="preserve"> and </w:t>
      </w: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oMath>
      <w:r>
        <w:t xml:space="preserve"> be the L2-normalized mean atom vectors for molecule </w:t>
      </w:r>
      <m:oMath>
        <m:r>
          <w:rPr>
            <w:rFonts w:ascii="Cambria Math" w:hAnsi="Cambria Math"/>
          </w:rPr>
          <m:t>i</m:t>
        </m:r>
      </m:oMath>
      <w:r>
        <w:t xml:space="preserve"> in the two views and let</w:t>
      </w:r>
    </w:p>
    <w:p w14:paraId="492D5C8F" w14:textId="77777777">
      <w:pPr>
        <w:pStyle w:val="BodyText"/>
        <w:keepLines/>
        <w:spacing w:before="100" w:after="10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
                    </m:rPr>
                    <w:rPr>
                      <w:rFonts w:ascii="Cambria Math" w:hAnsi="Cambria Math"/>
                    </w:rPr>
                    <m:t>u</m:t>
                  </m:r>
                </m:e>
                <m:sub>
                  <m:r>
                    <w:rPr>
                      <w:rFonts w:ascii="Cambria Math" w:hAnsi="Cambria Math"/>
                    </w:rPr>
                    <m:t>i</m:t>
                  </m:r>
                </m:sub>
                <m:sup>
                  <m:r>
                    <m:rPr>
                      <m:scr m:val="sans-serif"/>
                      <m:sty m:val="p"/>
                    </m:rPr>
                    <w:rPr>
                      <w:rFonts w:ascii="Cambria Math" w:hAnsi="Cambria Math"/>
                    </w:rPr>
                    <m:t>T</m:t>
                  </m:r>
                </m:sup>
              </m:sSubSup>
              <m:sSub>
                <m:sSubPr>
                  <m:ctrlPr>
                    <w:rPr>
                      <w:rFonts w:ascii="Cambria Math" w:hAnsi="Cambria Math"/>
                    </w:rPr>
                  </m:ctrlPr>
                </m:sSubPr>
                <m:e>
                  <m:r>
                    <m:rPr>
                      <m:sty m:val="b"/>
                    </m:rPr>
                    <w:rPr>
                      <w:rFonts w:ascii="Cambria Math" w:hAnsi="Cambria Math"/>
                    </w:rPr>
                    <m:t>v</m:t>
                  </m:r>
                </m:e>
                <m:sub>
                  <m:r>
                    <w:rPr>
                      <w:rFonts w:ascii="Cambria Math" w:hAnsi="Cambria Math"/>
                    </w:rPr>
                    <m:t>j</m:t>
                  </m:r>
                </m:sub>
              </m:sSub>
            </m:num>
            <m:den>
              <m:r>
                <w:rPr>
                  <w:rFonts w:ascii="Cambria Math" w:hAnsi="Cambria Math"/>
                </w:rPr>
                <m:t>τ</m:t>
              </m:r>
            </m:den>
          </m:f>
          <m:r>
            <m:rPr>
              <m:sty m:val="p"/>
            </m:rPr>
            <w:rPr>
              <w:rFonts w:ascii="Cambria Math" w:hAnsi="Cambria Math"/>
            </w:rPr>
            <m:t>,</m:t>
          </m:r>
          <m:r>
            <w:rPr>
              <w:rFonts w:ascii="Cambria Math" w:hAnsi="Cambria Math"/>
            </w:rPr>
            <m:t>  τ</m:t>
          </m:r>
          <m:r>
            <m:rPr>
              <m:sty m:val="p"/>
            </m:rPr>
            <w:rPr>
              <w:rFonts w:ascii="Cambria Math" w:hAnsi="Cambria Math"/>
            </w:rPr>
            <m:t>=</m:t>
          </m:r>
          <m:r>
            <w:rPr>
              <w:rFonts w:ascii="Cambria Math" w:hAnsi="Cambria Math"/>
            </w:rPr>
            <m:t>0.1</m:t>
          </m:r>
          <m:r>
            <m:rPr>
              <m:sty m:val="p"/>
            </m:rPr>
            <w:rPr>
              <w:rFonts w:ascii="Cambria Math" w:hAnsi="Cambria Math"/>
            </w:rPr>
            <m:t>.</m:t>
          </m:r>
        </m:oMath>
      </m:oMathPara>
    </w:p>
    <w:p w14:paraId="6C44A447" w14:textId="77777777">
      <w:r>
        <w:t>The symmetric contrastive loss was</w:t>
      </w:r>
    </w:p>
    <w:p w14:paraId="205F18D4" w14:textId="77777777">
      <w:pPr>
        <w:pStyle w:val="BodyText"/>
        <w:keepLines/>
        <w:spacing w:before="10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NCE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2B</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B</m:t>
              </m:r>
            </m:sup>
            <m:e>
              <m:d>
                <m:dPr>
                  <m:begChr m:val="["/>
                  <m:endChr m:val="]"/>
                  <m:ctrlPr>
                    <w:rPr>
                      <w:rFonts w:ascii="Cambria Math" w:hAnsi="Cambria Math"/>
                    </w:rPr>
                  </m:ctrlPr>
                </m:dPr>
                <m:e>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den>
                  </m:f>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ji</m:t>
                              </m:r>
                            </m:sub>
                          </m:sSub>
                        </m:e>
                      </m:d>
                    </m:den>
                  </m:f>
                </m:e>
              </m:d>
            </m:e>
          </m:nary>
          <m:r>
            <m:rPr>
              <m:sty m:val="p"/>
            </m:rPr>
            <w:rPr>
              <w:rFonts w:ascii="Cambria Math" w:hAnsi="Cambria Math"/>
            </w:rPr>
            <m:t>.</m:t>
          </m:r>
        </m:oMath>
      </m:oMathPara>
    </w:p>
    <w:p w14:paraId="7B48392E" w14:textId="77777777">
      <w:r>
        <w:t>The production configuration sets the VICReg invariance, variance and covariance loss weights to zero and disables the VICReg projector. No KL-divergence term is present. The internal configuration label masked_graph_vicreg is therefore historical and should not be interpreted as the scientific definition of the final objective.</w:t>
      </w:r>
    </w:p>
    <w:p w14:paraId="6D0E8600" w14:textId="77777777"/>
    <w:p w14:paraId="1CC69472" w14:textId="77777777">
      <w:pPr>
        <w:pStyle w:val="Heading3"/>
      </w:pPr>
      <w:r>
        <w:t>1.3.7. Total pretraining objective</w:t>
      </w:r>
    </w:p>
    <w:p w14:paraId="0939A146" w14:textId="77777777">
      <w:r>
        <w:t>The production loss was</w:t>
      </w:r>
    </w:p>
    <w:p w14:paraId="02ECB554" w14:textId="77777777">
      <w:pPr>
        <w:pStyle w:val="BodyText"/>
        <w:keepLines/>
        <w:spacing w:before="100" w:after="100"/>
        <w:jc w:val="center"/>
      </w:pPr>
      <m:oMathPara>
        <m:oMathParaPr>
          <m:jc m:val="center"/>
        </m:oMathParaPr>
        <m:oMath>
          <m:borderBox>
            <m:borderBoxPr>
              <m:ctrlPr>
                <w:rPr>
                  <w:rFonts w:ascii="Cambria Math" w:hAnsi="Cambria Math"/>
                </w:rPr>
              </m:ctrlPr>
            </m:borderBoxPr>
            <m:e>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m:rPr>
                      <m:nor/>
                    </m:rPr>
                    <m:t>node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edge</m:t>
                  </m:r>
                </m:sub>
              </m:sSub>
              <m:r>
                <m:rPr>
                  <m:sty m:val="p"/>
                </m:rPr>
                <w:rPr>
                  <w:rFonts w:ascii="Cambria Math" w:hAnsi="Cambria Math"/>
                </w:rPr>
                <m:t>+</m:t>
              </m:r>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nor/>
                    </m:rPr>
                    <m:t>exist</m:t>
                  </m:r>
                </m:sub>
              </m:sSub>
              <m:r>
                <m:rPr>
                  <m:sty m:val="p"/>
                </m:rPr>
                <w:rPr>
                  <w:rFonts w:ascii="Cambria Math" w:hAnsi="Cambria Math"/>
                </w:rPr>
                <m:t>+</m:t>
              </m:r>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nor/>
                    </m:rPr>
                    <m:t>desc</m:t>
                  </m:r>
                </m:sub>
              </m:sSub>
              <m:r>
                <m:rPr>
                  <m:sty m:val="p"/>
                </m:rPr>
                <w:rPr>
                  <w:rFonts w:ascii="Cambria Math" w:hAnsi="Cambria Math"/>
                </w:rPr>
                <m:t>+</m:t>
              </m:r>
              <m:r>
                <w:rPr>
                  <w:rFonts w:ascii="Cambria Math" w:hAnsi="Cambria Math"/>
                </w:rPr>
                <m:t>0.01 </m:t>
              </m:r>
              <m:sSub>
                <m:sSubPr>
                  <m:ctrlPr>
                    <w:rPr>
                      <w:rFonts w:ascii="Cambria Math" w:hAnsi="Cambria Math"/>
                    </w:rPr>
                  </m:ctrlPr>
                </m:sSubPr>
                <m:e>
                  <m:r>
                    <m:rPr>
                      <m:scr m:val="script"/>
                      <m:sty m:val="p"/>
                    </m:rPr>
                    <w:rPr>
                      <w:rFonts w:ascii="Cambria Math" w:hAnsi="Cambria Math"/>
                    </w:rPr>
                    <m:t>L</m:t>
                  </m:r>
                </m:e>
                <m:sub>
                  <m:r>
                    <m:rPr>
                      <m:nor/>
                    </m:rPr>
                    <m:t>NCE</m:t>
                  </m:r>
                </m:sub>
              </m:sSub>
            </m:e>
          </m:borderBox>
        </m:oMath>
      </m:oMathPara>
    </w:p>
    <w:p w14:paraId="4DF50226" w14:textId="77777777">
      <w:r>
        <w:t>with node-, edge-feature-, edge-existence-, descriptor- and contrastive-loss weights of 1.0, 1.0, 0.5, 0.5 and 0.01, respectively.</w:t>
      </w:r>
    </w:p>
    <w:p w14:paraId="4B605335" w14:textId="77777777">
      <w:pPr>
        <w:pStyle w:val="Heading3"/>
      </w:pPr>
      <w:r>
        <w:t>1.3.8. Optimization, distributed training and exact-resume semantics</w:t>
      </w:r>
    </w:p>
    <w:p w14:paraId="4964FC35" w14:textId="77777777">
      <w:r>
        <w:t>Production training used PyTorch DistributedDataParallel with NCCL, one process per GPU, on four NVIDIA GH200 GPUs. Shards assigned to different ranks were disjoint. Within each rank, shard order and graph order were deterministically shuffled as a function of training seed, rank, data-cycle number and shard identity. Training batches were variable in molecule count and were terminated when either 32,768 atoms or 2,048 molecular graphs per GPU would be exceeded. The dataset iterator cycled indefinitely through the available training shards; consequently, optimization was defined by a fixed number of optimizer steps rather than by conventional finite epochs.</w:t>
      </w:r>
    </w:p>
    <w:p w14:paraId="422C62EF" w14:textId="77777777">
      <w:pPr>
        <w:pStyle w:val="BodyText"/>
      </w:pPr>
      <w:r>
        <w:t>AdamW</w:t>
      </w:r>
      <w:r>
        <w:rPr>
          <w:vertAlign w:val="superscript"/>
        </w:rPr>
        <w:t>8</w:t>
      </w:r>
      <w:r>
        <w:t xml:space="preserve"> was used with initial learning rate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and weight decay 0.01. Global gradient norm was clipped to 1.0. Automatic mixed precision used bfloat16 on CUDA. Training ran for </w:t>
      </w:r>
      <m:oMath>
        <m:r>
          <w:rPr>
            <w:rFonts w:ascii="Cambria Math" w:hAnsi="Cambria Math"/>
          </w:rPr>
          <m:t>T</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000</m:t>
        </m:r>
      </m:oMath>
      <w:r>
        <w:t xml:space="preserve"> optimizer steps with a 1,000-step linear warm-up followed by cosine decay to </w:t>
      </w:r>
      <m:oMath>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For zero-based scheduler step </w:t>
      </w:r>
      <m:oMath>
        <m:r>
          <w:rPr>
            <w:rFonts w:ascii="Cambria Math" w:hAnsi="Cambria Math"/>
          </w:rPr>
          <m:t>t</m:t>
        </m:r>
      </m:oMath>
      <w:r>
        <w:t xml:space="preserve"> and warm-up length </w:t>
      </w:r>
      <m:oMath>
        <m:r>
          <w:rPr>
            <w:rFonts w:ascii="Cambria Math" w:hAnsi="Cambria Math"/>
          </w:rPr>
          <m:t>W</m:t>
        </m:r>
        <m:r>
          <m:rPr>
            <m:sty m:val="p"/>
          </m:rPr>
          <w:rPr>
            <w:rFonts w:ascii="Cambria Math" w:hAnsi="Cambria Math"/>
          </w:rPr>
          <m:t>=</m:t>
        </m:r>
        <m:r>
          <w:rPr>
            <w:rFonts w:ascii="Cambria Math" w:hAnsi="Cambria Math"/>
          </w:rPr>
          <m:t>1000</m:t>
        </m:r>
      </m:oMath>
      <w:r>
        <w:t>, the multiplier implemented by the scheduler was</w:t>
      </w:r>
    </w:p>
    <w:p w14:paraId="3BDC30F5" w14:textId="77777777">
      <w:pPr>
        <w:pStyle w:val="BodyText"/>
        <w:keepLines/>
        <w:spacing w:before="100" w:after="100"/>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t</m:t>
                  </m:r>
                </m:sub>
              </m:sSub>
            </m:num>
            <m:den>
              <m:sSub>
                <m:sSubPr>
                  <m:ctrlPr>
                    <w:rPr>
                      <w:rFonts w:ascii="Cambria Math" w:hAnsi="Cambria Math"/>
                    </w:rPr>
                  </m:ctrlPr>
                </m:sSubPr>
                <m:e>
                  <m:r>
                    <w:rPr>
                      <w:rFonts w:ascii="Cambria Math" w:hAnsi="Cambria Math"/>
                    </w:rPr>
                    <m:t>η</m:t>
                  </m:r>
                </m:e>
                <m:sub>
                  <m:r>
                    <m:rPr>
                      <m:sty m:val="p"/>
                    </m:rPr>
                    <w:rPr>
                      <w:rFonts w:ascii="Cambria Math" w:hAnsi="Cambria Math"/>
                    </w:rPr>
                    <m:t>max</m:t>
                  </m:r>
                </m:sub>
              </m:sSub>
            </m:den>
          </m:f>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max</m:t>
                    </m:r>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W</m:t>
                            </m:r>
                          </m:den>
                        </m:f>
                      </m:e>
                    </m:d>
                    <m:r>
                      <m:rPr>
                        <m:sty m:val="p"/>
                      </m:rPr>
                      <w:rPr>
                        <w:rFonts w:ascii="Cambria Math" w:hAnsi="Cambria Math"/>
                      </w:rPr>
                      <m:t>,</m:t>
                    </m:r>
                  </m:e>
                  <m:e>
                    <m:r>
                      <w:rPr>
                        <w:rFonts w:ascii="Cambria Math" w:hAnsi="Cambria Math"/>
                      </w:rPr>
                      <m:t>t</m:t>
                    </m:r>
                    <m:r>
                      <m:rPr>
                        <m:sty m:val="p"/>
                      </m:rPr>
                      <w:rPr>
                        <w:rFonts w:ascii="Cambria Math" w:hAnsi="Cambria Math"/>
                      </w:rPr>
                      <m:t>&lt;</m:t>
                    </m:r>
                    <m:r>
                      <w:rPr>
                        <w:rFonts w:ascii="Cambria Math" w:hAnsi="Cambria Math"/>
                      </w:rPr>
                      <m:t>W</m:t>
                    </m:r>
                    <m:r>
                      <m:rPr>
                        <m:sty m:val="p"/>
                      </m:rPr>
                      <w:rPr>
                        <w:rFonts w:ascii="Cambria Math" w:hAnsi="Cambria Math"/>
                      </w:rPr>
                      <m:t>,</m:t>
                    </m:r>
                  </m:e>
                </m:mr>
                <m:mr>
                  <m:e>
                    <m:r>
                      <w:rPr>
                        <w:rFonts w:ascii="Cambria Math" w:hAnsi="Cambria Math"/>
                      </w:rPr>
                      <m:t>ρ</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π </m:t>
                            </m:r>
                            <m:sSub>
                              <m:sSubPr>
                                <m:ctrlPr>
                                  <w:rPr>
                                    <w:rFonts w:ascii="Cambria Math" w:hAnsi="Cambria Math"/>
                                  </w:rPr>
                                </m:ctrlPr>
                              </m:sSubPr>
                              <m:e>
                                <m:r>
                                  <w:rPr>
                                    <w:rFonts w:ascii="Cambria Math" w:hAnsi="Cambria Math"/>
                                  </w:rPr>
                                  <m:t>p</m:t>
                                </m:r>
                              </m:e>
                              <m:sub>
                                <m:r>
                                  <w:rPr>
                                    <w:rFonts w:ascii="Cambria Math" w:hAnsi="Cambria Math"/>
                                  </w:rPr>
                                  <m:t>t</m:t>
                                </m:r>
                              </m:sub>
                            </m:sSub>
                          </m:e>
                        </m:d>
                      </m:num>
                      <m:den>
                        <m:r>
                          <w:rPr>
                            <w:rFonts w:ascii="Cambria Math" w:hAnsi="Cambria Math"/>
                          </w:rPr>
                          <m:t>2</m:t>
                        </m:r>
                      </m:den>
                    </m:f>
                    <m:r>
                      <m:rPr>
                        <m:sty m:val="p"/>
                      </m:rPr>
                      <w:rPr>
                        <w:rFonts w:ascii="Cambria Math" w:hAnsi="Cambria Math"/>
                      </w:rPr>
                      <m:t>,</m:t>
                    </m:r>
                  </m:e>
                  <m:e>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e>
                </m:mr>
              </m:m>
            </m:e>
          </m:d>
        </m:oMath>
      </m:oMathPara>
    </w:p>
    <w:p w14:paraId="094F0172" w14:textId="77777777">
      <w:r>
        <w:t xml:space="preserve">where </w:t>
      </w:r>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0.01</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=min{</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W</m:t>
            </m:r>
          </m:e>
        </m:d>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W</m:t>
            </m:r>
          </m:e>
        </m:d>
        <m:r>
          <m:rPr>
            <m:sty m:val="p"/>
          </m:rPr>
          <w:rPr>
            <w:rFonts w:ascii="Cambria Math" w:hAnsi="Cambria Math"/>
          </w:rPr>
          <m:t>}</m:t>
        </m:r>
      </m:oMath>
      <w:r>
        <w:t>. The primary training seed was 42. A fully independent representation-training replication used seed 43.</w:t>
      </w:r>
    </w:p>
    <w:p w14:paraId="36F72F1B" w14:textId="77777777">
      <w:pPr>
        <w:pStyle w:val="BodyText"/>
      </w:pPr>
      <w:r>
        <w:t>Rolling checkpoints were written every 500 steps and immutable retained milestones every 2,500 steps. Representation validation was also scheduled every 2,500 steps, with an upper bound of 50,000 validation molecules for online evaluation. Checkpoints stored model, optimizer and learning-rate-scheduler state, automatic-mixed-precision state, random-number-generator state and rank-specific data cursors. Resume validation compared the immutable data/configuration identities and training-plan hash before state restoration. This design makes a stopped and resumed training run follow the same serialized data cursor and stochastic-seed schedule, although bitwise equivalence of all CUDA reductions is not guaranteed across hardware/runtime changes.</w:t>
      </w:r>
    </w:p>
    <w:p w14:paraId="43D6FD98" w14:textId="77777777">
      <w:pPr>
        <w:pStyle w:val="TableCaption"/>
        <w:keepNext/>
        <w:spacing w:before="140" w:after="60"/>
      </w:pPr>
      <w:r>
        <w:rPr>
          <w:b/>
          <w:bCs/>
          <w:sz w:val="19"/>
        </w:rPr>
        <w:t>Table 4 | Production model and training hyperparameters.</w:t>
      </w:r>
    </w:p>
    <w:tbl>
      <w:tblPr>
        <w:tblStyle w:val="TableGrid"/>
        <w:tblW w:w="0" w:type="auto"/>
        <w:jc w:val="center"/>
        <w:tblLayout w:type="fixed"/>
        <w:tblLook w:val="04A0" w:firstRow="1" w:lastRow="0" w:firstColumn="1" w:lastColumn="0" w:noHBand="0" w:noVBand="1"/>
      </w:tblPr>
      <w:tblGrid>
        <w:gridCol w:w="4535"/>
        <w:gridCol w:w="4535"/>
      </w:tblGrid>
      <w:tr w14:paraId="2E20743A" w14:textId="77777777">
        <w:trPr>
          <w:cantSplit/>
          <w:tblHeader/>
          <w:jc w:val="center"/>
        </w:trPr>
        <w:tc>
          <w:tcPr>
            <w:tcW w:w="4535" w:type="dxa"/>
            <w:shd w:val="clear" w:color="auto" w:fill="EDEDED"/>
            <w:tcMar>
              <w:top w:w="65" w:type="dxa"/>
              <w:left w:w="75" w:type="dxa"/>
              <w:bottom w:w="65" w:type="dxa"/>
              <w:right w:w="75" w:type="dxa"/>
            </w:tcMar>
            <w:vAlign w:val="center"/>
          </w:tcPr>
          <w:p w14:paraId="29CB8171" w14:textId="77777777">
            <w:pPr>
              <w:keepNext/>
              <w:spacing w:after="0" w:line="240" w:lineRule="auto"/>
            </w:pPr>
            <w:r>
              <w:rPr>
                <w:b/>
                <w:sz w:val="17"/>
              </w:rPr>
              <w:t>Parameter</w:t>
            </w:r>
          </w:p>
        </w:tc>
        <w:tc>
          <w:tcPr>
            <w:tcW w:w="4535" w:type="dxa"/>
            <w:shd w:val="clear" w:color="auto" w:fill="EDEDED"/>
            <w:tcMar>
              <w:top w:w="65" w:type="dxa"/>
              <w:left w:w="75" w:type="dxa"/>
              <w:bottom w:w="65" w:type="dxa"/>
              <w:right w:w="75" w:type="dxa"/>
            </w:tcMar>
            <w:vAlign w:val="center"/>
          </w:tcPr>
          <w:p w14:paraId="7F31A1FD" w14:textId="77777777">
            <w:pPr>
              <w:keepNext/>
              <w:spacing w:after="0" w:line="240" w:lineRule="auto"/>
            </w:pPr>
            <w:r>
              <w:rPr>
                <w:b/>
                <w:sz w:val="17"/>
              </w:rPr>
              <w:t>Value</w:t>
            </w:r>
          </w:p>
        </w:tc>
      </w:tr>
      <w:tr w14:paraId="03FC8E70" w14:textId="77777777">
        <w:trPr>
          <w:cantSplit/>
          <w:jc w:val="center"/>
        </w:trPr>
        <w:tc>
          <w:tcPr>
            <w:tcW w:w="4535" w:type="dxa"/>
            <w:tcMar>
              <w:top w:w="65" w:type="dxa"/>
              <w:left w:w="75" w:type="dxa"/>
              <w:bottom w:w="65" w:type="dxa"/>
              <w:right w:w="75" w:type="dxa"/>
            </w:tcMar>
            <w:vAlign w:val="center"/>
          </w:tcPr>
          <w:p w14:paraId="2E179EBA" w14:textId="77777777">
            <w:pPr>
              <w:keepNext/>
              <w:spacing w:after="0" w:line="240" w:lineRule="auto"/>
            </w:pPr>
            <w:r>
              <w:rPr>
                <w:sz w:val="17"/>
              </w:rPr>
              <w:t>Residual GINE blocks</w:t>
            </w:r>
          </w:p>
        </w:tc>
        <w:tc>
          <w:tcPr>
            <w:tcW w:w="4535" w:type="dxa"/>
            <w:tcMar>
              <w:top w:w="65" w:type="dxa"/>
              <w:left w:w="75" w:type="dxa"/>
              <w:bottom w:w="65" w:type="dxa"/>
              <w:right w:w="75" w:type="dxa"/>
            </w:tcMar>
            <w:vAlign w:val="center"/>
          </w:tcPr>
          <w:p w14:paraId="5B310E40" w14:textId="77777777">
            <w:pPr>
              <w:keepNext/>
              <w:spacing w:after="0" w:line="240" w:lineRule="auto"/>
            </w:pPr>
            <w:r>
              <w:rPr>
                <w:sz w:val="17"/>
              </w:rPr>
              <w:t>4</w:t>
            </w:r>
          </w:p>
        </w:tc>
      </w:tr>
      <w:tr w14:paraId="62D18AEB" w14:textId="77777777">
        <w:trPr>
          <w:cantSplit/>
          <w:jc w:val="center"/>
        </w:trPr>
        <w:tc>
          <w:tcPr>
            <w:tcW w:w="4535" w:type="dxa"/>
            <w:tcMar>
              <w:top w:w="65" w:type="dxa"/>
              <w:left w:w="75" w:type="dxa"/>
              <w:bottom w:w="65" w:type="dxa"/>
              <w:right w:w="75" w:type="dxa"/>
            </w:tcMar>
            <w:vAlign w:val="center"/>
          </w:tcPr>
          <w:p w14:paraId="0AF1025B" w14:textId="77777777">
            <w:pPr>
              <w:spacing w:after="0" w:line="240" w:lineRule="auto"/>
            </w:pPr>
            <w:r>
              <w:rPr>
                <w:sz w:val="17"/>
              </w:rPr>
              <w:t>Hidden width</w:t>
            </w:r>
          </w:p>
        </w:tc>
        <w:tc>
          <w:tcPr>
            <w:tcW w:w="4535" w:type="dxa"/>
            <w:tcMar>
              <w:top w:w="65" w:type="dxa"/>
              <w:left w:w="75" w:type="dxa"/>
              <w:bottom w:w="65" w:type="dxa"/>
              <w:right w:w="75" w:type="dxa"/>
            </w:tcMar>
            <w:vAlign w:val="center"/>
          </w:tcPr>
          <w:p w14:paraId="5AF42237" w14:textId="77777777">
            <w:pPr>
              <w:spacing w:after="0" w:line="240" w:lineRule="auto"/>
            </w:pPr>
            <w:r>
              <w:rPr>
                <w:sz w:val="17"/>
              </w:rPr>
              <w:t>256</w:t>
            </w:r>
          </w:p>
        </w:tc>
      </w:tr>
      <w:tr w14:paraId="5E2378A0" w14:textId="77777777">
        <w:trPr>
          <w:cantSplit/>
          <w:jc w:val="center"/>
        </w:trPr>
        <w:tc>
          <w:tcPr>
            <w:tcW w:w="4535" w:type="dxa"/>
            <w:tcMar>
              <w:top w:w="65" w:type="dxa"/>
              <w:left w:w="75" w:type="dxa"/>
              <w:bottom w:w="65" w:type="dxa"/>
              <w:right w:w="75" w:type="dxa"/>
            </w:tcMar>
            <w:vAlign w:val="center"/>
          </w:tcPr>
          <w:p w14:paraId="1BCB4BA4" w14:textId="77777777">
            <w:pPr>
              <w:spacing w:after="0" w:line="240" w:lineRule="auto"/>
            </w:pPr>
            <w:r>
              <w:rPr>
                <w:sz w:val="17"/>
              </w:rPr>
              <w:t>Atom latent width (node_z)</w:t>
            </w:r>
          </w:p>
        </w:tc>
        <w:tc>
          <w:tcPr>
            <w:tcW w:w="4535" w:type="dxa"/>
            <w:tcMar>
              <w:top w:w="65" w:type="dxa"/>
              <w:left w:w="75" w:type="dxa"/>
              <w:bottom w:w="65" w:type="dxa"/>
              <w:right w:w="75" w:type="dxa"/>
            </w:tcMar>
            <w:vAlign w:val="center"/>
          </w:tcPr>
          <w:p w14:paraId="61218621" w14:textId="77777777">
            <w:pPr>
              <w:spacing w:after="0" w:line="240" w:lineRule="auto"/>
            </w:pPr>
            <w:r>
              <w:rPr>
                <w:sz w:val="17"/>
              </w:rPr>
              <w:t>128</w:t>
            </w:r>
          </w:p>
        </w:tc>
      </w:tr>
      <w:tr w14:paraId="09033980" w14:textId="77777777">
        <w:trPr>
          <w:cantSplit/>
          <w:jc w:val="center"/>
        </w:trPr>
        <w:tc>
          <w:tcPr>
            <w:tcW w:w="4535" w:type="dxa"/>
            <w:tcMar>
              <w:top w:w="65" w:type="dxa"/>
              <w:left w:w="75" w:type="dxa"/>
              <w:bottom w:w="65" w:type="dxa"/>
              <w:right w:w="75" w:type="dxa"/>
            </w:tcMar>
            <w:vAlign w:val="center"/>
          </w:tcPr>
          <w:p w14:paraId="11D78DC3" w14:textId="77777777">
            <w:pPr>
              <w:spacing w:after="0" w:line="240" w:lineRule="auto"/>
            </w:pPr>
            <w:r>
              <w:rPr>
                <w:sz w:val="17"/>
              </w:rPr>
              <w:t>Graph latent width (graph_z)</w:t>
            </w:r>
          </w:p>
        </w:tc>
        <w:tc>
          <w:tcPr>
            <w:tcW w:w="4535" w:type="dxa"/>
            <w:tcMar>
              <w:top w:w="65" w:type="dxa"/>
              <w:left w:w="75" w:type="dxa"/>
              <w:bottom w:w="65" w:type="dxa"/>
              <w:right w:w="75" w:type="dxa"/>
            </w:tcMar>
            <w:vAlign w:val="center"/>
          </w:tcPr>
          <w:p w14:paraId="15661A14" w14:textId="77777777">
            <w:pPr>
              <w:spacing w:after="0" w:line="240" w:lineRule="auto"/>
            </w:pPr>
            <w:r>
              <w:rPr>
                <w:sz w:val="17"/>
              </w:rPr>
              <w:t>256</w:t>
            </w:r>
          </w:p>
        </w:tc>
      </w:tr>
      <w:tr w14:paraId="3A1E2B7A" w14:textId="77777777">
        <w:trPr>
          <w:cantSplit/>
          <w:jc w:val="center"/>
        </w:trPr>
        <w:tc>
          <w:tcPr>
            <w:tcW w:w="4535" w:type="dxa"/>
            <w:tcMar>
              <w:top w:w="65" w:type="dxa"/>
              <w:left w:w="75" w:type="dxa"/>
              <w:bottom w:w="65" w:type="dxa"/>
              <w:right w:w="75" w:type="dxa"/>
            </w:tcMar>
            <w:vAlign w:val="center"/>
          </w:tcPr>
          <w:p w14:paraId="5BC19ADF" w14:textId="77777777">
            <w:pPr>
              <w:spacing w:after="0" w:line="240" w:lineRule="auto"/>
            </w:pPr>
            <w:r>
              <w:rPr>
                <w:sz w:val="17"/>
              </w:rPr>
              <w:t>Dropout</w:t>
            </w:r>
          </w:p>
        </w:tc>
        <w:tc>
          <w:tcPr>
            <w:tcW w:w="4535" w:type="dxa"/>
            <w:tcMar>
              <w:top w:w="65" w:type="dxa"/>
              <w:left w:w="75" w:type="dxa"/>
              <w:bottom w:w="65" w:type="dxa"/>
              <w:right w:w="75" w:type="dxa"/>
            </w:tcMar>
            <w:vAlign w:val="center"/>
          </w:tcPr>
          <w:p w14:paraId="2D5F3FC5" w14:textId="77777777">
            <w:pPr>
              <w:spacing w:after="0" w:line="240" w:lineRule="auto"/>
            </w:pPr>
            <w:r>
              <w:rPr>
                <w:sz w:val="17"/>
              </w:rPr>
              <w:t>0.10</w:t>
            </w:r>
          </w:p>
        </w:tc>
      </w:tr>
      <w:tr w14:paraId="4725E996" w14:textId="77777777">
        <w:trPr>
          <w:cantSplit/>
          <w:jc w:val="center"/>
        </w:trPr>
        <w:tc>
          <w:tcPr>
            <w:tcW w:w="4535" w:type="dxa"/>
            <w:tcMar>
              <w:top w:w="65" w:type="dxa"/>
              <w:left w:w="75" w:type="dxa"/>
              <w:bottom w:w="65" w:type="dxa"/>
              <w:right w:w="75" w:type="dxa"/>
            </w:tcMar>
            <w:vAlign w:val="center"/>
          </w:tcPr>
          <w:p w14:paraId="3276C907" w14:textId="77777777">
            <w:pPr>
              <w:spacing w:after="0" w:line="240" w:lineRule="auto"/>
            </w:pPr>
            <w:r>
              <w:rPr>
                <w:sz w:val="17"/>
              </w:rPr>
              <w:t>Atom-mask probability</w:t>
            </w:r>
          </w:p>
        </w:tc>
        <w:tc>
          <w:tcPr>
            <w:tcW w:w="4535" w:type="dxa"/>
            <w:tcMar>
              <w:top w:w="65" w:type="dxa"/>
              <w:left w:w="75" w:type="dxa"/>
              <w:bottom w:w="65" w:type="dxa"/>
              <w:right w:w="75" w:type="dxa"/>
            </w:tcMar>
            <w:vAlign w:val="center"/>
          </w:tcPr>
          <w:p w14:paraId="120AE5FE" w14:textId="77777777">
            <w:pPr>
              <w:spacing w:after="0" w:line="240" w:lineRule="auto"/>
            </w:pPr>
            <w:r>
              <w:rPr>
                <w:sz w:val="17"/>
              </w:rPr>
              <w:t>0.30</w:t>
            </w:r>
          </w:p>
        </w:tc>
      </w:tr>
      <w:tr w14:paraId="2FF65524" w14:textId="77777777">
        <w:trPr>
          <w:cantSplit/>
          <w:jc w:val="center"/>
        </w:trPr>
        <w:tc>
          <w:tcPr>
            <w:tcW w:w="4535" w:type="dxa"/>
            <w:tcMar>
              <w:top w:w="65" w:type="dxa"/>
              <w:left w:w="75" w:type="dxa"/>
              <w:bottom w:w="65" w:type="dxa"/>
              <w:right w:w="75" w:type="dxa"/>
            </w:tcMar>
            <w:vAlign w:val="center"/>
          </w:tcPr>
          <w:p w14:paraId="147EEEB2" w14:textId="77777777">
            <w:pPr>
              <w:spacing w:after="0" w:line="240" w:lineRule="auto"/>
            </w:pPr>
            <w:r>
              <w:rPr>
                <w:sz w:val="17"/>
              </w:rPr>
              <w:lastRenderedPageBreak/>
              <w:t>Bond-feature-mask probability</w:t>
            </w:r>
          </w:p>
        </w:tc>
        <w:tc>
          <w:tcPr>
            <w:tcW w:w="4535" w:type="dxa"/>
            <w:tcMar>
              <w:top w:w="65" w:type="dxa"/>
              <w:left w:w="75" w:type="dxa"/>
              <w:bottom w:w="65" w:type="dxa"/>
              <w:right w:w="75" w:type="dxa"/>
            </w:tcMar>
            <w:vAlign w:val="center"/>
          </w:tcPr>
          <w:p w14:paraId="6497D5EA" w14:textId="77777777">
            <w:pPr>
              <w:spacing w:after="0" w:line="240" w:lineRule="auto"/>
            </w:pPr>
            <w:r>
              <w:rPr>
                <w:sz w:val="17"/>
              </w:rPr>
              <w:t>0.30</w:t>
            </w:r>
          </w:p>
        </w:tc>
      </w:tr>
      <w:tr w14:paraId="7A1017FA" w14:textId="77777777">
        <w:trPr>
          <w:cantSplit/>
          <w:jc w:val="center"/>
        </w:trPr>
        <w:tc>
          <w:tcPr>
            <w:tcW w:w="4535" w:type="dxa"/>
            <w:tcMar>
              <w:top w:w="65" w:type="dxa"/>
              <w:left w:w="75" w:type="dxa"/>
              <w:bottom w:w="65" w:type="dxa"/>
              <w:right w:w="75" w:type="dxa"/>
            </w:tcMar>
            <w:vAlign w:val="center"/>
          </w:tcPr>
          <w:p w14:paraId="182D0578" w14:textId="77777777">
            <w:pPr>
              <w:spacing w:after="0" w:line="240" w:lineRule="auto"/>
            </w:pPr>
            <w:r>
              <w:rPr>
                <w:sz w:val="17"/>
              </w:rPr>
              <w:t>Bond-dropout probability</w:t>
            </w:r>
          </w:p>
        </w:tc>
        <w:tc>
          <w:tcPr>
            <w:tcW w:w="4535" w:type="dxa"/>
            <w:tcMar>
              <w:top w:w="65" w:type="dxa"/>
              <w:left w:w="75" w:type="dxa"/>
              <w:bottom w:w="65" w:type="dxa"/>
              <w:right w:w="75" w:type="dxa"/>
            </w:tcMar>
            <w:vAlign w:val="center"/>
          </w:tcPr>
          <w:p w14:paraId="123799B3" w14:textId="77777777">
            <w:pPr>
              <w:spacing w:after="0" w:line="240" w:lineRule="auto"/>
            </w:pPr>
            <w:r>
              <w:rPr>
                <w:sz w:val="17"/>
              </w:rPr>
              <w:t>0.15</w:t>
            </w:r>
          </w:p>
        </w:tc>
      </w:tr>
      <w:tr w14:paraId="6A4DB375" w14:textId="77777777">
        <w:trPr>
          <w:cantSplit/>
          <w:jc w:val="center"/>
        </w:trPr>
        <w:tc>
          <w:tcPr>
            <w:tcW w:w="4535" w:type="dxa"/>
            <w:tcMar>
              <w:top w:w="65" w:type="dxa"/>
              <w:left w:w="75" w:type="dxa"/>
              <w:bottom w:w="65" w:type="dxa"/>
              <w:right w:w="75" w:type="dxa"/>
            </w:tcMar>
            <w:vAlign w:val="center"/>
          </w:tcPr>
          <w:p w14:paraId="5674DB9D" w14:textId="77777777">
            <w:pPr>
              <w:spacing w:after="0" w:line="240" w:lineRule="auto"/>
            </w:pPr>
            <w:r>
              <w:rPr>
                <w:sz w:val="17"/>
              </w:rPr>
              <w:t>Easy-negative ratio</w:t>
            </w:r>
          </w:p>
        </w:tc>
        <w:tc>
          <w:tcPr>
            <w:tcW w:w="4535" w:type="dxa"/>
            <w:tcMar>
              <w:top w:w="65" w:type="dxa"/>
              <w:left w:w="75" w:type="dxa"/>
              <w:bottom w:w="65" w:type="dxa"/>
              <w:right w:w="75" w:type="dxa"/>
            </w:tcMar>
            <w:vAlign w:val="center"/>
          </w:tcPr>
          <w:p w14:paraId="5C19F15F" w14:textId="77777777">
            <w:pPr>
              <w:spacing w:after="0" w:line="240" w:lineRule="auto"/>
            </w:pPr>
            <w:r>
              <w:rPr>
                <w:sz w:val="17"/>
              </w:rPr>
              <w:t>1.0 per true bond</w:t>
            </w:r>
          </w:p>
        </w:tc>
      </w:tr>
      <w:tr w14:paraId="319517F4" w14:textId="77777777">
        <w:trPr>
          <w:cantSplit/>
          <w:jc w:val="center"/>
        </w:trPr>
        <w:tc>
          <w:tcPr>
            <w:tcW w:w="4535" w:type="dxa"/>
            <w:tcMar>
              <w:top w:w="65" w:type="dxa"/>
              <w:left w:w="75" w:type="dxa"/>
              <w:bottom w:w="65" w:type="dxa"/>
              <w:right w:w="75" w:type="dxa"/>
            </w:tcMar>
            <w:vAlign w:val="center"/>
          </w:tcPr>
          <w:p w14:paraId="41EA8990" w14:textId="77777777">
            <w:pPr>
              <w:spacing w:after="0" w:line="240" w:lineRule="auto"/>
            </w:pPr>
            <w:r>
              <w:rPr>
                <w:sz w:val="17"/>
              </w:rPr>
              <w:t>Hard-negative retained ratio</w:t>
            </w:r>
          </w:p>
        </w:tc>
        <w:tc>
          <w:tcPr>
            <w:tcW w:w="4535" w:type="dxa"/>
            <w:tcMar>
              <w:top w:w="65" w:type="dxa"/>
              <w:left w:w="75" w:type="dxa"/>
              <w:bottom w:w="65" w:type="dxa"/>
              <w:right w:w="75" w:type="dxa"/>
            </w:tcMar>
            <w:vAlign w:val="center"/>
          </w:tcPr>
          <w:p w14:paraId="5DAC2F07" w14:textId="77777777">
            <w:pPr>
              <w:spacing w:after="0" w:line="240" w:lineRule="auto"/>
            </w:pPr>
            <w:r>
              <w:rPr>
                <w:sz w:val="17"/>
              </w:rPr>
              <w:t>1.0 per true bond</w:t>
            </w:r>
          </w:p>
        </w:tc>
      </w:tr>
      <w:tr w14:paraId="16507D3F" w14:textId="77777777">
        <w:trPr>
          <w:cantSplit/>
          <w:jc w:val="center"/>
        </w:trPr>
        <w:tc>
          <w:tcPr>
            <w:tcW w:w="4535" w:type="dxa"/>
            <w:tcMar>
              <w:top w:w="65" w:type="dxa"/>
              <w:left w:w="75" w:type="dxa"/>
              <w:bottom w:w="65" w:type="dxa"/>
              <w:right w:w="75" w:type="dxa"/>
            </w:tcMar>
            <w:vAlign w:val="center"/>
          </w:tcPr>
          <w:p w14:paraId="3FC4C182" w14:textId="77777777">
            <w:pPr>
              <w:spacing w:after="0" w:line="240" w:lineRule="auto"/>
            </w:pPr>
            <w:r>
              <w:rPr>
                <w:sz w:val="17"/>
              </w:rPr>
              <w:t>Hard-negative pool ratio</w:t>
            </w:r>
          </w:p>
        </w:tc>
        <w:tc>
          <w:tcPr>
            <w:tcW w:w="4535" w:type="dxa"/>
            <w:tcMar>
              <w:top w:w="65" w:type="dxa"/>
              <w:left w:w="75" w:type="dxa"/>
              <w:bottom w:w="65" w:type="dxa"/>
              <w:right w:w="75" w:type="dxa"/>
            </w:tcMar>
            <w:vAlign w:val="center"/>
          </w:tcPr>
          <w:p w14:paraId="7A407835" w14:textId="77777777">
            <w:pPr>
              <w:spacing w:after="0" w:line="240" w:lineRule="auto"/>
            </w:pPr>
            <w:r>
              <w:rPr>
                <w:sz w:val="17"/>
              </w:rPr>
              <w:t>5.0 per true bond</w:t>
            </w:r>
          </w:p>
        </w:tc>
      </w:tr>
      <w:tr w14:paraId="5EFB41D5" w14:textId="77777777">
        <w:trPr>
          <w:cantSplit/>
          <w:jc w:val="center"/>
        </w:trPr>
        <w:tc>
          <w:tcPr>
            <w:tcW w:w="4535" w:type="dxa"/>
            <w:tcMar>
              <w:top w:w="65" w:type="dxa"/>
              <w:left w:w="75" w:type="dxa"/>
              <w:bottom w:w="65" w:type="dxa"/>
              <w:right w:w="75" w:type="dxa"/>
            </w:tcMar>
            <w:vAlign w:val="center"/>
          </w:tcPr>
          <w:p w14:paraId="28E19442" w14:textId="77777777">
            <w:pPr>
              <w:spacing w:after="0" w:line="240" w:lineRule="auto"/>
            </w:pPr>
            <w:r>
              <w:rPr>
                <w:sz w:val="17"/>
              </w:rPr>
              <w:t>Optimizer</w:t>
            </w:r>
          </w:p>
        </w:tc>
        <w:tc>
          <w:tcPr>
            <w:tcW w:w="4535" w:type="dxa"/>
            <w:tcMar>
              <w:top w:w="65" w:type="dxa"/>
              <w:left w:w="75" w:type="dxa"/>
              <w:bottom w:w="65" w:type="dxa"/>
              <w:right w:w="75" w:type="dxa"/>
            </w:tcMar>
            <w:vAlign w:val="center"/>
          </w:tcPr>
          <w:p w14:paraId="71016E8E" w14:textId="77777777">
            <w:pPr>
              <w:spacing w:after="0" w:line="240" w:lineRule="auto"/>
            </w:pPr>
            <w:r>
              <w:rPr>
                <w:sz w:val="17"/>
              </w:rPr>
              <w:t>AdamW</w:t>
            </w:r>
          </w:p>
        </w:tc>
      </w:tr>
      <w:tr w14:paraId="7F389562" w14:textId="77777777">
        <w:trPr>
          <w:cantSplit/>
          <w:jc w:val="center"/>
        </w:trPr>
        <w:tc>
          <w:tcPr>
            <w:tcW w:w="4535" w:type="dxa"/>
            <w:tcMar>
              <w:top w:w="65" w:type="dxa"/>
              <w:left w:w="75" w:type="dxa"/>
              <w:bottom w:w="65" w:type="dxa"/>
              <w:right w:w="75" w:type="dxa"/>
            </w:tcMar>
            <w:vAlign w:val="center"/>
          </w:tcPr>
          <w:p w14:paraId="68197925" w14:textId="77777777">
            <w:pPr>
              <w:spacing w:after="0" w:line="240" w:lineRule="auto"/>
            </w:pPr>
            <w:r>
              <w:rPr>
                <w:sz w:val="17"/>
              </w:rPr>
              <w:t>Initial / minimum learning rate</w:t>
            </w:r>
          </w:p>
        </w:tc>
        <w:tc>
          <w:tcPr>
            <w:tcW w:w="4535" w:type="dxa"/>
            <w:tcMar>
              <w:top w:w="65" w:type="dxa"/>
              <w:left w:w="75" w:type="dxa"/>
              <w:bottom w:w="65" w:type="dxa"/>
              <w:right w:w="75" w:type="dxa"/>
            </w:tcMar>
            <w:vAlign w:val="center"/>
          </w:tcPr>
          <w:p w14:paraId="34496871" w14:textId="77777777">
            <w:pPr>
              <w:spacing w:after="0" w:line="240" w:lineRule="auto"/>
            </w:pPr>
            <w:r>
              <w:rPr>
                <w:sz w:val="17"/>
              </w:rPr>
              <w:t>3 × 10⁻⁴ / 3 × 10⁻⁶</w:t>
            </w:r>
          </w:p>
        </w:tc>
      </w:tr>
      <w:tr w14:paraId="654EBBF5" w14:textId="77777777">
        <w:trPr>
          <w:cantSplit/>
          <w:jc w:val="center"/>
        </w:trPr>
        <w:tc>
          <w:tcPr>
            <w:tcW w:w="4535" w:type="dxa"/>
            <w:tcMar>
              <w:top w:w="65" w:type="dxa"/>
              <w:left w:w="75" w:type="dxa"/>
              <w:bottom w:w="65" w:type="dxa"/>
              <w:right w:w="75" w:type="dxa"/>
            </w:tcMar>
            <w:vAlign w:val="center"/>
          </w:tcPr>
          <w:p w14:paraId="38C7C4BE" w14:textId="77777777">
            <w:pPr>
              <w:spacing w:after="0" w:line="240" w:lineRule="auto"/>
            </w:pPr>
            <w:r>
              <w:rPr>
                <w:sz w:val="17"/>
              </w:rPr>
              <w:t>Weight decay</w:t>
            </w:r>
          </w:p>
        </w:tc>
        <w:tc>
          <w:tcPr>
            <w:tcW w:w="4535" w:type="dxa"/>
            <w:tcMar>
              <w:top w:w="65" w:type="dxa"/>
              <w:left w:w="75" w:type="dxa"/>
              <w:bottom w:w="65" w:type="dxa"/>
              <w:right w:w="75" w:type="dxa"/>
            </w:tcMar>
            <w:vAlign w:val="center"/>
          </w:tcPr>
          <w:p w14:paraId="62D3757A" w14:textId="77777777">
            <w:pPr>
              <w:spacing w:after="0" w:line="240" w:lineRule="auto"/>
            </w:pPr>
            <w:r>
              <w:rPr>
                <w:sz w:val="17"/>
              </w:rPr>
              <w:t>0.01</w:t>
            </w:r>
          </w:p>
        </w:tc>
      </w:tr>
      <w:tr w14:paraId="6AA52684" w14:textId="77777777">
        <w:trPr>
          <w:cantSplit/>
          <w:jc w:val="center"/>
        </w:trPr>
        <w:tc>
          <w:tcPr>
            <w:tcW w:w="4535" w:type="dxa"/>
            <w:tcMar>
              <w:top w:w="65" w:type="dxa"/>
              <w:left w:w="75" w:type="dxa"/>
              <w:bottom w:w="65" w:type="dxa"/>
              <w:right w:w="75" w:type="dxa"/>
            </w:tcMar>
            <w:vAlign w:val="center"/>
          </w:tcPr>
          <w:p w14:paraId="188DA2C3" w14:textId="77777777">
            <w:pPr>
              <w:spacing w:after="0" w:line="240" w:lineRule="auto"/>
            </w:pPr>
            <w:r>
              <w:rPr>
                <w:sz w:val="17"/>
              </w:rPr>
              <w:t>Gradient-norm clip</w:t>
            </w:r>
          </w:p>
        </w:tc>
        <w:tc>
          <w:tcPr>
            <w:tcW w:w="4535" w:type="dxa"/>
            <w:tcMar>
              <w:top w:w="65" w:type="dxa"/>
              <w:left w:w="75" w:type="dxa"/>
              <w:bottom w:w="65" w:type="dxa"/>
              <w:right w:w="75" w:type="dxa"/>
            </w:tcMar>
            <w:vAlign w:val="center"/>
          </w:tcPr>
          <w:p w14:paraId="0CA9D6E1" w14:textId="77777777">
            <w:pPr>
              <w:spacing w:after="0" w:line="240" w:lineRule="auto"/>
            </w:pPr>
            <w:r>
              <w:rPr>
                <w:sz w:val="17"/>
              </w:rPr>
              <w:t>1.0</w:t>
            </w:r>
          </w:p>
        </w:tc>
      </w:tr>
      <w:tr w14:paraId="0933BA61" w14:textId="77777777">
        <w:trPr>
          <w:cantSplit/>
          <w:jc w:val="center"/>
        </w:trPr>
        <w:tc>
          <w:tcPr>
            <w:tcW w:w="4535" w:type="dxa"/>
            <w:tcMar>
              <w:top w:w="65" w:type="dxa"/>
              <w:left w:w="75" w:type="dxa"/>
              <w:bottom w:w="65" w:type="dxa"/>
              <w:right w:w="75" w:type="dxa"/>
            </w:tcMar>
            <w:vAlign w:val="center"/>
          </w:tcPr>
          <w:p w14:paraId="5CC3794E" w14:textId="77777777">
            <w:pPr>
              <w:spacing w:after="0" w:line="240" w:lineRule="auto"/>
            </w:pPr>
            <w:r>
              <w:rPr>
                <w:sz w:val="17"/>
              </w:rPr>
              <w:t>Precision</w:t>
            </w:r>
          </w:p>
        </w:tc>
        <w:tc>
          <w:tcPr>
            <w:tcW w:w="4535" w:type="dxa"/>
            <w:tcMar>
              <w:top w:w="65" w:type="dxa"/>
              <w:left w:w="75" w:type="dxa"/>
              <w:bottom w:w="65" w:type="dxa"/>
              <w:right w:w="75" w:type="dxa"/>
            </w:tcMar>
            <w:vAlign w:val="center"/>
          </w:tcPr>
          <w:p w14:paraId="52119FFE" w14:textId="77777777">
            <w:pPr>
              <w:spacing w:after="0" w:line="240" w:lineRule="auto"/>
            </w:pPr>
            <w:r>
              <w:rPr>
                <w:sz w:val="17"/>
              </w:rPr>
              <w:t>bfloat16</w:t>
            </w:r>
          </w:p>
        </w:tc>
      </w:tr>
      <w:tr w14:paraId="3618B90F" w14:textId="77777777">
        <w:trPr>
          <w:cantSplit/>
          <w:jc w:val="center"/>
        </w:trPr>
        <w:tc>
          <w:tcPr>
            <w:tcW w:w="4535" w:type="dxa"/>
            <w:tcMar>
              <w:top w:w="65" w:type="dxa"/>
              <w:left w:w="75" w:type="dxa"/>
              <w:bottom w:w="65" w:type="dxa"/>
              <w:right w:w="75" w:type="dxa"/>
            </w:tcMar>
            <w:vAlign w:val="center"/>
          </w:tcPr>
          <w:p w14:paraId="2081CC52" w14:textId="77777777">
            <w:pPr>
              <w:spacing w:after="0" w:line="240" w:lineRule="auto"/>
            </w:pPr>
            <w:r>
              <w:rPr>
                <w:sz w:val="17"/>
              </w:rPr>
              <w:t>Maximum optimization steps</w:t>
            </w:r>
          </w:p>
        </w:tc>
        <w:tc>
          <w:tcPr>
            <w:tcW w:w="4535" w:type="dxa"/>
            <w:tcMar>
              <w:top w:w="65" w:type="dxa"/>
              <w:left w:w="75" w:type="dxa"/>
              <w:bottom w:w="65" w:type="dxa"/>
              <w:right w:w="75" w:type="dxa"/>
            </w:tcMar>
            <w:vAlign w:val="center"/>
          </w:tcPr>
          <w:p w14:paraId="2E88184B" w14:textId="77777777">
            <w:pPr>
              <w:spacing w:after="0" w:line="240" w:lineRule="auto"/>
            </w:pPr>
            <w:r>
              <w:rPr>
                <w:sz w:val="17"/>
              </w:rPr>
              <w:t>15,000</w:t>
            </w:r>
          </w:p>
        </w:tc>
      </w:tr>
      <w:tr w14:paraId="33F05B7E" w14:textId="77777777">
        <w:trPr>
          <w:cantSplit/>
          <w:jc w:val="center"/>
        </w:trPr>
        <w:tc>
          <w:tcPr>
            <w:tcW w:w="4535" w:type="dxa"/>
            <w:tcMar>
              <w:top w:w="65" w:type="dxa"/>
              <w:left w:w="75" w:type="dxa"/>
              <w:bottom w:w="65" w:type="dxa"/>
              <w:right w:w="75" w:type="dxa"/>
            </w:tcMar>
            <w:vAlign w:val="center"/>
          </w:tcPr>
          <w:p w14:paraId="6D8036AF" w14:textId="77777777">
            <w:pPr>
              <w:spacing w:after="0" w:line="240" w:lineRule="auto"/>
            </w:pPr>
            <w:r>
              <w:rPr>
                <w:sz w:val="17"/>
              </w:rPr>
              <w:t>Warm-up</w:t>
            </w:r>
          </w:p>
        </w:tc>
        <w:tc>
          <w:tcPr>
            <w:tcW w:w="4535" w:type="dxa"/>
            <w:tcMar>
              <w:top w:w="65" w:type="dxa"/>
              <w:left w:w="75" w:type="dxa"/>
              <w:bottom w:w="65" w:type="dxa"/>
              <w:right w:w="75" w:type="dxa"/>
            </w:tcMar>
            <w:vAlign w:val="center"/>
          </w:tcPr>
          <w:p w14:paraId="6ABEC74A" w14:textId="77777777">
            <w:pPr>
              <w:spacing w:after="0" w:line="240" w:lineRule="auto"/>
            </w:pPr>
            <w:r>
              <w:rPr>
                <w:sz w:val="17"/>
              </w:rPr>
              <w:t>1,000 steps</w:t>
            </w:r>
          </w:p>
        </w:tc>
      </w:tr>
      <w:tr w14:paraId="6466C42F" w14:textId="77777777">
        <w:trPr>
          <w:cantSplit/>
          <w:jc w:val="center"/>
        </w:trPr>
        <w:tc>
          <w:tcPr>
            <w:tcW w:w="4535" w:type="dxa"/>
            <w:tcMar>
              <w:top w:w="65" w:type="dxa"/>
              <w:left w:w="75" w:type="dxa"/>
              <w:bottom w:w="65" w:type="dxa"/>
              <w:right w:w="75" w:type="dxa"/>
            </w:tcMar>
            <w:vAlign w:val="center"/>
          </w:tcPr>
          <w:p w14:paraId="26F2C30C" w14:textId="77777777">
            <w:pPr>
              <w:spacing w:after="0" w:line="240" w:lineRule="auto"/>
            </w:pPr>
            <w:r>
              <w:rPr>
                <w:sz w:val="17"/>
              </w:rPr>
              <w:t>Batch budget per GPU</w:t>
            </w:r>
          </w:p>
        </w:tc>
        <w:tc>
          <w:tcPr>
            <w:tcW w:w="4535" w:type="dxa"/>
            <w:tcMar>
              <w:top w:w="65" w:type="dxa"/>
              <w:left w:w="75" w:type="dxa"/>
              <w:bottom w:w="65" w:type="dxa"/>
              <w:right w:w="75" w:type="dxa"/>
            </w:tcMar>
            <w:vAlign w:val="center"/>
          </w:tcPr>
          <w:p w14:paraId="4A3167C5" w14:textId="77777777">
            <w:pPr>
              <w:spacing w:after="0" w:line="240" w:lineRule="auto"/>
            </w:pPr>
            <w:r>
              <w:rPr>
                <w:sz w:val="17"/>
              </w:rPr>
              <w:t>32,768 atoms; at most 2,048 graphs</w:t>
            </w:r>
          </w:p>
        </w:tc>
      </w:tr>
      <w:tr w14:paraId="3C4A6ECD" w14:textId="77777777">
        <w:trPr>
          <w:cantSplit/>
          <w:jc w:val="center"/>
        </w:trPr>
        <w:tc>
          <w:tcPr>
            <w:tcW w:w="4535" w:type="dxa"/>
            <w:tcMar>
              <w:top w:w="65" w:type="dxa"/>
              <w:left w:w="75" w:type="dxa"/>
              <w:bottom w:w="65" w:type="dxa"/>
              <w:right w:w="75" w:type="dxa"/>
            </w:tcMar>
            <w:vAlign w:val="center"/>
          </w:tcPr>
          <w:p w14:paraId="55813430" w14:textId="77777777">
            <w:pPr>
              <w:spacing w:after="0" w:line="240" w:lineRule="auto"/>
            </w:pPr>
            <w:r>
              <w:rPr>
                <w:sz w:val="17"/>
              </w:rPr>
              <w:t>Primary / replication seed</w:t>
            </w:r>
          </w:p>
        </w:tc>
        <w:tc>
          <w:tcPr>
            <w:tcW w:w="4535" w:type="dxa"/>
            <w:tcMar>
              <w:top w:w="65" w:type="dxa"/>
              <w:left w:w="75" w:type="dxa"/>
              <w:bottom w:w="65" w:type="dxa"/>
              <w:right w:w="75" w:type="dxa"/>
            </w:tcMar>
            <w:vAlign w:val="center"/>
          </w:tcPr>
          <w:p w14:paraId="58BBEB9B" w14:textId="77777777">
            <w:pPr>
              <w:spacing w:after="0" w:line="240" w:lineRule="auto"/>
            </w:pPr>
            <w:r>
              <w:rPr>
                <w:sz w:val="17"/>
              </w:rPr>
              <w:t>42 / 43</w:t>
            </w:r>
          </w:p>
        </w:tc>
      </w:tr>
    </w:tbl>
    <w:p w14:paraId="0E8991FB" w14:textId="77777777">
      <w:pPr>
        <w:pStyle w:val="Heading2"/>
      </w:pPr>
      <w:r>
        <w:t>1.4. Construction and calibration of the released 384-dimensional molecular representation</w:t>
      </w:r>
    </w:p>
    <w:p w14:paraId="4EB2060D" w14:textId="77777777">
      <w:r>
        <w:t xml:space="preserve">All released embeddings were computed from the clean molecular graph. For molecule </w:t>
      </w:r>
      <m:oMath>
        <m:r>
          <w:rPr>
            <w:rFonts w:ascii="Cambria Math" w:hAnsi="Cambria Math"/>
          </w:rPr>
          <m:t>G</m:t>
        </m:r>
      </m:oMath>
      <w:r>
        <w:t xml:space="preserve">, let </w:t>
      </w: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t xml:space="preserve"> be the graph latent and </w:t>
      </w:r>
      <m:oMath>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z</m:t>
                </m:r>
              </m:e>
            </m:bar>
          </m:e>
          <m:sub>
            <m:r>
              <w:rPr>
                <w:rFonts w:ascii="Cambria Math" w:hAnsi="Cambria Math"/>
              </w:rPr>
              <m:t>G</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t xml:space="preserve"> the arithmetic mean of its atom latents. The raw hybrid representation was the direct concatenation</w:t>
      </w:r>
    </w:p>
    <w:p w14:paraId="1E9EFF96" w14:textId="77777777">
      <w:pPr>
        <w:pStyle w:val="BodyText"/>
        <w:keepLines/>
        <w:spacing w:before="100" w:after="100"/>
        <w:jc w:val="center"/>
      </w:pPr>
      <m:oMathPara>
        <m:oMathParaPr>
          <m:jc m:val="center"/>
        </m:oMathParaPr>
        <m:oMath>
          <m:sSub>
            <m:sSubPr>
              <m:ctrlPr>
                <w:rPr>
                  <w:rFonts w:ascii="Cambria Math" w:hAnsi="Cambria Math"/>
                </w:rPr>
              </m:ctrlPr>
            </m:sSubPr>
            <m:e>
              <m:r>
                <m:rPr>
                  <m:sty m:val="b"/>
                </m:rPr>
                <w:rPr>
                  <w:rFonts w:ascii="Cambria Math" w:hAnsi="Cambria Math"/>
                </w:rPr>
                <m:t>r</m:t>
              </m:r>
            </m:e>
            <m:sub>
              <m:r>
                <w:rPr>
                  <w:rFonts w:ascii="Cambria Math" w:hAnsi="Cambria Math"/>
                </w:rPr>
                <m:t>G</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z</m:t>
                        </m:r>
                      </m:e>
                      <m:sub>
                        <m:r>
                          <w:rPr>
                            <w:rFonts w:ascii="Cambria Math" w:hAnsi="Cambria Math"/>
                          </w:rPr>
                          <m:t>G</m:t>
                        </m:r>
                      </m:sub>
                    </m:sSub>
                  </m:e>
                </m:mr>
                <m:mr>
                  <m:e>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z</m:t>
                            </m:r>
                          </m:e>
                        </m:bar>
                      </m:e>
                      <m:sub>
                        <m:r>
                          <w:rPr>
                            <w:rFonts w:ascii="Cambria Math" w:hAnsi="Cambria Math"/>
                          </w:rPr>
                          <m:t>G</m:t>
                        </m:r>
                      </m:sub>
                    </m:sSub>
                  </m:e>
                </m:mr>
              </m:m>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384</m:t>
              </m:r>
            </m:sup>
          </m:sSup>
          <m:r>
            <m:rPr>
              <m:sty m:val="p"/>
            </m:rPr>
            <w:rPr>
              <w:rFonts w:ascii="Cambria Math" w:hAnsi="Cambria Math"/>
            </w:rPr>
            <m:t>.</m:t>
          </m:r>
        </m:oMath>
      </m:oMathPara>
    </w:p>
    <w:p w14:paraId="54BFCF52" w14:textId="77777777">
      <w:r>
        <w:t xml:space="preserve">A separate coordinate calibrator was fitted exclusively to a deterministic hash-bucket-stratified sample of 100,000 molecules from the pretraining training partition, covering all 256 molecule-hash buckets (sampling seed 271828). For raw coordinate </w:t>
      </w:r>
      <m:oMath>
        <m:r>
          <w:rPr>
            <w:rFonts w:ascii="Cambria Math" w:hAnsi="Cambria Math"/>
          </w:rPr>
          <m:t>j</m:t>
        </m:r>
      </m:oMath>
      <w:r>
        <w:t xml:space="preserve">, the calibrator stores the population mean </w:t>
      </w:r>
      <m:oMath>
        <m:sSubSup>
          <m:sSubSupPr>
            <m:ctrlPr>
              <w:rPr>
                <w:rFonts w:ascii="Cambria Math" w:hAnsi="Cambria Math"/>
              </w:rPr>
            </m:ctrlPr>
          </m:sSubSupPr>
          <m:e>
            <m:r>
              <w:rPr>
                <w:rFonts w:ascii="Cambria Math" w:hAnsi="Cambria Math"/>
              </w:rPr>
              <m:t>μ</m:t>
            </m:r>
          </m:e>
          <m:sub>
            <m:r>
              <w:rPr>
                <w:rFonts w:ascii="Cambria Math" w:hAnsi="Cambria Math"/>
              </w:rPr>
              <m:t>j</m:t>
            </m:r>
          </m:sub>
          <m:sup>
            <m:d>
              <m:dPr>
                <m:ctrlPr>
                  <w:rPr>
                    <w:rFonts w:ascii="Cambria Math" w:hAnsi="Cambria Math"/>
                  </w:rPr>
                </m:ctrlPr>
              </m:dPr>
              <m:e>
                <m:r>
                  <w:rPr>
                    <w:rFonts w:ascii="Cambria Math" w:hAnsi="Cambria Math"/>
                  </w:rPr>
                  <m:t>r</m:t>
                </m:r>
              </m:e>
            </m:d>
          </m:sup>
        </m:sSubSup>
      </m:oMath>
      <w:r>
        <w:t xml:space="preserve"> and population standard deviation </w:t>
      </w:r>
      <m:oMath>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r</m:t>
                </m:r>
              </m:e>
            </m:d>
          </m:sup>
        </m:sSubSup>
      </m:oMath>
      <w:r>
        <w:t>. Coordinates were standardized as</w:t>
      </w:r>
    </w:p>
    <w:p w14:paraId="5D814E9C" w14:textId="77777777">
      <w:pPr>
        <w:pStyle w:val="BodyText"/>
        <w:keepLines/>
        <w:spacing w:before="100" w:after="10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j</m:t>
              </m:r>
            </m:sub>
            <m:sup>
              <m:r>
                <m:rPr>
                  <m:nor/>
                </m:rPr>
                <m:t>std</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sub>
                <m:sup>
                  <m:d>
                    <m:dPr>
                      <m:ctrlPr>
                        <w:rPr>
                          <w:rFonts w:ascii="Cambria Math" w:hAnsi="Cambria Math"/>
                        </w:rPr>
                      </m:ctrlPr>
                    </m:dPr>
                    <m:e>
                      <m:r>
                        <w:rPr>
                          <w:rFonts w:ascii="Cambria Math" w:hAnsi="Cambria Math"/>
                        </w:rPr>
                        <m:t>r</m:t>
                      </m:r>
                    </m:e>
                  </m:d>
                </m:sup>
              </m:sSubSup>
            </m:num>
            <m:den>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r</m:t>
                      </m:r>
                    </m:e>
                  </m:d>
                </m:sup>
              </m:sSubSup>
            </m:den>
          </m:f>
          <m:r>
            <m:rPr>
              <m:sty m:val="p"/>
            </m:rPr>
            <w:rPr>
              <w:rFonts w:ascii="Cambria Math" w:hAnsi="Cambria Math"/>
            </w:rPr>
            <m:t>.</m:t>
          </m:r>
        </m:oMath>
      </m:oMathPara>
    </w:p>
    <w:p w14:paraId="44B19DFF" w14:textId="77777777">
      <w:r>
        <w:t xml:space="preserve">Calibrator construction failed if any coordinate mean or scale was non-finite or if any scale was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The calibrator metadata is bound to the checkpoint SHA-256, global step, immutable configuration hash, training-plan hash, graph-manifest hash and descriptor-schema hash.</w:t>
      </w:r>
    </w:p>
    <w:p w14:paraId="6D072BFB" w14:textId="77777777">
      <w:pPr>
        <w:pStyle w:val="BodyText"/>
      </w:pPr>
      <w:r>
        <w:t>The public gMolAI-v2.0 vector is</w:t>
      </w:r>
    </w:p>
    <w:p w14:paraId="472F2F0C" w14:textId="77777777">
      <w:pPr>
        <w:pStyle w:val="BodyText"/>
        <w:keepLines/>
        <w:spacing w:before="100" w:after="100"/>
        <w:jc w:val="center"/>
        <w:rPr>
          <w:lang w:val="da-DK"/>
        </w:rPr>
      </w:pPr>
      <m:oMathPara>
        <m:oMathParaPr>
          <m:jc m:val="center"/>
        </m:oMathParaPr>
        <m:oMath>
          <m:borderBox>
            <m:borderBoxPr>
              <m:ctrlPr>
                <w:rPr>
                  <w:rFonts w:ascii="Cambria Math" w:hAnsi="Cambria Math"/>
                </w:rPr>
              </m:ctrlPr>
            </m:borderBoxPr>
            <m:e>
              <m:sSub>
                <m:sSubPr>
                  <m:ctrlPr>
                    <w:rPr>
                      <w:rFonts w:ascii="Cambria Math" w:hAnsi="Cambria Math"/>
                    </w:rPr>
                  </m:ctrlPr>
                </m:sSubPr>
                <m:e>
                  <m:r>
                    <m:rPr>
                      <m:sty m:val="b"/>
                    </m:rPr>
                    <w:rPr>
                      <w:rFonts w:ascii="Cambria Math" w:hAnsi="Cambria Math"/>
                    </w:rPr>
                    <m:t>h</m:t>
                  </m:r>
                </m:e>
                <m:sub>
                  <m:r>
                    <w:rPr>
                      <w:rFonts w:ascii="Cambria Math" w:hAnsi="Cambria Math"/>
                    </w:rPr>
                    <m:t>G</m:t>
                  </m:r>
                </m:sub>
              </m:sSub>
              <m:r>
                <m:rPr>
                  <m:sty m:val="p"/>
                </m:rPr>
                <w:rPr>
                  <w:rFonts w:ascii="Cambria Math" w:hAnsi="Cambria Math"/>
                  <w:lang w:val="da-DK"/>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m:rPr>
                                <m:sty m:val="b"/>
                              </m:rPr>
                              <w:rPr>
                                <w:rFonts w:ascii="Cambria Math" w:hAnsi="Cambria Math"/>
                              </w:rPr>
                              <m:t>r</m:t>
                            </m:r>
                          </m:e>
                          <m:sub>
                            <m:r>
                              <w:rPr>
                                <w:rFonts w:ascii="Cambria Math" w:hAnsi="Cambria Math"/>
                              </w:rPr>
                              <m:t>G</m:t>
                            </m:r>
                            <m:r>
                              <m:rPr>
                                <m:sty m:val="p"/>
                              </m:rPr>
                              <w:rPr>
                                <w:rFonts w:ascii="Cambria Math" w:hAnsi="Cambria Math"/>
                                <w:lang w:val="da-DK"/>
                              </w:rPr>
                              <m:t>,</m:t>
                            </m:r>
                            <m:r>
                              <w:rPr>
                                <w:rFonts w:ascii="Cambria Math" w:hAnsi="Cambria Math"/>
                                <w:lang w:val="da-DK"/>
                              </w:rPr>
                              <m:t>1</m:t>
                            </m:r>
                            <m:r>
                              <m:rPr>
                                <m:sty m:val="p"/>
                              </m:rPr>
                              <w:rPr>
                                <w:rFonts w:ascii="Cambria Math" w:hAnsi="Cambria Math"/>
                                <w:lang w:val="da-DK"/>
                              </w:rPr>
                              <m:t>:</m:t>
                            </m:r>
                            <m:r>
                              <w:rPr>
                                <w:rFonts w:ascii="Cambria Math" w:hAnsi="Cambria Math"/>
                                <w:lang w:val="da-DK"/>
                              </w:rPr>
                              <m:t>256</m:t>
                            </m:r>
                          </m:sub>
                          <m:sup>
                            <m:r>
                              <m:rPr>
                                <m:nor/>
                              </m:rPr>
                              <w:rPr>
                                <w:lang w:val="da-DK"/>
                              </w:rPr>
                              <m:t>std</m:t>
                            </m:r>
                          </m:sup>
                        </m:sSubSup>
                      </m:e>
                    </m:mr>
                    <m:mr>
                      <m:e>
                        <m:r>
                          <w:rPr>
                            <w:rFonts w:ascii="Cambria Math" w:hAnsi="Cambria Math"/>
                            <w:lang w:val="da-DK"/>
                          </w:rPr>
                          <m:t>3 </m:t>
                        </m:r>
                        <m:sSubSup>
                          <m:sSubSupPr>
                            <m:ctrlPr>
                              <w:rPr>
                                <w:rFonts w:ascii="Cambria Math" w:hAnsi="Cambria Math"/>
                              </w:rPr>
                            </m:ctrlPr>
                          </m:sSubSupPr>
                          <m:e>
                            <m:r>
                              <m:rPr>
                                <m:sty m:val="b"/>
                              </m:rPr>
                              <w:rPr>
                                <w:rFonts w:ascii="Cambria Math" w:hAnsi="Cambria Math"/>
                              </w:rPr>
                              <m:t>r</m:t>
                            </m:r>
                          </m:e>
                          <m:sub>
                            <m:r>
                              <w:rPr>
                                <w:rFonts w:ascii="Cambria Math" w:hAnsi="Cambria Math"/>
                              </w:rPr>
                              <m:t>G</m:t>
                            </m:r>
                            <m:r>
                              <m:rPr>
                                <m:sty m:val="p"/>
                              </m:rPr>
                              <w:rPr>
                                <w:rFonts w:ascii="Cambria Math" w:hAnsi="Cambria Math"/>
                                <w:lang w:val="da-DK"/>
                              </w:rPr>
                              <m:t>,</m:t>
                            </m:r>
                            <m:r>
                              <w:rPr>
                                <w:rFonts w:ascii="Cambria Math" w:hAnsi="Cambria Math"/>
                                <w:lang w:val="da-DK"/>
                              </w:rPr>
                              <m:t>257</m:t>
                            </m:r>
                            <m:r>
                              <m:rPr>
                                <m:sty m:val="p"/>
                              </m:rPr>
                              <w:rPr>
                                <w:rFonts w:ascii="Cambria Math" w:hAnsi="Cambria Math"/>
                                <w:lang w:val="da-DK"/>
                              </w:rPr>
                              <m:t>:</m:t>
                            </m:r>
                            <m:r>
                              <w:rPr>
                                <w:rFonts w:ascii="Cambria Math" w:hAnsi="Cambria Math"/>
                                <w:lang w:val="da-DK"/>
                              </w:rPr>
                              <m:t>384</m:t>
                            </m:r>
                          </m:sub>
                          <m:sup>
                            <m:r>
                              <m:rPr>
                                <m:nor/>
                              </m:rPr>
                              <w:rPr>
                                <w:lang w:val="da-DK"/>
                              </w:rPr>
                              <m:t>std</m:t>
                            </m:r>
                          </m:sup>
                        </m:sSubSup>
                      </m:e>
                    </m:mr>
                  </m:m>
                </m:e>
              </m:d>
              <m:r>
                <m:rPr>
                  <m:sty m:val="p"/>
                </m:rPr>
                <w:rPr>
                  <w:rFonts w:ascii="Cambria Math" w:hAnsi="Cambria Math"/>
                  <w:lang w:val="da-DK"/>
                </w:rPr>
                <m:t>∈</m:t>
              </m:r>
              <m:sSup>
                <m:sSupPr>
                  <m:ctrlPr>
                    <w:rPr>
                      <w:rFonts w:ascii="Cambria Math" w:hAnsi="Cambria Math"/>
                    </w:rPr>
                  </m:ctrlPr>
                </m:sSupPr>
                <m:e>
                  <m:r>
                    <m:rPr>
                      <m:scr m:val="double-struck"/>
                      <m:sty m:val="p"/>
                    </m:rPr>
                    <w:rPr>
                      <w:rFonts w:ascii="Cambria Math" w:hAnsi="Cambria Math"/>
                      <w:lang w:val="da-DK"/>
                    </w:rPr>
                    <m:t>R</m:t>
                  </m:r>
                </m:e>
                <m:sup>
                  <m:r>
                    <w:rPr>
                      <w:rFonts w:ascii="Cambria Math" w:hAnsi="Cambria Math"/>
                      <w:lang w:val="da-DK"/>
                    </w:rPr>
                    <m:t>384</m:t>
                  </m:r>
                </m:sup>
              </m:sSup>
            </m:e>
          </m:borderBox>
        </m:oMath>
      </m:oMathPara>
    </w:p>
    <w:p w14:paraId="782CCABA" w14:textId="77777777">
      <w:r>
        <w:t>so that the calibrated mean-atom block contributes with fixed weight 3. Development screens compared mean-atom weights 1, 3 and 6; weight 3 was fixed before the locked internal-test analysis. Importantly, this standardized raw hybrid is distinct from the legacy unit-normalized hybrid retained in the codebase for diagnostic compatibility.</w:t>
      </w:r>
    </w:p>
    <w:p w14:paraId="696A4CEF" w14:textId="77777777">
      <w:pPr>
        <w:pStyle w:val="Heading2"/>
      </w:pPr>
      <w:r>
        <w:t>1.5. Representation-quality evaluation and model promotion</w:t>
      </w:r>
    </w:p>
    <w:p w14:paraId="2E166755" w14:textId="77777777">
      <w:r>
        <w:t xml:space="preserve">Checkpoint selection was based on the semantic quality of frozen embeddings rather than on reconstruction loss alone. A </w:t>
      </w:r>
      <w:r>
        <w:rPr>
          <w:i/>
          <w:iCs/>
        </w:rPr>
        <w:t>frozen probe</w:t>
      </w:r>
      <w:r>
        <w:t xml:space="preserve"> is defined here as a downstream estimator trained on precomputed molecular embeddings while all gMolAI encoder parameters remain fixed. Candidate milestones were evaluated only after verifying mutual consistency of checkpoint, graph-manifest, calibrator and configuration identities. Finite embedding exports used deterministic sampling spread across all 256 molecule-hash buckets, avoiding the bias that would result from taking an ordered prefix of bucketed graph shards.</w:t>
      </w:r>
    </w:p>
    <w:p w14:paraId="2C87010C" w14:textId="77777777">
      <w:pPr>
        <w:pStyle w:val="BodyText"/>
      </w:pPr>
      <w:r>
        <w:t>Promotion required at least 100,000 training molecules for calibration, 10,000 training molecules for held-out topology probes, 50,000 validation embeddings, 5,000 validation molecules for similarity analysis, at least 10,000 recurring-scaffold molecules for clustering, five independent K-means repetitions, and the complete downstream diagnostic panel. The validation and training exports used hash-bucket-stratified sampling without replacement; similarity and clustering subsets were then sampled without replacement across the complete exported validation population.</w:t>
      </w:r>
    </w:p>
    <w:p w14:paraId="523FE2AE" w14:textId="77777777">
      <w:pPr>
        <w:pStyle w:val="Heading3"/>
      </w:pPr>
      <w:r>
        <w:t>1.5.1. Effective rank and latent utilization</w:t>
      </w:r>
    </w:p>
    <w:p w14:paraId="77E80553" w14:textId="77777777">
      <w:r>
        <w:t xml:space="preserve">To detect dimensional collapse, the sample covariance matrix </w:t>
      </w:r>
      <m:oMath>
        <m:r>
          <m:rPr>
            <m:sty m:val="b"/>
          </m:rPr>
          <w:rPr>
            <w:rFonts w:ascii="Cambria Math" w:hAnsi="Cambria Math"/>
          </w:rPr>
          <m:t>C</m:t>
        </m:r>
      </m:oMath>
      <w:r>
        <w:t xml:space="preserve"> of centered embedding coordinates was eigendecomposed. If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r>
          <m:rPr>
            <m:sty m:val="p"/>
          </m:rPr>
          <w:rPr>
            <w:rFonts w:ascii="Cambria Math" w:hAnsi="Cambria Math"/>
          </w:rPr>
          <m:t>≥</m:t>
        </m:r>
        <m:r>
          <w:rPr>
            <w:rFonts w:ascii="Cambria Math" w:hAnsi="Cambria Math"/>
          </w:rPr>
          <m:t>0</m:t>
        </m:r>
      </m:oMath>
      <w:r>
        <w:t xml:space="preserve"> are the covariance eigenvalues and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oMath>
      <w:r>
        <w:t>, effective rank was defined as</w:t>
      </w:r>
    </w:p>
    <w:p w14:paraId="1B21325F" w14:textId="77777777">
      <w:pPr>
        <w:pStyle w:val="BodyText"/>
        <w:keepLines/>
        <w:spacing w:before="100" w:after="100"/>
        <w:jc w:val="center"/>
      </w:pPr>
      <m:oMathPara>
        <m:oMathParaPr>
          <m:jc m:val="center"/>
        </m:oMathParaPr>
        <m:oMath>
          <m:r>
            <m:rPr>
              <m:nor/>
            </m:rPr>
            <m:t>erank</m:t>
          </m:r>
          <m:d>
            <m:dPr>
              <m:ctrlPr>
                <w:rPr>
                  <w:rFonts w:ascii="Cambria Math" w:hAnsi="Cambria Math"/>
                </w:rPr>
              </m:ctrlPr>
            </m:dPr>
            <m:e>
              <m:r>
                <m:rPr>
                  <m:sty m:val="b"/>
                </m:rPr>
                <w:rPr>
                  <w:rFonts w:ascii="Cambria Math" w:hAnsi="Cambria Math"/>
                </w:rPr>
                <m:t>C</m:t>
              </m:r>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rPr>
            <m:t>.</m:t>
          </m:r>
        </m:oMath>
      </m:oMathPara>
    </w:p>
    <w:p w14:paraId="63962BAB" w14:textId="77777777">
      <w:r>
        <w:t>This quantity is the exponential Shannon entropy of the normalized covariance spectrum and measures the number of substantially occupied orthogonal directions. A representation concentrated in a few directions has low effective rank even when its formal vector dimension is large. The frozen promotion floor for the 384-dimensional released embedding was an effective rank of at least 25.</w:t>
      </w:r>
    </w:p>
    <w:p w14:paraId="13163210" w14:textId="77777777">
      <w:pPr>
        <w:pStyle w:val="Heading3"/>
      </w:pPr>
      <w:r>
        <w:t>1.5.2. Held-out molecular-topology probes</w:t>
      </w:r>
    </w:p>
    <w:p w14:paraId="558B5BB7" w14:textId="77777777">
      <w:r>
        <w:t xml:space="preserve">Linear probes quantified whether the representation encoded global molecular topology not directly included among the 13 auxiliary descriptor targets. Thirteen held-out labels were calculated: Bertz complexity, fraction of sp3 carbons, total ring count, aromatic ring count, aliphatic ring count, saturated ring count, rotatable-bond count, Hall-Kier alpha, Kier kappa indices 1-3, and valence connectivity indices Chi0v and Chi1v. A 10,000-molecule pretraining-training embedding sample was used to fit ridge regressions after standardizing both input coordinates and each target using probe-training statistics. As a descriptor-only control, the same ridge-probe procedure was repeated with the 13 standardized auxiliary pretraining descriptor targets as the input features instead of the learned embedding. Ridge penalty </w:t>
      </w:r>
      <m:oMath>
        <m:r>
          <w:rPr>
            <w:rFonts w:ascii="Cambria Math" w:hAnsi="Cambria Math"/>
          </w:rPr>
          <m:t>α</m:t>
        </m:r>
        <m:r>
          <m:rPr>
            <m:sty m:val="p"/>
          </m:rPr>
          <w:rPr>
            <w:rFonts w:ascii="Cambria Math" w:hAnsi="Cambria Math"/>
          </w:rPr>
          <m:t>=</m:t>
        </m:r>
        <m:r>
          <w:rPr>
            <w:rFonts w:ascii="Cambria Math" w:hAnsi="Cambria Math"/>
          </w:rPr>
          <m:t>10</m:t>
        </m:r>
      </m:oMath>
      <w:r>
        <w:t xml:space="preserve"> and the LSQR solver were fixed. Evaluation used 50,000 validation embeddings, including a scaffold-disjoint subset whose scaffold keys were absent from the probe-training sample.</w:t>
      </w:r>
    </w:p>
    <w:p>
      <w:pPr>
        <w:pStyle w:val="Heading4"/>
      </w:pPr>
      <w:r>
        <w:t>1.5.2.1. Interpretation of the scaffold-disjoint topology subset</w:t>
      </w:r>
    </w:p>
    <w:p>
      <w:pPr>
        <w:pStyle w:val="BodyText"/>
      </w:pPr>
      <w:r>
        <w:t>The primary pretraining train/validation partition was already scaffold-based: molecules with the same non-empty Bemis-Murcko scaffold were assigned to the same partition and therefore could not occur in both pretraining training and validation data. The additional scaffold-disjoint topology subset was consequently not a second, more stringent scaffold split for scaffolded molecules. In the probe implementation, the set of non-empty scaffolds present in the finite 10,000-molecule probe-training export was collected, and validation entries were retained only when their stored scaffold was non-empty and absent from that set. For molecules with non-empty scaffolds, this condition largely reiterates the global pretraining split; its practical additional effect is to exclude acyclic molecules, whose Murcko scaffold is empty and which were globally partitioned by the ACYCLIC:&lt;canonical non-isomeric SMILES&gt; fallback key. Accordingly, this analysis is interpreted as an explicit scaffold-disjoint validation subset/check, and as a robustness check that the topology result is not driven by the acyclic validation subset, rather than as an independent stricter scaffold split.</w:t>
      </w:r>
    </w:p>
    <w:p w14:paraId="5E4A5565" w14:textId="77777777">
      <w:pPr>
        <w:pStyle w:val="BodyText"/>
      </w:pPr>
      <w:r>
        <w:t xml:space="preserve">Promotion required mean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0.90</m:t>
        </m:r>
      </m:oMath>
      <w:r>
        <w:t xml:space="preserve">, median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m:t>
        </m:r>
      </m:oMath>
      <w:r>
        <w:t xml:space="preserve">, mean standardized MAE </w:t>
      </w:r>
      <m:oMath>
        <m:r>
          <m:rPr>
            <m:sty m:val="p"/>
          </m:rPr>
          <w:rPr>
            <w:rFonts w:ascii="Cambria Math" w:hAnsi="Cambria Math"/>
          </w:rPr>
          <m:t>≤</m:t>
        </m:r>
        <m:r>
          <w:rPr>
            <w:rFonts w:ascii="Cambria Math" w:hAnsi="Cambria Math"/>
          </w:rPr>
          <m:t>0.15</m:t>
        </m:r>
      </m:oMath>
      <w:r>
        <w:t xml:space="preserve">, and scaffold-disjoint mean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m:t>
        </m:r>
      </m:oMath>
      <w:r>
        <w:t xml:space="preserve"> across the held-out topology panel.</w:t>
      </w:r>
    </w:p>
    <w:p w14:paraId="64BADC54" w14:textId="77777777">
      <w:pPr>
        <w:pStyle w:val="Heading3"/>
      </w:pPr>
      <w:r>
        <w:t>1.5.3. Chemical-neighbor retrieval relative to Morgan fingerprints</w:t>
      </w:r>
    </w:p>
    <w:p w14:paraId="6FA37E25" w14:textId="77777777">
      <w:r>
        <w:t>Chemical-neighbor structure was compared with Morgan extended-connectivity fingerprints (radius 2, 2,048 bits).</w:t>
      </w:r>
      <w:r>
        <w:rPr>
          <w:vertAlign w:val="superscript"/>
        </w:rPr>
        <w:t>9</w:t>
      </w:r>
      <w:r>
        <w:t xml:space="preserve"> On a 5,000-molecule validation subset, nearest neighbors in learned-embedding space were </w:t>
      </w:r>
      <w:r>
        <w:t xml:space="preserve">ranked by cosine similarity. Morgan similarity was measured by Tanimoto coefficient. For binary fingerprint vectors </w:t>
      </w:r>
      <m:oMath>
        <m:r>
          <m:rPr>
            <m:sty m:val="b"/>
          </m:rPr>
          <w:rPr>
            <w:rFonts w:ascii="Cambria Math" w:hAnsi="Cambria Math"/>
          </w:rPr>
          <m:t>a</m:t>
        </m:r>
      </m:oMath>
      <w:r>
        <w:t xml:space="preserve"> and </w:t>
      </w:r>
      <m:oMath>
        <m:r>
          <m:rPr>
            <m:sty m:val="b"/>
          </m:rPr>
          <w:rPr>
            <w:rFonts w:ascii="Cambria Math" w:hAnsi="Cambria Math"/>
          </w:rPr>
          <m:t>b</m:t>
        </m:r>
      </m:oMath>
      <w:r>
        <w:t>,</w:t>
      </w:r>
    </w:p>
    <w:p w14:paraId="6E2B4667" w14:textId="77777777">
      <w:pPr>
        <w:pStyle w:val="BodyText"/>
        <w:keepLines/>
        <w:spacing w:before="100" w:after="100"/>
        <w:jc w:val="center"/>
      </w:pPr>
      <m:oMathPara>
        <m:oMathParaPr>
          <m:jc m:val="center"/>
        </m:oMathParaPr>
        <m:oMath>
          <m:r>
            <w:rPr>
              <w:rFonts w:ascii="Cambria Math" w:hAnsi="Cambria Math"/>
            </w:rPr>
            <m:t>T</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num>
            <m:den>
              <m:d>
                <m:dPr>
                  <m:begChr m:val="|"/>
                  <m:endChr m:val="|"/>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den>
          </m:f>
          <m:r>
            <m:rPr>
              <m:sty m:val="p"/>
            </m:rPr>
            <w:rPr>
              <w:rFonts w:ascii="Cambria Math" w:hAnsi="Cambria Math"/>
            </w:rPr>
            <m:t>.</m:t>
          </m:r>
        </m:oMath>
      </m:oMathPara>
    </w:p>
    <w:p w14:paraId="0D38CC17" w14:textId="77777777">
      <w:r>
        <w:t>The evaluation included overlap between learned and Morgan top-10 neighbor lists, Spearman correlation between learned cosine similarity and Morgan Tanimoto similarity, mean Tanimoto similarity among learned nearest neighbors, enrichment of that value above a random-pair baseline, and enrichment of same-scaffold neighbor purity above its random baseline. The Spearman statistic and random-pair mean Tanimoto were not computed over all possible molecular pairs. For the 5,000-molecule similarity subset, 200,000 seed-fixed random non-self pair draws were generated; pair draws were sampled independently and could therefore repeat. The reported correlation is thus a Monte Carlo pair-sample estimate rather than an exhaustive all-pairs correlation. These quantities test local chemical organization without defining the learned representation to be a copy of Morgan fingerprints.</w:t>
      </w:r>
    </w:p>
    <w:p w14:paraId="56FA4CC5" w14:textId="77777777">
      <w:pPr>
        <w:pStyle w:val="Heading3"/>
      </w:pPr>
      <w:r>
        <w:t>1.5.4. Scaffold clustering</w:t>
      </w:r>
    </w:p>
    <w:p w14:paraId="5B60072B" w14:textId="77777777">
      <w:r>
        <w:t>Clustering analysis was restricted to recurring Bemis-Murcko scaffolds represented by at least five validation molecules. Up to the 32 most frequent recurring scaffolds were retained. Input vectors for the learned embedding and matched Morgan fingerprints were L2-normalized before standard Euclidean K-means, yielding a cosine-related input geometry; this was not an implementation of spherical K-means because centroids were neither constrained nor renormalized to unit norm. The number of clusters equaled the number of retained scaffolds. Clustering was repeated with five random seeds; each run used 20 K-means initializations and at most 500 iterations. Adjusted Rand index (ARI), normalized mutual information (NMI), homogeneity, completeness and V-measure quantified agreement with scaffold identity. Promotion required learned-embedding ARI to be at least the matched Morgan ARI and learned NMI to be no more than 0.03 below the matched Morgan NMI.</w:t>
      </w:r>
    </w:p>
    <w:p w14:paraId="0DFFE227" w14:textId="77777777">
      <w:pPr>
        <w:pStyle w:val="Heading2"/>
      </w:pPr>
      <w:r>
        <w:t>1.6. Frozen MoleculeNet benchmarking</w:t>
      </w:r>
    </w:p>
    <w:p w14:paraId="2C93AA5E" w14:textId="77777777">
      <w:r>
        <w:t>Transferability of the frozen representation was assessed on five development/promotion tasks from the MoleculeNet benchmark family:</w:t>
      </w:r>
      <w:r>
        <w:rPr>
          <w:vertAlign w:val="superscript"/>
        </w:rPr>
        <w:t>10</w:t>
      </w:r>
      <w:r>
        <w:t xml:space="preserve"> BACE and BBBP for binary classification and ESOL, FreeSolv and Lipophilicity for regression. These five datasets were part of model development and fail-closed promotion; their reported performance is therefore selection-conditioned and was not treated as independent post-selection confirmation. HIV was evaluated subsequently as an additional confirmatory classification task and was not used to select the checkpoint. Benchmark source files were verified against pinned SHA-256 digests before use. All molecules were passed through the same gMolAI chemistry-eligibility and canonicalization policy used for pretraining.</w:t>
      </w:r>
    </w:p>
    <w:p w14:paraId="37FB9477" w14:textId="77777777">
      <w:pPr>
        <w:pStyle w:val="BodyText"/>
      </w:pPr>
      <w:r>
        <w:t>Canonical-SMILES duplicates were collapsed before splitting. For regression datasets, duplicate target values for the same canonical molecule were averaged. For classification datasets, duplicate labels were required to be consistently binary; identities with conflicting binary labels were excluded. Bemis-Murcko scaffold groups, with the same explicit acyclic grouping logic, were used as indivisible units for downstream partitioning.</w:t>
      </w:r>
    </w:p>
    <w:p w14:paraId="497B7B89" w14:textId="77777777">
      <w:pPr>
        <w:pStyle w:val="Heading3"/>
      </w:pPr>
      <w:r>
        <w:t>1.6.1. Repeated nested scaffold splitting</w:t>
      </w:r>
    </w:p>
    <w:p w14:paraId="213F1C99" w14:textId="77777777">
      <w:r>
        <w:t>Each development task used ten accepted outer scaffold splits. GroupShuffleSplit assigned approximately 80% of scaffold groups to the outer training set and 20% of scaffold groups to the outer test set. Because scaffold groups varied in size, the realized molecule fractions differed among splits. For binary classification, candidate outer splits were accepted only when both classes were represented in both partitions and the required inner cross-validation folds were feasible. Hyperparameters were selected only within the outer training partition. Regression used three-fold GroupKFold; classification used three-fold StratifiedGroupKFold with shuffling and deterministic random seeds. Thus, no molecule or scaffold group from an outer test fold contributed to feature scaling or hyperparameter selection for that fold. Across the ten accepted outer splits, summary standard deviations were computed with NumPy population standard deviation (ddof=0). Because repeated GroupShuffleSplit partitions can overlap, these values are descriptive split-to-split dispersions rather than standard errors from ten statistically independent test replicates.</w:t>
      </w:r>
    </w:p>
    <w:p w14:paraId="0D38EDA8" w14:textId="77777777">
      <w:pPr>
        <w:pStyle w:val="Heading3"/>
      </w:pPr>
      <w:r>
        <w:t>1.6.2. Regression probes</w:t>
      </w:r>
    </w:p>
    <w:p w14:paraId="5C01F1DD" w14:textId="77777777">
      <w:r>
        <w:t xml:space="preserve">For ESOL, FreeSolv and Lipophilicity, each inner training fold fitted its own StandardScaler to molecular features and standardized its target using the inner-training mean and population standard deviation. Ridge regression with the LSQR solver was evaluated at </w:t>
      </w:r>
      <m:oMath>
        <m:r>
          <w:rPr>
            <w:rFonts w:ascii="Cambria Math" w:hAnsi="Cambria Math"/>
          </w:rPr>
          <m:t>α</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1000</m:t>
        </m:r>
        <m:r>
          <m:rPr>
            <m:sty m:val="p"/>
          </m:rPr>
          <w:rPr>
            <w:rFonts w:ascii="Cambria Math" w:hAnsi="Cambria Math"/>
          </w:rPr>
          <m:t>}</m:t>
        </m:r>
      </m:oMath>
      <w:r>
        <w:t xml:space="preserve">; the value with the lowest mean inner-fold RMSE was selected. The selected model was then refitted on the complete outer training partition using outer-training-only scaling and evaluated on the untouched outer test partition. Metrics were RMSE, RMSE normalized by the outer-training target standard deviation, MAE,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Spearman rank correlation.</w:t>
      </w:r>
    </w:p>
    <w:p w14:paraId="51A88F17" w14:textId="77777777">
      <w:pPr>
        <w:pStyle w:val="Heading3"/>
      </w:pPr>
      <w:r>
        <w:t>1.6.3. Classification probes</w:t>
      </w:r>
    </w:p>
    <w:p w14:paraId="4A863D19" w14:textId="77777777">
      <w:r>
        <w:t xml:space="preserve">For BACE, BBBP and confirmatory HIV, feature standardization was fitted independently within each training fold. Logistic regression used the liblinear solver, class_weight="balanced", a maximum of 3,000 iterations and random_state=0. The inverse regularization parameter was selected from </w:t>
      </w:r>
      <m:oMath>
        <m:r>
          <w:rPr>
            <w:rFonts w:ascii="Cambria Math" w:hAnsi="Cambria Math"/>
          </w:rPr>
          <m:t>C</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by highest mean inner-fold ROC-AUC. Outer-test metrics were ROC-AUC, average precision and balanced accuracy at predicted-probability threshold 0.5.</w:t>
      </w:r>
    </w:p>
    <w:p>
      <w:pPr/>
      <w:r>
        <w:t>All downstream Ridge and logistic-regression pipelines standardized every feature coordinate using a StandardScaler fitted within the corresponding training fold. Consequently, any fixed coordinate-wise affine transformation of the molecular vector with positive scale - including the released train-only coordinate calibration - and the constant factor of 3 applied to the mean-node block are algebraically removed by this fold-wise standardization, apart from numerical roundoff. Calibration and mean-node weighting therefore materially define the released-vector geometry used for cosine retrieval and clustering, but they do not drive the linear-probe scores reported for the MoleculeNet development panel or HIV.</w:t>
      </w:r>
    </w:p>
    <w:p w14:paraId="1AE2B676" w14:textId="77777777">
      <w:pPr>
        <w:pStyle w:val="BodyText"/>
      </w:pPr>
      <w:r>
        <w:t>As diagnostic comparators during development, the evaluation pipeline additionally tested Morgan radius-2/2,048-bit fingerprints, raw and unit-normalized graph_z and mean-node_z blocks, and the uncalibrated concatenated hybrid. Promotion, however, required the frozen performance of the released molecule embedding and complete availability of the diagnostic panel; diagnostic alternatives did not replace the canonical representation.</w:t>
      </w:r>
    </w:p>
    <w:p>
      <w:pPr>
        <w:pStyle w:val="Heading3"/>
      </w:pPr>
      <w:r>
        <w:t>1.6.4. Descriptor-only downstream control, corpus overlap and checkpoint-resolved exposure</w:t>
      </w:r>
    </w:p>
    <w:p>
      <w:pPr>
        <w:pStyle w:val="BodyText"/>
      </w:pPr>
      <w:r>
        <w:t>A model-free downstream control used the same 13 auxiliary descriptor definitions as fixed molecular features. For an exact canonical identity present in the immutable pretraining corpus, the stored d00-d12 values were used; identities absent from that corpus were evaluated by recomputing the same frozen definitions with RDKit 2025.09.3. Stored and recomputed values were compared for every overlapping molecule and produced no failures at the deduplication tolerances (absolute 1e-8, relative 1e-5). The original ten accepted outer seeds and train/test counts were reconstructed and validated against the selected 10,000-step benchmark; outer and inner molecule-set identities were then recorded as SHA-256 digests. Descriptor features used the identical fold-local scaling, Ridge or logistic model, hyperparameter grid, inner-fold assignments and metrics as the gMolAI and Morgan evaluations. This control neither loaded nor executed the pretrained model.</w:t>
      </w:r>
    </w:p>
    <w:p>
      <w:pPr>
        <w:pStyle w:val="BodyText"/>
      </w:pPr>
      <w:r>
        <w:t>Exact molecule overlap between the immutable pretraining corpus and BACE, BBBP, ESOL, FreeSolv, Lipophilicity and HIV was audited using the same downstream canonicalization and deduplication policy. Downstream canonical-isomeric-SMILES SHA-256 identities were joined to the 256 bucketed pretraining Parquet tables, and matches were counted for the complete corpus and separately for its training, validation and internal-test partitions. This audit measures molecular exposure; the experimental downstream endpoint labels were not pretraining targets.</w:t>
      </w:r>
    </w:p>
    <w:p>
      <w:pPr>
        <w:pStyle w:val="BodyText"/>
      </w:pPr>
      <w:r>
        <w:t>Actual checkpoint-specific exposure was then reconstructed without training, model execution or embedding regeneration for retained seed-42 steps 5,000, 7,500, 10,000, 12,500 and 15,000. Each checkpoint was verified against the immutable graph-manifest identity and its four rank-specific cursors. Training shards were assigned exclusively by manifest index modulo world size; cycle-0 shard permutations and within-shard graph permutations were reproduced from the recorded seed, rank, cycle and stable shard-path hash. A restricted metadata-only reader extracted the ordered full SHA-256 molecular identities from every training shard while skipping tensor-storage members. All 27,136 training shards and 221,148,895 graph identities were checked, and every downstream training-overlap identity mapped to exactly one graph boundary. For the current shard, a molecule was counted only when its shuffled position was strictly less than the saved graph_position, which identifies the next unread graph. Nested seen-identity sets, exclusive rank accounting, canonical-SMILES equality after hash matching and absence of double counting were enforced as fail-closed invariants.</w:t>
      </w:r>
    </w:p>
    <w:p w14:paraId="067E8032" w14:textId="77777777">
      <w:pPr>
        <w:pStyle w:val="TableCaption"/>
        <w:keepNext/>
        <w:spacing w:before="140" w:after="60"/>
      </w:pPr>
      <w:r>
        <w:rPr>
          <w:b/>
          <w:bCs/>
          <w:sz w:val="19"/>
        </w:rPr>
        <w:t>Table 5 | Frozen promotion criteria used in the complete retrospective checkpoint audit.</w:t>
      </w:r>
    </w:p>
    <w:tbl>
      <w:tblPr>
        <w:tblStyle w:val="TableGrid"/>
        <w:tblW w:w="0" w:type="auto"/>
        <w:jc w:val="center"/>
        <w:tblLayout w:type="fixed"/>
        <w:tblLook w:val="04A0" w:firstRow="1" w:lastRow="0" w:firstColumn="1" w:lastColumn="0" w:noHBand="0" w:noVBand="1"/>
      </w:tblPr>
      <w:tblGrid>
        <w:gridCol w:w="2268"/>
        <w:gridCol w:w="4139"/>
        <w:gridCol w:w="2665"/>
      </w:tblGrid>
      <w:tr w14:paraId="3CFCCFF4" w14:textId="77777777">
        <w:trPr>
          <w:cantSplit/>
          <w:tblHeader/>
          <w:jc w:val="center"/>
        </w:trPr>
        <w:tc>
          <w:tcPr>
            <w:tcW w:w="2268" w:type="dxa"/>
            <w:shd w:val="clear" w:color="auto" w:fill="EDEDED"/>
            <w:tcMar>
              <w:top w:w="65" w:type="dxa"/>
              <w:left w:w="75" w:type="dxa"/>
              <w:bottom w:w="65" w:type="dxa"/>
              <w:right w:w="75" w:type="dxa"/>
            </w:tcMar>
            <w:vAlign w:val="center"/>
          </w:tcPr>
          <w:p w14:paraId="3E08C1E6" w14:textId="77777777">
            <w:pPr>
              <w:keepNext/>
              <w:spacing w:after="0" w:line="240" w:lineRule="auto"/>
            </w:pPr>
            <w:r>
              <w:rPr>
                <w:b/>
                <w:sz w:val="17"/>
              </w:rPr>
              <w:t>Domain</w:t>
            </w:r>
          </w:p>
        </w:tc>
        <w:tc>
          <w:tcPr>
            <w:tcW w:w="4139" w:type="dxa"/>
            <w:shd w:val="clear" w:color="auto" w:fill="EDEDED"/>
            <w:tcMar>
              <w:top w:w="65" w:type="dxa"/>
              <w:left w:w="75" w:type="dxa"/>
              <w:bottom w:w="65" w:type="dxa"/>
              <w:right w:w="75" w:type="dxa"/>
            </w:tcMar>
            <w:vAlign w:val="center"/>
          </w:tcPr>
          <w:p w14:paraId="7103762F" w14:textId="77777777">
            <w:pPr>
              <w:keepNext/>
              <w:spacing w:after="0" w:line="240" w:lineRule="auto"/>
            </w:pPr>
            <w:r>
              <w:rPr>
                <w:b/>
                <w:sz w:val="17"/>
              </w:rPr>
              <w:t>Metric</w:t>
            </w:r>
          </w:p>
        </w:tc>
        <w:tc>
          <w:tcPr>
            <w:tcW w:w="2665" w:type="dxa"/>
            <w:shd w:val="clear" w:color="auto" w:fill="EDEDED"/>
            <w:tcMar>
              <w:top w:w="65" w:type="dxa"/>
              <w:left w:w="75" w:type="dxa"/>
              <w:bottom w:w="65" w:type="dxa"/>
              <w:right w:w="75" w:type="dxa"/>
            </w:tcMar>
            <w:vAlign w:val="center"/>
          </w:tcPr>
          <w:p w14:paraId="2CD9DCEA" w14:textId="77777777">
            <w:pPr>
              <w:keepNext/>
              <w:spacing w:after="0" w:line="240" w:lineRule="auto"/>
            </w:pPr>
            <w:r>
              <w:rPr>
                <w:b/>
                <w:sz w:val="17"/>
              </w:rPr>
              <w:t>Criterion</w:t>
            </w:r>
          </w:p>
        </w:tc>
      </w:tr>
      <w:tr w14:paraId="63039EE9" w14:textId="77777777">
        <w:trPr>
          <w:cantSplit/>
          <w:jc w:val="center"/>
        </w:trPr>
        <w:tc>
          <w:tcPr>
            <w:tcW w:w="2268" w:type="dxa"/>
            <w:tcMar>
              <w:top w:w="65" w:type="dxa"/>
              <w:left w:w="75" w:type="dxa"/>
              <w:bottom w:w="65" w:type="dxa"/>
              <w:right w:w="75" w:type="dxa"/>
            </w:tcMar>
            <w:vAlign w:val="center"/>
          </w:tcPr>
          <w:p w14:paraId="49C2A067" w14:textId="77777777">
            <w:pPr>
              <w:keepNext/>
              <w:spacing w:after="0" w:line="240" w:lineRule="auto"/>
            </w:pPr>
            <w:r>
              <w:rPr>
                <w:sz w:val="17"/>
              </w:rPr>
              <w:t>Latent utilization</w:t>
            </w:r>
          </w:p>
        </w:tc>
        <w:tc>
          <w:tcPr>
            <w:tcW w:w="4139" w:type="dxa"/>
            <w:tcMar>
              <w:top w:w="65" w:type="dxa"/>
              <w:left w:w="75" w:type="dxa"/>
              <w:bottom w:w="65" w:type="dxa"/>
              <w:right w:w="75" w:type="dxa"/>
            </w:tcMar>
            <w:vAlign w:val="center"/>
          </w:tcPr>
          <w:p w14:paraId="4A906450" w14:textId="77777777">
            <w:pPr>
              <w:keepNext/>
              <w:spacing w:after="0" w:line="240" w:lineRule="auto"/>
            </w:pPr>
            <w:r>
              <w:rPr>
                <w:sz w:val="17"/>
              </w:rPr>
              <w:t>Effective rank</w:t>
            </w:r>
          </w:p>
        </w:tc>
        <w:tc>
          <w:tcPr>
            <w:tcW w:w="2665" w:type="dxa"/>
            <w:tcMar>
              <w:top w:w="65" w:type="dxa"/>
              <w:left w:w="75" w:type="dxa"/>
              <w:bottom w:w="65" w:type="dxa"/>
              <w:right w:w="75" w:type="dxa"/>
            </w:tcMar>
            <w:vAlign w:val="center"/>
          </w:tcPr>
          <w:p w14:paraId="20652330" w14:textId="77777777">
            <w:pPr>
              <w:keepNext/>
              <w:spacing w:after="0" w:line="240" w:lineRule="auto"/>
            </w:pPr>
            <w:r>
              <w:rPr>
                <w:sz w:val="17"/>
              </w:rPr>
              <w:t>≥ 25</w:t>
            </w:r>
          </w:p>
        </w:tc>
      </w:tr>
      <w:tr w14:paraId="5563657F" w14:textId="77777777">
        <w:trPr>
          <w:cantSplit/>
          <w:jc w:val="center"/>
        </w:trPr>
        <w:tc>
          <w:tcPr>
            <w:tcW w:w="2268" w:type="dxa"/>
            <w:tcMar>
              <w:top w:w="65" w:type="dxa"/>
              <w:left w:w="75" w:type="dxa"/>
              <w:bottom w:w="65" w:type="dxa"/>
              <w:right w:w="75" w:type="dxa"/>
            </w:tcMar>
            <w:vAlign w:val="center"/>
          </w:tcPr>
          <w:p w14:paraId="1CF42C82" w14:textId="77777777">
            <w:pPr>
              <w:spacing w:after="0" w:line="240" w:lineRule="auto"/>
            </w:pPr>
            <w:r>
              <w:rPr>
                <w:sz w:val="17"/>
              </w:rPr>
              <w:t>Held-out topology</w:t>
            </w:r>
          </w:p>
        </w:tc>
        <w:tc>
          <w:tcPr>
            <w:tcW w:w="4139" w:type="dxa"/>
            <w:tcMar>
              <w:top w:w="65" w:type="dxa"/>
              <w:left w:w="75" w:type="dxa"/>
              <w:bottom w:w="65" w:type="dxa"/>
              <w:right w:w="75" w:type="dxa"/>
            </w:tcMar>
            <w:vAlign w:val="center"/>
          </w:tcPr>
          <w:p w14:paraId="5E5C453A" w14:textId="77777777">
            <w:pPr>
              <w:spacing w:after="0" w:line="240" w:lineRule="auto"/>
            </w:pPr>
            <w:r>
              <w:rPr>
                <w:sz w:val="17"/>
              </w:rPr>
              <w:t>Mean R²</w:t>
            </w:r>
          </w:p>
        </w:tc>
        <w:tc>
          <w:tcPr>
            <w:tcW w:w="2665" w:type="dxa"/>
            <w:tcMar>
              <w:top w:w="65" w:type="dxa"/>
              <w:left w:w="75" w:type="dxa"/>
              <w:bottom w:w="65" w:type="dxa"/>
              <w:right w:w="75" w:type="dxa"/>
            </w:tcMar>
            <w:vAlign w:val="center"/>
          </w:tcPr>
          <w:p w14:paraId="14D89F49" w14:textId="77777777">
            <w:pPr>
              <w:spacing w:after="0" w:line="240" w:lineRule="auto"/>
            </w:pPr>
            <w:r>
              <w:rPr>
                <w:sz w:val="17"/>
              </w:rPr>
              <w:t>≥ 0.90</w:t>
            </w:r>
          </w:p>
        </w:tc>
      </w:tr>
      <w:tr w14:paraId="17BB2A81" w14:textId="77777777">
        <w:trPr>
          <w:cantSplit/>
          <w:jc w:val="center"/>
        </w:trPr>
        <w:tc>
          <w:tcPr>
            <w:tcW w:w="2268" w:type="dxa"/>
            <w:tcMar>
              <w:top w:w="65" w:type="dxa"/>
              <w:left w:w="75" w:type="dxa"/>
              <w:bottom w:w="65" w:type="dxa"/>
              <w:right w:w="75" w:type="dxa"/>
            </w:tcMar>
            <w:vAlign w:val="center"/>
          </w:tcPr>
          <w:p w14:paraId="613998E5" w14:textId="77777777">
            <w:pPr>
              <w:spacing w:after="0" w:line="240" w:lineRule="auto"/>
            </w:pPr>
            <w:r>
              <w:rPr>
                <w:sz w:val="17"/>
              </w:rPr>
              <w:t>Held-out topology</w:t>
            </w:r>
          </w:p>
        </w:tc>
        <w:tc>
          <w:tcPr>
            <w:tcW w:w="4139" w:type="dxa"/>
            <w:tcMar>
              <w:top w:w="65" w:type="dxa"/>
              <w:left w:w="75" w:type="dxa"/>
              <w:bottom w:w="65" w:type="dxa"/>
              <w:right w:w="75" w:type="dxa"/>
            </w:tcMar>
            <w:vAlign w:val="center"/>
          </w:tcPr>
          <w:p w14:paraId="79AB6846" w14:textId="77777777">
            <w:pPr>
              <w:spacing w:after="0" w:line="240" w:lineRule="auto"/>
            </w:pPr>
            <w:r>
              <w:rPr>
                <w:sz w:val="17"/>
              </w:rPr>
              <w:t>Median R²</w:t>
            </w:r>
          </w:p>
        </w:tc>
        <w:tc>
          <w:tcPr>
            <w:tcW w:w="2665" w:type="dxa"/>
            <w:tcMar>
              <w:top w:w="65" w:type="dxa"/>
              <w:left w:w="75" w:type="dxa"/>
              <w:bottom w:w="65" w:type="dxa"/>
              <w:right w:w="75" w:type="dxa"/>
            </w:tcMar>
            <w:vAlign w:val="center"/>
          </w:tcPr>
          <w:p w14:paraId="3FCC3287" w14:textId="77777777">
            <w:pPr>
              <w:spacing w:after="0" w:line="240" w:lineRule="auto"/>
            </w:pPr>
            <w:r>
              <w:rPr>
                <w:sz w:val="17"/>
              </w:rPr>
              <w:t>≥ 0.95</w:t>
            </w:r>
          </w:p>
        </w:tc>
      </w:tr>
      <w:tr w14:paraId="48DAD5D7" w14:textId="77777777">
        <w:trPr>
          <w:cantSplit/>
          <w:jc w:val="center"/>
        </w:trPr>
        <w:tc>
          <w:tcPr>
            <w:tcW w:w="2268" w:type="dxa"/>
            <w:tcMar>
              <w:top w:w="65" w:type="dxa"/>
              <w:left w:w="75" w:type="dxa"/>
              <w:bottom w:w="65" w:type="dxa"/>
              <w:right w:w="75" w:type="dxa"/>
            </w:tcMar>
            <w:vAlign w:val="center"/>
          </w:tcPr>
          <w:p w14:paraId="025A58F4" w14:textId="77777777">
            <w:pPr>
              <w:spacing w:after="0" w:line="240" w:lineRule="auto"/>
            </w:pPr>
            <w:r>
              <w:rPr>
                <w:sz w:val="17"/>
              </w:rPr>
              <w:t>Held-out topology</w:t>
            </w:r>
          </w:p>
        </w:tc>
        <w:tc>
          <w:tcPr>
            <w:tcW w:w="4139" w:type="dxa"/>
            <w:tcMar>
              <w:top w:w="65" w:type="dxa"/>
              <w:left w:w="75" w:type="dxa"/>
              <w:bottom w:w="65" w:type="dxa"/>
              <w:right w:w="75" w:type="dxa"/>
            </w:tcMar>
            <w:vAlign w:val="center"/>
          </w:tcPr>
          <w:p w14:paraId="5F13440F" w14:textId="77777777">
            <w:pPr>
              <w:spacing w:after="0" w:line="240" w:lineRule="auto"/>
            </w:pPr>
            <w:r>
              <w:rPr>
                <w:sz w:val="17"/>
              </w:rPr>
              <w:t>Mean standardized MAE</w:t>
            </w:r>
          </w:p>
        </w:tc>
        <w:tc>
          <w:tcPr>
            <w:tcW w:w="2665" w:type="dxa"/>
            <w:tcMar>
              <w:top w:w="65" w:type="dxa"/>
              <w:left w:w="75" w:type="dxa"/>
              <w:bottom w:w="65" w:type="dxa"/>
              <w:right w:w="75" w:type="dxa"/>
            </w:tcMar>
            <w:vAlign w:val="center"/>
          </w:tcPr>
          <w:p w14:paraId="0126CEDE" w14:textId="77777777">
            <w:pPr>
              <w:spacing w:after="0" w:line="240" w:lineRule="auto"/>
            </w:pPr>
            <w:r>
              <w:rPr>
                <w:sz w:val="17"/>
              </w:rPr>
              <w:t>≤ 0.15</w:t>
            </w:r>
          </w:p>
        </w:tc>
      </w:tr>
      <w:tr w14:paraId="0AB1671B" w14:textId="77777777">
        <w:trPr>
          <w:cantSplit/>
          <w:jc w:val="center"/>
        </w:trPr>
        <w:tc>
          <w:tcPr>
            <w:tcW w:w="2268" w:type="dxa"/>
            <w:tcMar>
              <w:top w:w="65" w:type="dxa"/>
              <w:left w:w="75" w:type="dxa"/>
              <w:bottom w:w="65" w:type="dxa"/>
              <w:right w:w="75" w:type="dxa"/>
            </w:tcMar>
            <w:vAlign w:val="center"/>
          </w:tcPr>
          <w:p w14:paraId="0E4A85FB" w14:textId="77777777">
            <w:pPr>
              <w:spacing w:after="0" w:line="240" w:lineRule="auto"/>
            </w:pPr>
            <w:r>
              <w:rPr>
                <w:sz w:val="17"/>
              </w:rPr>
              <w:t>Held-out topology</w:t>
            </w:r>
          </w:p>
        </w:tc>
        <w:tc>
          <w:tcPr>
            <w:tcW w:w="4139" w:type="dxa"/>
            <w:tcMar>
              <w:top w:w="65" w:type="dxa"/>
              <w:left w:w="75" w:type="dxa"/>
              <w:bottom w:w="65" w:type="dxa"/>
              <w:right w:w="75" w:type="dxa"/>
            </w:tcMar>
            <w:vAlign w:val="center"/>
          </w:tcPr>
          <w:p w14:paraId="5C02AA33" w14:textId="77777777">
            <w:pPr>
              <w:spacing w:after="0" w:line="240" w:lineRule="auto"/>
            </w:pPr>
            <w:r>
              <w:rPr>
                <w:sz w:val="17"/>
              </w:rPr>
              <w:t>Scaffold-disjoint mean R²</w:t>
            </w:r>
          </w:p>
        </w:tc>
        <w:tc>
          <w:tcPr>
            <w:tcW w:w="2665" w:type="dxa"/>
            <w:tcMar>
              <w:top w:w="65" w:type="dxa"/>
              <w:left w:w="75" w:type="dxa"/>
              <w:bottom w:w="65" w:type="dxa"/>
              <w:right w:w="75" w:type="dxa"/>
            </w:tcMar>
            <w:vAlign w:val="center"/>
          </w:tcPr>
          <w:p w14:paraId="6D485352" w14:textId="77777777">
            <w:pPr>
              <w:spacing w:after="0" w:line="240" w:lineRule="auto"/>
            </w:pPr>
            <w:r>
              <w:rPr>
                <w:sz w:val="17"/>
              </w:rPr>
              <w:t>≥ 0.95</w:t>
            </w:r>
          </w:p>
        </w:tc>
      </w:tr>
      <w:tr w14:paraId="46C5038F" w14:textId="77777777">
        <w:trPr>
          <w:cantSplit/>
          <w:jc w:val="center"/>
        </w:trPr>
        <w:tc>
          <w:tcPr>
            <w:tcW w:w="2268" w:type="dxa"/>
            <w:tcMar>
              <w:top w:w="65" w:type="dxa"/>
              <w:left w:w="75" w:type="dxa"/>
              <w:bottom w:w="65" w:type="dxa"/>
              <w:right w:w="75" w:type="dxa"/>
            </w:tcMar>
            <w:vAlign w:val="center"/>
          </w:tcPr>
          <w:p w14:paraId="52CD2317" w14:textId="77777777">
            <w:pPr>
              <w:spacing w:after="0" w:line="240" w:lineRule="auto"/>
            </w:pPr>
            <w:r>
              <w:rPr>
                <w:sz w:val="17"/>
              </w:rPr>
              <w:t>Retrieval</w:t>
            </w:r>
          </w:p>
        </w:tc>
        <w:tc>
          <w:tcPr>
            <w:tcW w:w="4139" w:type="dxa"/>
            <w:tcMar>
              <w:top w:w="65" w:type="dxa"/>
              <w:left w:w="75" w:type="dxa"/>
              <w:bottom w:w="65" w:type="dxa"/>
              <w:right w:w="75" w:type="dxa"/>
            </w:tcMar>
            <w:vAlign w:val="center"/>
          </w:tcPr>
          <w:p w14:paraId="22C8109C" w14:textId="77777777">
            <w:pPr>
              <w:spacing w:after="0" w:line="240" w:lineRule="auto"/>
            </w:pPr>
            <w:r>
              <w:rPr>
                <w:sz w:val="17"/>
              </w:rPr>
              <w:t>Morgan recall@10</w:t>
            </w:r>
          </w:p>
        </w:tc>
        <w:tc>
          <w:tcPr>
            <w:tcW w:w="2665" w:type="dxa"/>
            <w:tcMar>
              <w:top w:w="65" w:type="dxa"/>
              <w:left w:w="75" w:type="dxa"/>
              <w:bottom w:w="65" w:type="dxa"/>
              <w:right w:w="75" w:type="dxa"/>
            </w:tcMar>
            <w:vAlign w:val="center"/>
          </w:tcPr>
          <w:p w14:paraId="7031EFAF" w14:textId="77777777">
            <w:pPr>
              <w:spacing w:after="0" w:line="240" w:lineRule="auto"/>
            </w:pPr>
            <w:r>
              <w:rPr>
                <w:sz w:val="17"/>
              </w:rPr>
              <w:t>≥ 0.18</w:t>
            </w:r>
          </w:p>
        </w:tc>
      </w:tr>
      <w:tr w14:paraId="247053C7" w14:textId="77777777">
        <w:trPr>
          <w:cantSplit/>
          <w:jc w:val="center"/>
        </w:trPr>
        <w:tc>
          <w:tcPr>
            <w:tcW w:w="2268" w:type="dxa"/>
            <w:tcMar>
              <w:top w:w="65" w:type="dxa"/>
              <w:left w:w="75" w:type="dxa"/>
              <w:bottom w:w="65" w:type="dxa"/>
              <w:right w:w="75" w:type="dxa"/>
            </w:tcMar>
            <w:vAlign w:val="center"/>
          </w:tcPr>
          <w:p w14:paraId="0F266FE0" w14:textId="77777777">
            <w:pPr>
              <w:spacing w:after="0" w:line="240" w:lineRule="auto"/>
            </w:pPr>
            <w:r>
              <w:rPr>
                <w:sz w:val="17"/>
              </w:rPr>
              <w:t>Retrieval</w:t>
            </w:r>
          </w:p>
        </w:tc>
        <w:tc>
          <w:tcPr>
            <w:tcW w:w="4139" w:type="dxa"/>
            <w:tcMar>
              <w:top w:w="65" w:type="dxa"/>
              <w:left w:w="75" w:type="dxa"/>
              <w:bottom w:w="65" w:type="dxa"/>
              <w:right w:w="75" w:type="dxa"/>
            </w:tcMar>
            <w:vAlign w:val="center"/>
          </w:tcPr>
          <w:p w14:paraId="509E9F91" w14:textId="77777777">
            <w:pPr>
              <w:spacing w:after="0" w:line="240" w:lineRule="auto"/>
            </w:pPr>
            <w:r>
              <w:rPr>
                <w:sz w:val="17"/>
              </w:rPr>
              <w:t>Cosine-Tanimoto Spearman</w:t>
            </w:r>
          </w:p>
        </w:tc>
        <w:tc>
          <w:tcPr>
            <w:tcW w:w="2665" w:type="dxa"/>
            <w:tcMar>
              <w:top w:w="65" w:type="dxa"/>
              <w:left w:w="75" w:type="dxa"/>
              <w:bottom w:w="65" w:type="dxa"/>
              <w:right w:w="75" w:type="dxa"/>
            </w:tcMar>
            <w:vAlign w:val="center"/>
          </w:tcPr>
          <w:p w14:paraId="705C6A8B" w14:textId="77777777">
            <w:pPr>
              <w:spacing w:after="0" w:line="240" w:lineRule="auto"/>
            </w:pPr>
            <w:r>
              <w:rPr>
                <w:sz w:val="17"/>
              </w:rPr>
              <w:t>≥ 0.35</w:t>
            </w:r>
          </w:p>
        </w:tc>
      </w:tr>
      <w:tr w14:paraId="084C4C73" w14:textId="77777777">
        <w:trPr>
          <w:cantSplit/>
          <w:jc w:val="center"/>
        </w:trPr>
        <w:tc>
          <w:tcPr>
            <w:tcW w:w="2268" w:type="dxa"/>
            <w:tcMar>
              <w:top w:w="65" w:type="dxa"/>
              <w:left w:w="75" w:type="dxa"/>
              <w:bottom w:w="65" w:type="dxa"/>
              <w:right w:w="75" w:type="dxa"/>
            </w:tcMar>
            <w:vAlign w:val="center"/>
          </w:tcPr>
          <w:p w14:paraId="044AC7BF" w14:textId="77777777">
            <w:pPr>
              <w:spacing w:after="0" w:line="240" w:lineRule="auto"/>
            </w:pPr>
            <w:r>
              <w:rPr>
                <w:sz w:val="17"/>
              </w:rPr>
              <w:t>Retrieval</w:t>
            </w:r>
          </w:p>
        </w:tc>
        <w:tc>
          <w:tcPr>
            <w:tcW w:w="4139" w:type="dxa"/>
            <w:tcMar>
              <w:top w:w="65" w:type="dxa"/>
              <w:left w:w="75" w:type="dxa"/>
              <w:bottom w:w="65" w:type="dxa"/>
              <w:right w:w="75" w:type="dxa"/>
            </w:tcMar>
            <w:vAlign w:val="center"/>
          </w:tcPr>
          <w:p w14:paraId="43DDA4AE" w14:textId="77777777">
            <w:pPr>
              <w:spacing w:after="0" w:line="240" w:lineRule="auto"/>
            </w:pPr>
            <w:r>
              <w:rPr>
                <w:sz w:val="17"/>
              </w:rPr>
              <w:t>Neighbor mean Tanimoto</w:t>
            </w:r>
          </w:p>
        </w:tc>
        <w:tc>
          <w:tcPr>
            <w:tcW w:w="2665" w:type="dxa"/>
            <w:tcMar>
              <w:top w:w="65" w:type="dxa"/>
              <w:left w:w="75" w:type="dxa"/>
              <w:bottom w:w="65" w:type="dxa"/>
              <w:right w:w="75" w:type="dxa"/>
            </w:tcMar>
            <w:vAlign w:val="center"/>
          </w:tcPr>
          <w:p w14:paraId="29038D31" w14:textId="77777777">
            <w:pPr>
              <w:spacing w:after="0" w:line="240" w:lineRule="auto"/>
            </w:pPr>
            <w:r>
              <w:rPr>
                <w:sz w:val="17"/>
              </w:rPr>
              <w:t>≥ 0.20</w:t>
            </w:r>
          </w:p>
        </w:tc>
      </w:tr>
      <w:tr w14:paraId="3CF210B3" w14:textId="77777777">
        <w:trPr>
          <w:cantSplit/>
          <w:jc w:val="center"/>
        </w:trPr>
        <w:tc>
          <w:tcPr>
            <w:tcW w:w="2268" w:type="dxa"/>
            <w:tcMar>
              <w:top w:w="65" w:type="dxa"/>
              <w:left w:w="75" w:type="dxa"/>
              <w:bottom w:w="65" w:type="dxa"/>
              <w:right w:w="75" w:type="dxa"/>
            </w:tcMar>
            <w:vAlign w:val="center"/>
          </w:tcPr>
          <w:p w14:paraId="721D7B5E" w14:textId="77777777">
            <w:pPr>
              <w:spacing w:after="0" w:line="240" w:lineRule="auto"/>
            </w:pPr>
            <w:r>
              <w:rPr>
                <w:sz w:val="17"/>
              </w:rPr>
              <w:t>Retrieval</w:t>
            </w:r>
          </w:p>
        </w:tc>
        <w:tc>
          <w:tcPr>
            <w:tcW w:w="4139" w:type="dxa"/>
            <w:tcMar>
              <w:top w:w="65" w:type="dxa"/>
              <w:left w:w="75" w:type="dxa"/>
              <w:bottom w:w="65" w:type="dxa"/>
              <w:right w:w="75" w:type="dxa"/>
            </w:tcMar>
            <w:vAlign w:val="center"/>
          </w:tcPr>
          <w:p w14:paraId="7012A9B3" w14:textId="77777777">
            <w:pPr>
              <w:spacing w:after="0" w:line="240" w:lineRule="auto"/>
            </w:pPr>
            <w:r>
              <w:rPr>
                <w:sz w:val="17"/>
              </w:rPr>
              <w:t>Neighbor-Tanimoto enrichment</w:t>
            </w:r>
          </w:p>
        </w:tc>
        <w:tc>
          <w:tcPr>
            <w:tcW w:w="2665" w:type="dxa"/>
            <w:tcMar>
              <w:top w:w="65" w:type="dxa"/>
              <w:left w:w="75" w:type="dxa"/>
              <w:bottom w:w="65" w:type="dxa"/>
              <w:right w:w="75" w:type="dxa"/>
            </w:tcMar>
            <w:vAlign w:val="center"/>
          </w:tcPr>
          <w:p w14:paraId="17052F3E" w14:textId="77777777">
            <w:pPr>
              <w:spacing w:after="0" w:line="240" w:lineRule="auto"/>
            </w:pPr>
            <w:r>
              <w:rPr>
                <w:sz w:val="17"/>
              </w:rPr>
              <w:t>≥ 1.70-fold</w:t>
            </w:r>
          </w:p>
        </w:tc>
      </w:tr>
      <w:tr w14:paraId="4C47D239" w14:textId="77777777">
        <w:trPr>
          <w:cantSplit/>
          <w:jc w:val="center"/>
        </w:trPr>
        <w:tc>
          <w:tcPr>
            <w:tcW w:w="2268" w:type="dxa"/>
            <w:tcMar>
              <w:top w:w="65" w:type="dxa"/>
              <w:left w:w="75" w:type="dxa"/>
              <w:bottom w:w="65" w:type="dxa"/>
              <w:right w:w="75" w:type="dxa"/>
            </w:tcMar>
            <w:vAlign w:val="center"/>
          </w:tcPr>
          <w:p w14:paraId="2D777F31" w14:textId="77777777">
            <w:pPr>
              <w:spacing w:after="0" w:line="240" w:lineRule="auto"/>
            </w:pPr>
            <w:r>
              <w:rPr>
                <w:sz w:val="17"/>
              </w:rPr>
              <w:t>Scaffold neighborhood</w:t>
            </w:r>
          </w:p>
        </w:tc>
        <w:tc>
          <w:tcPr>
            <w:tcW w:w="4139" w:type="dxa"/>
            <w:tcMar>
              <w:top w:w="65" w:type="dxa"/>
              <w:left w:w="75" w:type="dxa"/>
              <w:bottom w:w="65" w:type="dxa"/>
              <w:right w:w="75" w:type="dxa"/>
            </w:tcMar>
            <w:vAlign w:val="center"/>
          </w:tcPr>
          <w:p w14:paraId="5C573E4F" w14:textId="77777777">
            <w:pPr>
              <w:spacing w:after="0" w:line="240" w:lineRule="auto"/>
            </w:pPr>
            <w:r>
              <w:rPr>
                <w:sz w:val="17"/>
              </w:rPr>
              <w:t>Purity enrichment</w:t>
            </w:r>
          </w:p>
        </w:tc>
        <w:tc>
          <w:tcPr>
            <w:tcW w:w="2665" w:type="dxa"/>
            <w:tcMar>
              <w:top w:w="65" w:type="dxa"/>
              <w:left w:w="75" w:type="dxa"/>
              <w:bottom w:w="65" w:type="dxa"/>
              <w:right w:w="75" w:type="dxa"/>
            </w:tcMar>
            <w:vAlign w:val="center"/>
          </w:tcPr>
          <w:p w14:paraId="19FE4FCB" w14:textId="77777777">
            <w:pPr>
              <w:spacing w:after="0" w:line="240" w:lineRule="auto"/>
            </w:pPr>
            <w:r>
              <w:rPr>
                <w:sz w:val="17"/>
              </w:rPr>
              <w:t>≥ 25-fold</w:t>
            </w:r>
          </w:p>
        </w:tc>
      </w:tr>
      <w:tr w14:paraId="082EBE1B" w14:textId="77777777">
        <w:trPr>
          <w:cantSplit/>
          <w:jc w:val="center"/>
        </w:trPr>
        <w:tc>
          <w:tcPr>
            <w:tcW w:w="2268" w:type="dxa"/>
            <w:tcMar>
              <w:top w:w="65" w:type="dxa"/>
              <w:left w:w="75" w:type="dxa"/>
              <w:bottom w:w="65" w:type="dxa"/>
              <w:right w:w="75" w:type="dxa"/>
            </w:tcMar>
            <w:vAlign w:val="center"/>
          </w:tcPr>
          <w:p w14:paraId="7A58A660" w14:textId="77777777">
            <w:pPr>
              <w:spacing w:after="0" w:line="240" w:lineRule="auto"/>
            </w:pPr>
            <w:r>
              <w:rPr>
                <w:sz w:val="17"/>
              </w:rPr>
              <w:t>Clustering</w:t>
            </w:r>
          </w:p>
        </w:tc>
        <w:tc>
          <w:tcPr>
            <w:tcW w:w="4139" w:type="dxa"/>
            <w:tcMar>
              <w:top w:w="65" w:type="dxa"/>
              <w:left w:w="75" w:type="dxa"/>
              <w:bottom w:w="65" w:type="dxa"/>
              <w:right w:w="75" w:type="dxa"/>
            </w:tcMar>
            <w:vAlign w:val="center"/>
          </w:tcPr>
          <w:p w14:paraId="35F3B0A1" w14:textId="77777777">
            <w:pPr>
              <w:spacing w:after="0" w:line="240" w:lineRule="auto"/>
            </w:pPr>
            <w:r>
              <w:rPr>
                <w:sz w:val="17"/>
              </w:rPr>
              <w:t>Learned ARI</w:t>
            </w:r>
          </w:p>
        </w:tc>
        <w:tc>
          <w:tcPr>
            <w:tcW w:w="2665" w:type="dxa"/>
            <w:tcMar>
              <w:top w:w="65" w:type="dxa"/>
              <w:left w:w="75" w:type="dxa"/>
              <w:bottom w:w="65" w:type="dxa"/>
              <w:right w:w="75" w:type="dxa"/>
            </w:tcMar>
            <w:vAlign w:val="center"/>
          </w:tcPr>
          <w:p w14:paraId="60CBDEC9" w14:textId="77777777">
            <w:pPr>
              <w:spacing w:after="0" w:line="240" w:lineRule="auto"/>
            </w:pPr>
            <w:r>
              <w:rPr>
                <w:sz w:val="17"/>
              </w:rPr>
              <w:t>≥ matched Morgan ARI</w:t>
            </w:r>
          </w:p>
        </w:tc>
      </w:tr>
      <w:tr w14:paraId="45CD552E" w14:textId="77777777">
        <w:trPr>
          <w:cantSplit/>
          <w:jc w:val="center"/>
        </w:trPr>
        <w:tc>
          <w:tcPr>
            <w:tcW w:w="2268" w:type="dxa"/>
            <w:tcMar>
              <w:top w:w="65" w:type="dxa"/>
              <w:left w:w="75" w:type="dxa"/>
              <w:bottom w:w="65" w:type="dxa"/>
              <w:right w:w="75" w:type="dxa"/>
            </w:tcMar>
            <w:vAlign w:val="center"/>
          </w:tcPr>
          <w:p w14:paraId="043FD9AB" w14:textId="77777777">
            <w:pPr>
              <w:spacing w:after="0" w:line="240" w:lineRule="auto"/>
            </w:pPr>
            <w:r>
              <w:rPr>
                <w:sz w:val="17"/>
              </w:rPr>
              <w:t>Clustering</w:t>
            </w:r>
          </w:p>
        </w:tc>
        <w:tc>
          <w:tcPr>
            <w:tcW w:w="4139" w:type="dxa"/>
            <w:tcMar>
              <w:top w:w="65" w:type="dxa"/>
              <w:left w:w="75" w:type="dxa"/>
              <w:bottom w:w="65" w:type="dxa"/>
              <w:right w:w="75" w:type="dxa"/>
            </w:tcMar>
            <w:vAlign w:val="center"/>
          </w:tcPr>
          <w:p w14:paraId="208E3004" w14:textId="77777777">
            <w:pPr>
              <w:spacing w:after="0" w:line="240" w:lineRule="auto"/>
            </w:pPr>
            <w:r>
              <w:rPr>
                <w:sz w:val="17"/>
              </w:rPr>
              <w:t>Learned NMI</w:t>
            </w:r>
          </w:p>
        </w:tc>
        <w:tc>
          <w:tcPr>
            <w:tcW w:w="2665" w:type="dxa"/>
            <w:tcMar>
              <w:top w:w="65" w:type="dxa"/>
              <w:left w:w="75" w:type="dxa"/>
              <w:bottom w:w="65" w:type="dxa"/>
              <w:right w:w="75" w:type="dxa"/>
            </w:tcMar>
            <w:vAlign w:val="center"/>
          </w:tcPr>
          <w:p w14:paraId="09D4DA74" w14:textId="77777777">
            <w:pPr>
              <w:spacing w:after="0" w:line="240" w:lineRule="auto"/>
            </w:pPr>
            <w:r>
              <w:rPr>
                <w:sz w:val="17"/>
              </w:rPr>
              <w:t>≥ Morgan NMI - 0.03</w:t>
            </w:r>
          </w:p>
        </w:tc>
      </w:tr>
      <w:tr w14:paraId="773A5E37" w14:textId="77777777">
        <w:trPr>
          <w:cantSplit/>
          <w:jc w:val="center"/>
        </w:trPr>
        <w:tc>
          <w:tcPr>
            <w:tcW w:w="2268" w:type="dxa"/>
            <w:tcMar>
              <w:top w:w="65" w:type="dxa"/>
              <w:left w:w="75" w:type="dxa"/>
              <w:bottom w:w="65" w:type="dxa"/>
              <w:right w:w="75" w:type="dxa"/>
            </w:tcMar>
            <w:vAlign w:val="center"/>
          </w:tcPr>
          <w:p w14:paraId="714992A9" w14:textId="77777777">
            <w:pPr>
              <w:spacing w:after="0" w:line="240" w:lineRule="auto"/>
            </w:pPr>
            <w:r>
              <w:rPr>
                <w:sz w:val="17"/>
              </w:rPr>
              <w:t>BACE</w:t>
            </w:r>
          </w:p>
        </w:tc>
        <w:tc>
          <w:tcPr>
            <w:tcW w:w="4139" w:type="dxa"/>
            <w:tcMar>
              <w:top w:w="65" w:type="dxa"/>
              <w:left w:w="75" w:type="dxa"/>
              <w:bottom w:w="65" w:type="dxa"/>
              <w:right w:w="75" w:type="dxa"/>
            </w:tcMar>
            <w:vAlign w:val="center"/>
          </w:tcPr>
          <w:p w14:paraId="2E8C4C24" w14:textId="77777777">
            <w:pPr>
              <w:spacing w:after="0" w:line="240" w:lineRule="auto"/>
            </w:pPr>
            <w:r>
              <w:rPr>
                <w:sz w:val="17"/>
              </w:rPr>
              <w:t>Mean ROC-AUC</w:t>
            </w:r>
          </w:p>
        </w:tc>
        <w:tc>
          <w:tcPr>
            <w:tcW w:w="2665" w:type="dxa"/>
            <w:tcMar>
              <w:top w:w="65" w:type="dxa"/>
              <w:left w:w="75" w:type="dxa"/>
              <w:bottom w:w="65" w:type="dxa"/>
              <w:right w:w="75" w:type="dxa"/>
            </w:tcMar>
            <w:vAlign w:val="center"/>
          </w:tcPr>
          <w:p w14:paraId="5751C689" w14:textId="77777777">
            <w:pPr>
              <w:spacing w:after="0" w:line="240" w:lineRule="auto"/>
            </w:pPr>
            <w:r>
              <w:rPr>
                <w:sz w:val="17"/>
              </w:rPr>
              <w:t>≥ 0.82</w:t>
            </w:r>
          </w:p>
        </w:tc>
      </w:tr>
      <w:tr w14:paraId="494187E7" w14:textId="77777777">
        <w:trPr>
          <w:cantSplit/>
          <w:jc w:val="center"/>
        </w:trPr>
        <w:tc>
          <w:tcPr>
            <w:tcW w:w="2268" w:type="dxa"/>
            <w:tcMar>
              <w:top w:w="65" w:type="dxa"/>
              <w:left w:w="75" w:type="dxa"/>
              <w:bottom w:w="65" w:type="dxa"/>
              <w:right w:w="75" w:type="dxa"/>
            </w:tcMar>
            <w:vAlign w:val="center"/>
          </w:tcPr>
          <w:p w14:paraId="153D6C21" w14:textId="77777777">
            <w:pPr>
              <w:spacing w:after="0" w:line="240" w:lineRule="auto"/>
            </w:pPr>
            <w:r>
              <w:rPr>
                <w:sz w:val="17"/>
              </w:rPr>
              <w:t>BBBP</w:t>
            </w:r>
          </w:p>
        </w:tc>
        <w:tc>
          <w:tcPr>
            <w:tcW w:w="4139" w:type="dxa"/>
            <w:tcMar>
              <w:top w:w="65" w:type="dxa"/>
              <w:left w:w="75" w:type="dxa"/>
              <w:bottom w:w="65" w:type="dxa"/>
              <w:right w:w="75" w:type="dxa"/>
            </w:tcMar>
            <w:vAlign w:val="center"/>
          </w:tcPr>
          <w:p w14:paraId="7069E31C" w14:textId="77777777">
            <w:pPr>
              <w:spacing w:after="0" w:line="240" w:lineRule="auto"/>
            </w:pPr>
            <w:r>
              <w:rPr>
                <w:sz w:val="17"/>
              </w:rPr>
              <w:t>Mean ROC-AUC</w:t>
            </w:r>
          </w:p>
        </w:tc>
        <w:tc>
          <w:tcPr>
            <w:tcW w:w="2665" w:type="dxa"/>
            <w:tcMar>
              <w:top w:w="65" w:type="dxa"/>
              <w:left w:w="75" w:type="dxa"/>
              <w:bottom w:w="65" w:type="dxa"/>
              <w:right w:w="75" w:type="dxa"/>
            </w:tcMar>
            <w:vAlign w:val="center"/>
          </w:tcPr>
          <w:p w14:paraId="293AA10F" w14:textId="77777777">
            <w:pPr>
              <w:spacing w:after="0" w:line="240" w:lineRule="auto"/>
            </w:pPr>
            <w:r>
              <w:rPr>
                <w:sz w:val="17"/>
              </w:rPr>
              <w:t>≥ 0.87</w:t>
            </w:r>
          </w:p>
        </w:tc>
      </w:tr>
      <w:tr w14:paraId="37F92023" w14:textId="77777777">
        <w:trPr>
          <w:cantSplit/>
          <w:jc w:val="center"/>
        </w:trPr>
        <w:tc>
          <w:tcPr>
            <w:tcW w:w="2268" w:type="dxa"/>
            <w:tcMar>
              <w:top w:w="65" w:type="dxa"/>
              <w:left w:w="75" w:type="dxa"/>
              <w:bottom w:w="65" w:type="dxa"/>
              <w:right w:w="75" w:type="dxa"/>
            </w:tcMar>
            <w:vAlign w:val="center"/>
          </w:tcPr>
          <w:p w14:paraId="72077F62" w14:textId="77777777">
            <w:pPr>
              <w:spacing w:after="0" w:line="240" w:lineRule="auto"/>
            </w:pPr>
            <w:r>
              <w:rPr>
                <w:sz w:val="17"/>
              </w:rPr>
              <w:t>ESOL</w:t>
            </w:r>
          </w:p>
        </w:tc>
        <w:tc>
          <w:tcPr>
            <w:tcW w:w="4139" w:type="dxa"/>
            <w:tcMar>
              <w:top w:w="65" w:type="dxa"/>
              <w:left w:w="75" w:type="dxa"/>
              <w:bottom w:w="65" w:type="dxa"/>
              <w:right w:w="75" w:type="dxa"/>
            </w:tcMar>
            <w:vAlign w:val="center"/>
          </w:tcPr>
          <w:p w14:paraId="24AEC3F8" w14:textId="77777777">
            <w:pPr>
              <w:spacing w:after="0" w:line="240" w:lineRule="auto"/>
            </w:pPr>
            <w:r>
              <w:rPr>
                <w:sz w:val="17"/>
              </w:rPr>
              <w:t>Mean RMSE</w:t>
            </w:r>
          </w:p>
        </w:tc>
        <w:tc>
          <w:tcPr>
            <w:tcW w:w="2665" w:type="dxa"/>
            <w:tcMar>
              <w:top w:w="65" w:type="dxa"/>
              <w:left w:w="75" w:type="dxa"/>
              <w:bottom w:w="65" w:type="dxa"/>
              <w:right w:w="75" w:type="dxa"/>
            </w:tcMar>
            <w:vAlign w:val="center"/>
          </w:tcPr>
          <w:p w14:paraId="5FA0D430" w14:textId="77777777">
            <w:pPr>
              <w:spacing w:after="0" w:line="240" w:lineRule="auto"/>
            </w:pPr>
            <w:r>
              <w:rPr>
                <w:sz w:val="17"/>
              </w:rPr>
              <w:t>≤ 0.80</w:t>
            </w:r>
          </w:p>
        </w:tc>
      </w:tr>
      <w:tr w14:paraId="0F92626E" w14:textId="77777777">
        <w:trPr>
          <w:cantSplit/>
          <w:jc w:val="center"/>
        </w:trPr>
        <w:tc>
          <w:tcPr>
            <w:tcW w:w="2268" w:type="dxa"/>
            <w:tcMar>
              <w:top w:w="65" w:type="dxa"/>
              <w:left w:w="75" w:type="dxa"/>
              <w:bottom w:w="65" w:type="dxa"/>
              <w:right w:w="75" w:type="dxa"/>
            </w:tcMar>
            <w:vAlign w:val="center"/>
          </w:tcPr>
          <w:p w14:paraId="6B52AB5D" w14:textId="77777777">
            <w:pPr>
              <w:spacing w:after="0" w:line="240" w:lineRule="auto"/>
            </w:pPr>
            <w:r>
              <w:rPr>
                <w:sz w:val="17"/>
              </w:rPr>
              <w:t>FreeSolv</w:t>
            </w:r>
          </w:p>
        </w:tc>
        <w:tc>
          <w:tcPr>
            <w:tcW w:w="4139" w:type="dxa"/>
            <w:tcMar>
              <w:top w:w="65" w:type="dxa"/>
              <w:left w:w="75" w:type="dxa"/>
              <w:bottom w:w="65" w:type="dxa"/>
              <w:right w:w="75" w:type="dxa"/>
            </w:tcMar>
            <w:vAlign w:val="center"/>
          </w:tcPr>
          <w:p w14:paraId="5D850805" w14:textId="77777777">
            <w:pPr>
              <w:spacing w:after="0" w:line="240" w:lineRule="auto"/>
            </w:pPr>
            <w:r>
              <w:rPr>
                <w:sz w:val="17"/>
              </w:rPr>
              <w:t>Mean RMSE</w:t>
            </w:r>
          </w:p>
        </w:tc>
        <w:tc>
          <w:tcPr>
            <w:tcW w:w="2665" w:type="dxa"/>
            <w:tcMar>
              <w:top w:w="65" w:type="dxa"/>
              <w:left w:w="75" w:type="dxa"/>
              <w:bottom w:w="65" w:type="dxa"/>
              <w:right w:w="75" w:type="dxa"/>
            </w:tcMar>
            <w:vAlign w:val="center"/>
          </w:tcPr>
          <w:p w14:paraId="53917DC2" w14:textId="77777777">
            <w:pPr>
              <w:spacing w:after="0" w:line="240" w:lineRule="auto"/>
            </w:pPr>
            <w:r>
              <w:rPr>
                <w:sz w:val="17"/>
              </w:rPr>
              <w:t>≤ 1.30</w:t>
            </w:r>
          </w:p>
        </w:tc>
      </w:tr>
      <w:tr w14:paraId="29B2C667" w14:textId="77777777">
        <w:trPr>
          <w:cantSplit/>
          <w:jc w:val="center"/>
        </w:trPr>
        <w:tc>
          <w:tcPr>
            <w:tcW w:w="2268" w:type="dxa"/>
            <w:tcMar>
              <w:top w:w="65" w:type="dxa"/>
              <w:left w:w="75" w:type="dxa"/>
              <w:bottom w:w="65" w:type="dxa"/>
              <w:right w:w="75" w:type="dxa"/>
            </w:tcMar>
            <w:vAlign w:val="center"/>
          </w:tcPr>
          <w:p w14:paraId="7DD6DF76" w14:textId="77777777">
            <w:pPr>
              <w:spacing w:after="0" w:line="240" w:lineRule="auto"/>
            </w:pPr>
            <w:r>
              <w:rPr>
                <w:sz w:val="17"/>
              </w:rPr>
              <w:t>Lipophilicity</w:t>
            </w:r>
          </w:p>
        </w:tc>
        <w:tc>
          <w:tcPr>
            <w:tcW w:w="4139" w:type="dxa"/>
            <w:tcMar>
              <w:top w:w="65" w:type="dxa"/>
              <w:left w:w="75" w:type="dxa"/>
              <w:bottom w:w="65" w:type="dxa"/>
              <w:right w:w="75" w:type="dxa"/>
            </w:tcMar>
            <w:vAlign w:val="center"/>
          </w:tcPr>
          <w:p w14:paraId="3747B957" w14:textId="77777777">
            <w:pPr>
              <w:spacing w:after="0" w:line="240" w:lineRule="auto"/>
            </w:pPr>
            <w:r>
              <w:rPr>
                <w:sz w:val="17"/>
              </w:rPr>
              <w:t>Mean RMSE</w:t>
            </w:r>
          </w:p>
        </w:tc>
        <w:tc>
          <w:tcPr>
            <w:tcW w:w="2665" w:type="dxa"/>
            <w:tcMar>
              <w:top w:w="65" w:type="dxa"/>
              <w:left w:w="75" w:type="dxa"/>
              <w:bottom w:w="65" w:type="dxa"/>
              <w:right w:w="75" w:type="dxa"/>
            </w:tcMar>
            <w:vAlign w:val="center"/>
          </w:tcPr>
          <w:p w14:paraId="559E01AA" w14:textId="77777777">
            <w:pPr>
              <w:spacing w:after="0" w:line="240" w:lineRule="auto"/>
            </w:pPr>
            <w:r>
              <w:rPr>
                <w:sz w:val="17"/>
              </w:rPr>
              <w:t>≤ 0.85</w:t>
            </w:r>
          </w:p>
        </w:tc>
      </w:tr>
    </w:tbl>
    <w:p w14:paraId="4A72299F" w14:textId="77777777">
      <w:pPr>
        <w:pStyle w:val="BodyText"/>
      </w:pPr>
      <w:r>
        <w:t>Minimum post-filter dataset sizes enforced at promotion were 1,400 molecules for BACE, 1,800 for BBBP, 1,000 for ESOL, 600 for FreeSolv and 4,000 for Lipophilicity. All five development datasets were required to have ten accepted outer scaffold splits and finite results for every diagnostic representation.</w:t>
      </w:r>
    </w:p>
    <w:p w14:paraId="18B38830" w14:textId="77777777">
      <w:pPr>
        <w:pStyle w:val="Heading2"/>
      </w:pPr>
      <w:r>
        <w:t>1.7. Checkpoint selection, independent replication and locked internal test</w:t>
      </w:r>
    </w:p>
    <w:p w14:paraId="3A7C6198" w14:textId="77777777">
      <w:r>
        <w:t>Retained training milestones were generated at steps 2,500, 5,000, 7,500, 10,000, 12,500 and 15,000. Semantic representation selection was intentionally separate from the online reconstruction-oriented checkpoint score. Repository history shows that the criteria-bearing validator was committed and remained unchanged before the expanded complete sweep. However, the first commit already contains the criteria, the original 10,000-step selection and a preliminary retained-step screen, so it cannot establish prospective specification before those analyses. Accordingly, the 17 frozen promotion criteria were applied uniformly in a complete retrospective audit of retained primary-seed checkpoints from 5,000 through 15,000 steps; the retained 2,500-step checkpoint was not included. Each evaluated checkpoint was paired with a checkpoint-bound calibrator fitted exclusively on 100,000 pretraining-training molecules and was subjected to the same representation probes, similarity and clustering analyses, and ten-split panel on all five development datasets. A candidate could be promoted only if checkpoint, calibrator, graph manifest, configuration, representation exports and downstream panel were mutually identity-consistent, all 17 criteria were satisfied, and every protocol and artifact-integrity requirement passed.</w:t>
      </w:r>
    </w:p>
    <w:p w14:paraId="50B8DAFC" w14:textId="77777777">
      <w:pPr>
        <w:pStyle w:val="BodyText"/>
      </w:pPr>
      <w:r>
        <w:t>The model promoted to the released gMolAI-v2.0 representation was the seed-42 checkpoint at optimization step 10,000—the only evaluated primary-seed checkpoint to pass all 17 criteria and the complete fail-closed gate—paired with the independently stored 100,000-training-molecule coordinate calibrator. Promotion copied these artifacts byte-for-byte to the canonical release names representation-best.pt and representation-calibrator.pt. A second full training run using seed 43 was paired with a separately fitted train-only calibrator constructed from the same deterministic 100,000-molecule training sample used for seed 42 (sampling seed 271828 and the same graph manifest). This replication tested whether representation stability and gate satisfaction reproduced under independent stochastic model training; it was not used to alter the selected seed-42 checkpoint.</w:t>
      </w:r>
    </w:p>
    <w:p w14:paraId="5EB5DC6C" w14:textId="77777777">
      <w:pPr>
        <w:pStyle w:val="BodyText"/>
      </w:pPr>
      <w:r>
        <w:t>Only after the seed-42 checkpoint, calibrator and public embedding definition were frozen was the internal scaffold-hash test partition opened for evaluation. Online test evaluation was capped at 250,000 internal-test molecules. Separate test-space embedding analyses used an independently sampled 50,000-molecule geometry set. No locked-test measurement was used to refit calibration statistics, choose the mean-atom weight, select a checkpoint or tune downstream hyperparameters.</w:t>
      </w:r>
    </w:p>
    <w:p w14:paraId="01D60423" w14:textId="77777777">
      <w:pPr>
        <w:pStyle w:val="Heading2"/>
      </w:pPr>
      <w:r>
        <w:t>1.8. Standalone inference and artifact-integrity checks</w:t>
      </w:r>
    </w:p>
    <w:p w14:paraId="0A697195" w14:textId="77777777">
      <w:r>
        <w:t xml:space="preserve">The released inference workflow accepts SMILES and returns the canonical 384-dimensional gMolAI-v2.0 vector without requiring the source Feather tables, descriptor labels or 223-million-graph training store. Inference reproduces the pretraining chemistry policy and feature schema, encodes the uncorrupted graph, constructs the raw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G</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z</m:t>
                    </m:r>
                  </m:e>
                </m:bar>
              </m:e>
              <m:sub>
                <m:r>
                  <w:rPr>
                    <w:rFonts w:ascii="Cambria Math" w:hAnsi="Cambria Math"/>
                  </w:rPr>
                  <m:t>G</m:t>
                </m:r>
              </m:sub>
            </m:sSub>
          </m:e>
        </m:d>
      </m:oMath>
      <w:r>
        <w:t xml:space="preserve"> hybrid, applies the checkpoint-bound coordinate calibrator and multiplies the calibrated mean-atom block by 3. Output records preserve the original SMILES, canonical isomeric SMILES, molecule SHA-256 and embedding coordinates; molecules outside the chemistry domain are emitted as rejected records with a reason.</w:t>
      </w:r>
    </w:p>
    <w:p w14:paraId="0A3723D2" w14:textId="77777777">
      <w:pPr>
        <w:pStyle w:val="BodyText"/>
      </w:pPr>
      <w:r>
        <w:t>Artifact loading is fail-closed. Before deserialization, the standalone package checks the expected SHA-256 identity of the promoted checkpoint and calibrator. It then validates calibrator metadata against checkpoint step, immutable configuration hash, training-plan hash, graph-manifest hash and descriptor-schema hash. This prevents silent use of a calibrator fitted to a different checkpoint or molecular-data contract. For a fixed software, device and batching path, inference is deterministic; last-bit floating-point differences can nevertheless occur between hardware/runtime implementations because parallel floating-point reductions are not guaranteed to be bitwise identical.</w:t>
      </w:r>
    </w:p>
    <w:p w14:paraId="0065ECBA" w14:textId="77777777">
      <w:pPr>
        <w:pStyle w:val="Heading2"/>
      </w:pPr>
      <w:r>
        <w:t>1.9. Software environment and computational reproducibility</w:t>
      </w:r>
    </w:p>
    <w:p w14:paraId="61373DB0" w14:textId="77777777">
      <w:r>
        <w:t>The production workflow was executed in an Apptainer environment built from the pinned NVIDIA PyTorch Geometric 25.09-py3 ARM64 base image nvcr.io/nvidia/pyg@sha256:3338cc5c0c1eba88872e0452a0151768cf68ca85565be5a9d8ceeadf6834d9a3. Runtime validation recorded CUDA 13.0.1, PyTorch 2.8.0a0+34c6371d24.nv25.08, PyTorch Geometric 2.7.0 and NCCL 2.27.7+cuda13.0. The released Python dependency specification includes RDKit 2025.09.3, scikit-learn 1.5.0, SciPy 1.15.3, PyArrow 19.0.1, pandas 2.2.3, DuckDB 1.5.4, PyYAML 6.0.2 and tqdm 4.67.1. PyTorch</w:t>
      </w:r>
      <w:r>
        <w:rPr>
          <w:vertAlign w:val="superscript"/>
        </w:rPr>
        <w:t>11</w:t>
      </w:r>
      <w:r>
        <w:t xml:space="preserve"> and PyTorch Geometric</w:t>
      </w:r>
      <w:r>
        <w:rPr>
          <w:vertAlign w:val="superscript"/>
        </w:rPr>
        <w:t>12</w:t>
      </w:r>
      <w:r>
        <w:t xml:space="preserve"> were used for neural-network and graph operations.</w:t>
      </w:r>
    </w:p>
    <w:p w14:paraId="1F4682FD" w14:textId="77777777">
      <w:pPr>
        <w:pStyle w:val="BodyText"/>
      </w:pPr>
      <w:r>
        <w:t>Configuration and artifact identities were propagated through SHA-256 digests or deterministic object hashes. Existing preprocessing products were reused only if their stored immutable identity matched the requested configuration. The training-plan hash was derived independently from the model, objective and training configuration, allowing changes to optimization to be detected without changing the hash of the already materialized graph corpus. Production checkpoints additionally stored the graph-manifest hash, descriptor-schema hash, feature-schema hash and descriptor-scaler hash.</w:t>
      </w:r>
    </w:p>
    <w:p w14:paraId="6F1BF8BA" w14:textId="77777777">
      <w:pPr>
        <w:pStyle w:val="Heading2"/>
      </w:pPr>
      <w:r>
        <w:t>1.10. Code and data availability</w:t>
      </w:r>
    </w:p>
    <w:p w14:paraId="1F21E917" w14:textId="77777777">
      <w:r>
        <w:t>The implementation, immutable configuration, model-selection logic and standalone inference artifacts are maintained at https://github.com/Jalil-Mahdizadeh/gMolAI-v2.0. The public checkout contains hashes, manifests, compact training/evaluation evidence and the promoted inference artifacts, but it does not include the raw ZINC/PubChem source tables or the 223,180,699-graph materialized training store; those contents therefore cannot be independently reconstructed from the repository checkout alone. For manuscript submission, the cited software should be associated with an immutable tagged release or archival DOI. Redistribution and access statements for the underlying ZINC- and PubChem-derived source tables should follow the licenses and access conditions applicable to those resources.</w:t>
      </w:r>
    </w:p>
    <w:p>
      <w:pPr>
        <w:pStyle w:val="Heading1"/>
        <w:pageBreakBefore/>
      </w:pPr>
      <w:r>
        <w:t>2. Results and Discussion</w:t>
      </w:r>
    </w:p>
    <w:p>
      <w:pPr>
        <w:keepLines w:val="0"/>
        <w:jc w:val="both"/>
      </w:pPr>
      <w:r>
        <w:rPr>
          <w:rFonts w:ascii="Times New Roman" w:hAnsi="Times New Roman" w:eastAsia="Times New Roman"/>
          <w:b w:val="0"/>
          <w:i w:val="0"/>
          <w:sz w:val="21"/>
        </w:rPr>
        <w:t>gMolAI-v2.0 was developed to test whether a deterministic graph encoder trained at very large molecular scale could provide a reusable continuous representation whose quality is demonstrable independently of its pretraining losses. The results therefore address four questions: whether the redesigned model avoids the latent-collapse phenotype observed in earlier implementations; whether chemically meaningful information is accessible from the frozen representation; whether the representation transfers to scaffold-separated molecular-property tasks; and whether its learned geometry provides information complementary to a conventional Morgan fingerprint rather than simply reproducing it. BACE, BBBP, ESOL, FreeSolv and Lipophilicity formed the development/promotion panel, so those results are selection-conditioned; HIV and the locked internal test provide the post-selection evaluations.</w:t>
      </w:r>
    </w:p>
    <w:p>
      <w:pPr>
        <w:pStyle w:val="Heading2"/>
      </w:pPr>
      <w:r>
        <w:t>2.1. Results</w:t>
      </w:r>
    </w:p>
    <w:p>
      <w:pPr>
        <w:pStyle w:val="Heading3"/>
      </w:pPr>
      <w:r>
        <w:t>2.1.1. Large-scale graph pretraining was coupled to representation-level quality control</w:t>
      </w:r>
    </w:p>
    <w:p>
      <w:pPr>
        <w:keepLines w:val="0"/>
        <w:jc w:val="both"/>
      </w:pPr>
      <w:r>
        <w:t>The model was trained from a corpus of 223,180,699 deduplicated molecular graphs from the combined ZINC and PubChem inputs, including 221,148,895 graphs in the training partition, 943,038 in validation and 1,088,766 in the locked internal test. Exact serialized DDP cursors show that the four-rank seed-42 stream had presented 28,743,683, 43,109,793, 57,504,265, 71,870,280 and 86,236,032 unique training graphs by steps 5,000, 7,500, 10,000, 12,500 and 15,000, respectively, corresponding to 13.00%, 19.49%, 26.00%, 32.50% and 38.99% of the training partition. Every cursor remained in cycle 0, so total presentations equaled unique source graphs and no retained checkpoint completed one training-partition pass. A presentation denotes one source graph included in a completed optimizer batch; masked or corrupted internal views were not counted separately. Training was deliberately step-based and retained immutable milestones every 2,500 steps, separating continued objective optimization from frozen-representation quality.</w:t>
      </w:r>
    </w:p>
    <w:p>
      <w:pPr>
        <w:keepLines w:val="0"/>
        <w:jc w:val="both"/>
      </w:pPr>
      <w:r>
        <w:rPr>
          <w:rFonts w:ascii="Times New Roman" w:hAnsi="Times New Roman" w:eastAsia="Times New Roman"/>
          <w:b w:val="0"/>
          <w:i w:val="0"/>
          <w:sz w:val="21"/>
        </w:rPr>
        <w:t>This distinction was motivated by the behavior of preceding models. In the original stochastic VGAE, active atom-level latent coordinates decreased from 103 at 15,000 steps to 52 at 35,000 steps, 50 at 45,000 steps and 48 at 55,000 steps. An intermediate deterministic-evaluation correction removed a posterior mismatch but did not rescue the representation objective: active coordinates still decreased from 256 to 91, 57 and 51 over extended training, while median coordinate variance fell from 0.03377 to 0.00385. Notably, descriptor loss could continue to improve while latent utilization and bond reconstruction degraded. Thus, reconstruction or descriptor loss alone was not a reliable model-selection criterion.</w:t>
      </w:r>
    </w:p>
    <w:p>
      <w:pPr>
        <w:pStyle w:val="Heading3"/>
      </w:pPr>
      <w:r>
        <w:t>2.1.2. The v5 representation remained numerically healthy during extended optimization</w:t>
      </w:r>
    </w:p>
    <w:p>
      <w:pPr>
        <w:keepLines w:val="0"/>
        <w:jc w:val="both"/>
      </w:pPr>
      <w:r>
        <w:rPr>
          <w:rFonts w:ascii="Times New Roman" w:hAnsi="Times New Roman" w:eastAsia="Times New Roman"/>
          <w:b w:val="0"/>
          <w:i w:val="0"/>
          <w:sz w:val="21"/>
        </w:rPr>
        <w:t>The v5 architecture replaced the stochastic VGAE latent with deterministic 128-dimensional atom embeddings and an explicit 256-dimensional graph vector generated by four residual GINE blocks. Masked atom and bond reconstruction, dropped-bond recovery, model-hard non-edge discrimination, 13 auxiliary descriptor targets and a weak mean-node NT-Xent term jointly supplied self-supervision. Unlike the earlier models, the repaired encoder showed no late-collapse trajectory. In the fully independent seed-43 run, all 256 graph coordinates remained active throughout 15,000 steps; clean-graph effective rank increased from 26.51 at step 2,500 to 37.45 at step 10,000 and 39.12 at step 15,000, while median coordinate standard deviation remained within 0.72-0.77.</w:t>
      </w:r>
    </w:p>
    <w:p>
      <w:pPr>
        <w:keepLines w:val="0"/>
        <w:jc w:val="both"/>
      </w:pPr>
      <w:r>
        <w:rPr>
          <w:rFonts w:ascii="Times New Roman" w:hAnsi="Times New Roman" w:eastAsia="Times New Roman"/>
          <w:b w:val="0"/>
          <w:i w:val="0"/>
          <w:sz w:val="21"/>
        </w:rPr>
        <w:t>At the selected seed-42 checkpoint (step 10,000), evaluation on 50,000 validation graphs likewise showed all 256 global coordinates active, a clean graph effective rank of 38.29 and a median coordinate standard deviation of 0.738. Masked atom attributes were recovered with an exact-match rate of 0.746, masked bond features with an exact-match rate of 0.967, and discrimination of model-hard non-edges achieved AUROC 0.963 and average precision 0.816. The 13 auxiliary descriptor predictions were also strongly correlated with their targets, with Pearson coefficients ranging from approximately 0.975 for QED to &gt;0.998 for several size-related descriptors. These results indicate that preventing collapse did not require sacrificing the chemically grounded reconstruction tasks.</w:t>
      </w:r>
    </w:p>
    <w:p>
      <w:pPr>
        <w:pStyle w:val="Heading3"/>
      </w:pPr>
      <w:r>
        <w:t>2.1.3. Full checkpoint evaluation identified a unique eligible milestone</w:t>
      </w:r>
    </w:p>
    <w:p>
      <w:pPr>
        <w:keepLines w:val="0"/>
        <w:jc w:val="both"/>
      </w:pPr>
      <w:r>
        <w:t>Complete checkpoint evaluation revealed a key decoupling between continued pretraining improvement and downstream eligibility. The 17 frozen criteria were applied uniformly in the complete retrospective 5,000-15,000-step primary-seed audit, with a separate training-only calibrator and the full representation and five-dataset development panel at each checkpoint. Step 5,000 passed 15 of 17 criteria, failing effective rank (24.865 versus the minimum of 25) and FreeSolv RMSE (1.39045 versus the maximum of 1.30). Steps 7,500, 12,500 and 15,000 each passed 16 of 17 criteria and failed only FreeSolv, with RMSE values of 1.37227, 1.32289 and 1.30346, respectively. Step 10,000 passed all 17 criteria, including FreeSolv RMSE 1.29716, and was the only checkpoint to pass the complete fail-closed gate (Table 6; Fig. 2). Protocol, identity, source-integrity and artifact-completeness checks passed at every evaluated step. No threshold was modified during this expanded audit, and the retained 2,500-step checkpoint was not included.</w:t>
      </w:r>
    </w:p>
    <w:p>
      <w:pPr>
        <w:pStyle w:val="TableCaption"/>
      </w:pPr>
      <w:r>
        <w:t>Table 6 | Complete fail-closed promotion evaluation across retained primary-seed checkpoints.</w:t>
      </w:r>
    </w:p>
    <w:tbl>
      <w:tblPr>
        <w:tblW w:type="dxa" w:w="880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300"/>
        <w:gridCol w:w="1600"/>
        <w:gridCol w:w="2300"/>
        <w:gridCol w:w="2100"/>
        <w:gridCol w:w="1500"/>
      </w:tblGrid>
      <w:tr>
        <w:trPr>
          <w:tblHeader w:val="true"/>
          <w:cantSplit/>
        </w:trPr>
        <w:tc>
          <w:tcPr>
            <w:tcW w:type="dxa" w:w="1300"/>
            <w:shd w:fill="E9EAEC"/>
            <w:tcMar>
              <w:top w:w="70" w:type="dxa"/>
              <w:start w:w="75" w:type="dxa"/>
              <w:bottom w:w="70" w:type="dxa"/>
              <w:end w:w="75" w:type="dxa"/>
            </w:tcMar>
            <w:vAlign w:val="center"/>
          </w:tcPr>
          <w:p>
            <w:pPr>
              <w:keepLines/>
              <w:spacing w:after="0"/>
              <w:jc w:val="center"/>
            </w:pPr>
            <w:r>
              <w:rPr>
                <w:rFonts w:ascii="Arial" w:hAnsi="Arial" w:eastAsia="Arial"/>
                <w:b/>
                <w:sz w:val="16"/>
              </w:rPr>
              <w:t>Global step</w:t>
            </w:r>
          </w:p>
        </w:tc>
        <w:tc>
          <w:tcPr>
            <w:tcW w:type="dxa" w:w="1600"/>
            <w:shd w:fill="E9EAEC"/>
            <w:tcMar>
              <w:top w:w="70" w:type="dxa"/>
              <w:start w:w="75" w:type="dxa"/>
              <w:bottom w:w="70" w:type="dxa"/>
              <w:end w:w="75" w:type="dxa"/>
            </w:tcMar>
            <w:vAlign w:val="center"/>
          </w:tcPr>
          <w:p>
            <w:pPr>
              <w:keepLines/>
              <w:spacing w:after="0"/>
              <w:jc w:val="center"/>
            </w:pPr>
            <w:r>
              <w:rPr>
                <w:rFonts w:ascii="Arial" w:hAnsi="Arial" w:eastAsia="Arial"/>
                <w:b/>
                <w:sz w:val="16"/>
              </w:rPr>
              <w:t>Criteria passed</w:t>
            </w:r>
          </w:p>
        </w:tc>
        <w:tc>
          <w:tcPr>
            <w:tcW w:type="dxa" w:w="2300"/>
            <w:shd w:fill="E9EAEC"/>
            <w:tcMar>
              <w:top w:w="70" w:type="dxa"/>
              <w:start w:w="75" w:type="dxa"/>
              <w:bottom w:w="70" w:type="dxa"/>
              <w:end w:w="75" w:type="dxa"/>
            </w:tcMar>
            <w:vAlign w:val="center"/>
          </w:tcPr>
          <w:p>
            <w:pPr>
              <w:keepLines/>
              <w:spacing w:after="0"/>
              <w:jc w:val="center"/>
            </w:pPr>
            <w:r>
              <w:rPr>
                <w:rFonts w:ascii="Arial" w:hAnsi="Arial" w:eastAsia="Arial"/>
                <w:b/>
                <w:sz w:val="16"/>
              </w:rPr>
              <w:t>Calibrated effective rank</w:t>
            </w:r>
          </w:p>
        </w:tc>
        <w:tc>
          <w:tcPr>
            <w:tcW w:type="dxa" w:w="2100"/>
            <w:shd w:fill="E9EAEC"/>
            <w:tcMar>
              <w:top w:w="70" w:type="dxa"/>
              <w:start w:w="75" w:type="dxa"/>
              <w:bottom w:w="70" w:type="dxa"/>
              <w:end w:w="75" w:type="dxa"/>
            </w:tcMar>
            <w:vAlign w:val="center"/>
          </w:tcPr>
          <w:p>
            <w:pPr>
              <w:keepLines/>
              <w:spacing w:after="0"/>
              <w:jc w:val="center"/>
            </w:pPr>
            <w:r>
              <w:rPr>
                <w:rFonts w:ascii="Arial" w:hAnsi="Arial" w:eastAsia="Arial"/>
                <w:b/>
                <w:sz w:val="16"/>
              </w:rPr>
              <w:t>FreeSolv RMSE</w:t>
            </w:r>
          </w:p>
        </w:tc>
        <w:tc>
          <w:tcPr>
            <w:tcW w:type="dxa" w:w="1500"/>
            <w:shd w:fill="E9EAEC"/>
            <w:tcMar>
              <w:top w:w="70" w:type="dxa"/>
              <w:start w:w="75" w:type="dxa"/>
              <w:bottom w:w="70" w:type="dxa"/>
              <w:end w:w="75" w:type="dxa"/>
            </w:tcMar>
            <w:vAlign w:val="center"/>
          </w:tcPr>
          <w:p>
            <w:pPr>
              <w:keepLines/>
              <w:spacing w:after="0"/>
              <w:jc w:val="center"/>
            </w:pPr>
            <w:r>
              <w:rPr>
                <w:rFonts w:ascii="Arial" w:hAnsi="Arial" w:eastAsia="Arial"/>
                <w:b/>
                <w:sz w:val="16"/>
              </w:rPr>
              <w:t>Full gate</w:t>
            </w:r>
          </w:p>
        </w:tc>
      </w:tr>
      <w:tr>
        <w:trPr>
          <w:cantSplit/>
        </w:trPr>
        <w:tc>
          <w:tcPr>
            <w:tcW w:type="dxa" w:w="130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5,000</w:t>
            </w:r>
          </w:p>
        </w:tc>
        <w:tc>
          <w:tcPr>
            <w:tcW w:type="dxa" w:w="16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15/17</w:t>
            </w:r>
          </w:p>
        </w:tc>
        <w:tc>
          <w:tcPr>
            <w:tcW w:type="dxa" w:w="23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24.865</w:t>
            </w:r>
          </w:p>
        </w:tc>
        <w:tc>
          <w:tcPr>
            <w:tcW w:type="dxa" w:w="21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1.39045</w:t>
            </w:r>
          </w:p>
        </w:tc>
        <w:tc>
          <w:tcPr>
            <w:tcW w:type="dxa" w:w="15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Fail</w:t>
            </w:r>
          </w:p>
        </w:tc>
      </w:tr>
      <w:tr>
        <w:trPr>
          <w:cantSplit/>
        </w:trPr>
        <w:tc>
          <w:tcPr>
            <w:tcW w:type="dxa" w:w="1300"/>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7,500</w:t>
            </w:r>
          </w:p>
        </w:tc>
        <w:tc>
          <w:tcPr>
            <w:tcW w:type="dxa" w:w="16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16/17</w:t>
            </w:r>
          </w:p>
        </w:tc>
        <w:tc>
          <w:tcPr>
            <w:tcW w:type="dxa" w:w="23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28.052</w:t>
            </w:r>
          </w:p>
        </w:tc>
        <w:tc>
          <w:tcPr>
            <w:tcW w:type="dxa" w:w="21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1.37227</w:t>
            </w:r>
          </w:p>
        </w:tc>
        <w:tc>
          <w:tcPr>
            <w:tcW w:type="dxa" w:w="15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Fail</w:t>
            </w:r>
          </w:p>
        </w:tc>
      </w:tr>
      <w:tr>
        <w:trPr>
          <w:cantSplit/>
        </w:trPr>
        <w:tc>
          <w:tcPr>
            <w:tcW w:type="dxa" w:w="130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10,000</w:t>
            </w:r>
          </w:p>
        </w:tc>
        <w:tc>
          <w:tcPr>
            <w:tcW w:type="dxa" w:w="16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17/17</w:t>
            </w:r>
          </w:p>
        </w:tc>
        <w:tc>
          <w:tcPr>
            <w:tcW w:type="dxa" w:w="23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29.973</w:t>
            </w:r>
          </w:p>
        </w:tc>
        <w:tc>
          <w:tcPr>
            <w:tcW w:type="dxa" w:w="21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1.29716</w:t>
            </w:r>
          </w:p>
        </w:tc>
        <w:tc>
          <w:tcPr>
            <w:tcW w:type="dxa" w:w="15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1300"/>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12,500</w:t>
            </w:r>
          </w:p>
        </w:tc>
        <w:tc>
          <w:tcPr>
            <w:tcW w:type="dxa" w:w="16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16/17</w:t>
            </w:r>
          </w:p>
        </w:tc>
        <w:tc>
          <w:tcPr>
            <w:tcW w:type="dxa" w:w="23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30.902</w:t>
            </w:r>
          </w:p>
        </w:tc>
        <w:tc>
          <w:tcPr>
            <w:tcW w:type="dxa" w:w="21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1.32289</w:t>
            </w:r>
          </w:p>
        </w:tc>
        <w:tc>
          <w:tcPr>
            <w:tcW w:type="dxa" w:w="15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Fail</w:t>
            </w:r>
          </w:p>
        </w:tc>
      </w:tr>
      <w:tr>
        <w:trPr>
          <w:cantSplit/>
        </w:trPr>
        <w:tc>
          <w:tcPr>
            <w:tcW w:type="dxa" w:w="130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15,000</w:t>
            </w:r>
          </w:p>
        </w:tc>
        <w:tc>
          <w:tcPr>
            <w:tcW w:type="dxa" w:w="16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16/17</w:t>
            </w:r>
          </w:p>
        </w:tc>
        <w:tc>
          <w:tcPr>
            <w:tcW w:type="dxa" w:w="23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31.139</w:t>
            </w:r>
          </w:p>
        </w:tc>
        <w:tc>
          <w:tcPr>
            <w:tcW w:type="dxa" w:w="21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1.30346</w:t>
            </w:r>
          </w:p>
        </w:tc>
        <w:tc>
          <w:tcPr>
            <w:tcW w:type="dxa" w:w="15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Fail</w:t>
            </w:r>
          </w:p>
        </w:tc>
      </w:tr>
    </w:tbl>
    <w:p>
      <w:pPr>
        <w:pStyle w:val="TableNote"/>
        <w:jc w:val="left"/>
      </w:pPr>
      <w:r>
        <w:t>All checkpoints satisfied the protocol, identity, source-integrity and artifact-completeness checks. “Criteria passed” counts the 17 frozen quality criteria in Table 5. FreeSolv failed at steps 5,000, 7,500, 12,500 and 15,000; step 5,000 additionally failed the effective-rank floor. Values were compared at full precision. The retained 2,500-step checkpoint was not included in the complete downstream sweep.</w:t>
      </w:r>
    </w:p>
    <w:p>
      <w:pPr>
        <w:keepLines w:val="0"/>
        <w:jc w:val="both"/>
      </w:pPr>
      <w:r>
        <w:rPr>
          <w:rFonts w:ascii="Times New Roman" w:hAnsi="Times New Roman" w:eastAsia="Times New Roman"/>
          <w:b w:val="0"/>
          <w:i w:val="0"/>
          <w:sz w:val="21"/>
        </w:rPr>
        <w:t>The selection of the 10,000-step checkpoint was not caused by degradation of the pretraining machinery after that point. Between steps 10,000 and 15,000, descriptor validation loss improved from 0.0704 to 0.0649, descriptor MAE from 0.1700 to 0.1578, masked-node exact match from 0.7460 to 0.7532, masked-bond exact match from 0.9668 to 0.9694, model-hard edge AUROC from 0.9628 to 0.9654, and clean-graph effective rank from 38.29 to 39.85. Under the complete checkpoint-specific evaluation, the 15,000-step checkpoint passed the other 16 quality criteria but its FreeSolv RMSE of 1.30346 exceeded the fixed ceiling by 0.00346; step 10,000 achieved 1.29716 and passed by 0.00284. Because the gate was applied at full precision, the 15,000-step result could not be rounded into eligibility or offset by improvements elsewhere. This provides direct evidence within the same training run that better optimization of auxiliary pretraining objectives, and even higher intrinsic dimensional utilization, need not monotonically improve transfer quality. Similar cautions about equating pretraining progress with downstream utility have been raised in systematic studies of molecular GNN pretraining.</w:t>
      </w:r>
      <w:r>
        <w:rPr>
          <w:rFonts w:ascii="Times New Roman" w:hAnsi="Times New Roman"/>
          <w:sz w:val="16"/>
          <w:vertAlign w:val="superscript"/>
        </w:rPr>
        <w:t>16</w:t>
      </w:r>
    </w:p>
    <w:p>
      <w:pPr>
        <w:pStyle w:val="TableCaption"/>
      </w:pPr>
      <w:r>
        <w:t>Table 7 | Pretraining diagnostics continued to improve after the selected checkpoint whereas FreeSolv transfer did not.</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464"/>
        <w:gridCol w:w="2464"/>
        <w:gridCol w:w="2464"/>
        <w:gridCol w:w="2464"/>
      </w:tblGrid>
      <w:tr>
        <w:trPr>
          <w:tblHeader w:val="true"/>
          <w:cantSplit/>
        </w:trPr>
        <w:tc>
          <w:tcPr>
            <w:tcW w:type="dxa" w:w="2948"/>
            <w:shd w:fill="E9EAEC"/>
            <w:tcMar>
              <w:top w:w="70" w:type="dxa"/>
              <w:start w:w="75" w:type="dxa"/>
              <w:bottom w:w="70" w:type="dxa"/>
              <w:end w:w="75" w:type="dxa"/>
            </w:tcMar>
            <w:vAlign w:val="center"/>
          </w:tcPr>
          <w:p>
            <w:pPr>
              <w:keepLines/>
              <w:spacing w:after="0"/>
              <w:jc w:val="center"/>
            </w:pPr>
            <w:r>
              <w:rPr>
                <w:rFonts w:ascii="Arial" w:hAnsi="Arial" w:eastAsia="Arial"/>
                <w:b/>
                <w:sz w:val="16"/>
              </w:rPr>
              <w:t>Metric</w:t>
            </w:r>
          </w:p>
        </w:tc>
        <w:tc>
          <w:tcPr>
            <w:tcW w:type="dxa" w:w="1587"/>
            <w:shd w:fill="E9EAEC"/>
            <w:tcMar>
              <w:top w:w="70" w:type="dxa"/>
              <w:start w:w="75" w:type="dxa"/>
              <w:bottom w:w="70" w:type="dxa"/>
              <w:end w:w="75" w:type="dxa"/>
            </w:tcMar>
            <w:vAlign w:val="center"/>
          </w:tcPr>
          <w:p>
            <w:pPr>
              <w:keepLines/>
              <w:spacing w:after="0"/>
              <w:jc w:val="center"/>
            </w:pPr>
            <w:r>
              <w:rPr>
                <w:rFonts w:ascii="Arial" w:hAnsi="Arial" w:eastAsia="Arial"/>
                <w:b/>
                <w:sz w:val="16"/>
              </w:rPr>
              <w:t>Step 10,000</w:t>
            </w:r>
          </w:p>
        </w:tc>
        <w:tc>
          <w:tcPr>
            <w:tcW w:type="dxa" w:w="1587"/>
            <w:shd w:fill="E9EAEC"/>
            <w:tcMar>
              <w:top w:w="70" w:type="dxa"/>
              <w:start w:w="75" w:type="dxa"/>
              <w:bottom w:w="70" w:type="dxa"/>
              <w:end w:w="75" w:type="dxa"/>
            </w:tcMar>
            <w:vAlign w:val="center"/>
          </w:tcPr>
          <w:p>
            <w:pPr>
              <w:keepLines/>
              <w:spacing w:after="0"/>
              <w:jc w:val="center"/>
            </w:pPr>
            <w:r>
              <w:rPr>
                <w:rFonts w:ascii="Arial" w:hAnsi="Arial" w:eastAsia="Arial"/>
                <w:b/>
                <w:sz w:val="16"/>
              </w:rPr>
              <w:t>Step 15,000</w:t>
            </w:r>
          </w:p>
        </w:tc>
        <w:tc>
          <w:tcPr>
            <w:tcW w:type="dxa" w:w="1757"/>
            <w:shd w:fill="E9EAEC"/>
            <w:tcMar>
              <w:top w:w="70" w:type="dxa"/>
              <w:start w:w="75" w:type="dxa"/>
              <w:bottom w:w="70" w:type="dxa"/>
              <w:end w:w="75" w:type="dxa"/>
            </w:tcMar>
            <w:vAlign w:val="center"/>
          </w:tcPr>
          <w:p>
            <w:pPr>
              <w:keepLines/>
              <w:spacing w:after="0"/>
              <w:jc w:val="center"/>
            </w:pPr>
            <w:r>
              <w:rPr>
                <w:rFonts w:ascii="Arial" w:hAnsi="Arial" w:eastAsia="Arial"/>
                <w:b/>
                <w:sz w:val="16"/>
              </w:rPr>
              <w:t>Change at 15k</w:t>
            </w:r>
          </w:p>
        </w:tc>
      </w:tr>
      <w:tr>
        <w:trPr>
          <w:cantSplit/>
        </w:trPr>
        <w:tc>
          <w:tcPr>
            <w:tcW w:type="dxa" w:w="2948"/>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Descriptor loss</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0.0704</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0.0649</w:t>
            </w:r>
          </w:p>
        </w:tc>
        <w:tc>
          <w:tcPr>
            <w:tcW w:type="dxa" w:w="175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Descriptor MAE</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0.1700</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0.1578</w:t>
            </w:r>
          </w:p>
        </w:tc>
        <w:tc>
          <w:tcPr>
            <w:tcW w:type="dxa" w:w="175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Masked-node exact match</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0.7460</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0.7532</w:t>
            </w:r>
          </w:p>
        </w:tc>
        <w:tc>
          <w:tcPr>
            <w:tcW w:type="dxa" w:w="175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Masked-bond exact match</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0.9668</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0.9694</w:t>
            </w:r>
          </w:p>
        </w:tc>
        <w:tc>
          <w:tcPr>
            <w:tcW w:type="dxa" w:w="175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Model-hard edge AUROC</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0.9628</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0.9654</w:t>
            </w:r>
          </w:p>
        </w:tc>
        <w:tc>
          <w:tcPr>
            <w:tcW w:type="dxa" w:w="175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Clean graph effective rank</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38.29</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39.85</w:t>
            </w:r>
          </w:p>
        </w:tc>
        <w:tc>
          <w:tcPr>
            <w:tcW w:type="dxa" w:w="175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Increased</w:t>
            </w:r>
          </w:p>
        </w:tc>
      </w:tr>
      <w:tr>
        <w:trPr>
          <w:cantSplit/>
        </w:trPr>
        <w:tc>
          <w:tcPr>
            <w:tcW w:type="dxa" w:w="2948"/>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FreeSolv RMSE</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1.297</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1.304</w:t>
            </w:r>
          </w:p>
        </w:tc>
        <w:tc>
          <w:tcPr>
            <w:tcW w:type="dxa" w:w="175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Worsened</w:t>
            </w:r>
          </w:p>
        </w:tc>
      </w:tr>
    </w:tbl>
    <w:p>
      <w:pPr>
        <w:pStyle w:val="TableNote"/>
        <w:jc w:val="left"/>
      </w:pPr>
      <w:r>
        <w:t>The table illustrates why the online reconstruction/descriptor objective was not used as the semantic model-selection score.</w:t>
      </w:r>
    </w:p>
    <w:p>
      <w:pPr>
        <w:pStyle w:val="Heading3"/>
      </w:pPr>
      <w:r>
        <w:t>2.1.4. A calibrated local-global hybrid produced the released 384-dimensional representation</w:t>
      </w:r>
    </w:p>
    <w:p>
      <w:pPr>
        <w:keepLines w:val="0"/>
        <w:jc w:val="both"/>
      </w:pPr>
      <w:r>
        <w:rPr>
          <w:rFonts w:ascii="Times New Roman" w:hAnsi="Times New Roman" w:eastAsia="Times New Roman"/>
          <w:b w:val="0"/>
          <w:i w:val="0"/>
          <w:sz w:val="21"/>
        </w:rPr>
        <w:t>The production representation was not the 256-dimensional graph vector alone. The raw graph vector was concatenated with the 128-dimensional mean atom embedding, coordinate-wise standardized using statistics fitted exclusively on 100,000 pretraining-training molecules sampled across all 256 molecule-hash buckets, and the standardized mean-atom block was assigned a fixed weight of three. The resulting 384-dimensional vector was therefore a deliberately calibrated combination of global and local molecular information. Large-sample screens of mean-node weights 1, 3 and 6 identified a weight of three as the strongest compromise between chemical-neighbour retrieval and scaffold clustering. The calibrator was frozen as a separate hash-bound artifact paired with the selected checkpoint. Because every downstream Ridge/logistic probe subsequently re-standardized each feature coordinate within its training fold, the fixed coordinate calibration and factor-of-three weighting are algebraically canceled for those linear probes, apart from numerical roundoff; they materially affect released-vector geometry, cosine retrieval and clustering rather than the linear-probe scores.</w:t>
      </w:r>
    </w:p>
    <w:p>
      <w:pPr>
        <w:keepLines w:val="0"/>
        <w:jc w:val="both"/>
      </w:pPr>
      <w:r>
        <w:rPr>
          <w:rFonts w:ascii="Times New Roman" w:hAnsi="Times New Roman" w:eastAsia="Times New Roman"/>
          <w:b w:val="0"/>
          <w:i w:val="0"/>
          <w:sz w:val="21"/>
        </w:rPr>
        <w:t>The final calibrated representation had an effective rank of 29.97 on the authoritative 50,000-molecule validation panel, exceeding the frozen minimum of 25. Effective rank measures the distribution of covariance across orthogonal directions and should not be interpreted as a count of non-zero coordinates. The underlying global graph block retained all 256 active coordinates, whereas the calibrated hybrid geometry redistributed variance between the 256-dimensional graph and 128-dimensional mean-node components.</w:t>
      </w:r>
    </w:p>
    <w:p>
      <w:pPr>
        <w:pStyle w:val="Heading3"/>
      </w:pPr>
      <w:r>
        <w:t>2.1.5. Frozen probes showed that unseen molecular topology was linearly accessible</w:t>
      </w:r>
    </w:p>
    <w:p>
      <w:pPr>
        <w:keepLines w:val="0"/>
        <w:jc w:val="both"/>
      </w:pPr>
      <w:r>
        <w:t>To test whether the representation encoded information beyond the 13 descriptors explicitly used as auxiliary training targets, a frozen ridge-regression probe was trained to recover 13 additional topological quantities that were absent from the pretraining objective. Across these targets, the representation achieved a mean R² of 0.9679, median R² of 0.9675 and mean standardized absolute error of 0.1120. A descriptor-only control using the 13 standardized auxiliary pretraining descriptors as probe features achieved mean R² 0.7701, median R² 0.8584 and mean standardized absolute error 0.3229 under the same ridge-probe framework; the embedding therefore increased mean R² by 0.1978. When the embedding probe was evaluated on the explicitly filtered scaffold-disjoint validation subset, mean R² remained 0.9681. The weakest individual quantity was the more demanding Kier kappa3 shape index (R² approximately 0.90), whereas several other quantities, including fraction sp3 and multiple connectivity/shape descriptors, approached or exceeded R² of 0.98.</w:t>
      </w:r>
    </w:p>
    <w:p>
      <w:pPr>
        <w:pStyle w:val="Heading4"/>
      </w:pPr>
      <w:r>
        <w:t>2.1.5.1. Interpretation of the scaffold-disjoint topology subset</w:t>
      </w:r>
    </w:p>
    <w:p>
      <w:pPr/>
      <w:r>
        <w:t>The scaffold-disjoint topology value should not be interpreted as evidence from an additional, stricter scaffold split. The primary pretraining train/validation partition was already scaffold-based, so validation molecules with non-empty Bemis-Murcko scaffolds were, by construction, separated from the full pretraining training partition at scaffold level. The probe-level filter retained validation molecules only when the stored scaffold was non-empty and absent from the finite 10,000-molecule probe-training export. For scaffolded molecules this condition therefore largely reiterates the global split, while acyclic molecules with an empty Murcko scaffold are excluded. The near-identical mean R² for the full validation panel (0.9679) and this subset (0.9681) is best interpreted as a robustness check showing that the topology result is not driven by the acyclic validation subset, rather than as a second escalation of scaffold novelty.</w:t>
      </w:r>
    </w:p>
    <w:p>
      <w:pPr>
        <w:keepLines w:val="0"/>
        <w:jc w:val="both"/>
      </w:pPr>
      <w:r>
        <w:t>The topology analysis nevertheless provides evidence that substantial structural information is accessible from the frozen embedding using a simple linear model. At the same time, it should not be overinterpreted as evidence that the representation is chemically task-neutral. gMolAI-v2.0 was explicitly trained with 13 calculated physicochemical descriptors; it is therefore more accurately characterized as masked/self-supervised graph learning with auxiliary descriptor supervision than as a purely unsupervised representation. The held-out topology panel was included to demonstrate that useful structural information extends beyond those direct auxiliary targets.</w:t>
      </w:r>
    </w:p>
    <w:p>
      <w:pPr>
        <w:pStyle w:val="Heading3"/>
      </w:pPr>
      <w:r>
        <w:t>2.1.6. The learned chemical geometry was related to, but non-redundant with, Morgan fingerprints</w:t>
      </w:r>
    </w:p>
    <w:p>
      <w:pPr>
        <w:keepLines w:val="0"/>
        <w:jc w:val="both"/>
      </w:pPr>
      <w:r>
        <w:rPr>
          <w:rFonts w:ascii="Times New Roman" w:hAnsi="Times New Roman" w:eastAsia="Times New Roman"/>
          <w:b w:val="0"/>
          <w:i w:val="0"/>
          <w:sz w:val="21"/>
        </w:rPr>
        <w:t>Morgan/extended-connectivity fingerprints provide a strong and computationally inexpensive representation of circular local atomic environments.</w:t>
      </w:r>
      <w:r>
        <w:rPr>
          <w:rFonts w:ascii="Times New Roman" w:hAnsi="Times New Roman"/>
          <w:sz w:val="16"/>
          <w:vertAlign w:val="superscript"/>
        </w:rPr>
        <w:t>9</w:t>
      </w:r>
      <w:r>
        <w:rPr>
          <w:rFonts w:ascii="Times New Roman" w:hAnsi="Times New Roman" w:eastAsia="Times New Roman"/>
          <w:b w:val="0"/>
          <w:i w:val="0"/>
          <w:sz w:val="21"/>
        </w:rPr>
        <w:t xml:space="preserve"> They therefore constitute an important reference rather than a weak baseline. If the learned gMolAI space merely reproduced Morgan geometry, however, the computational cost of pretraining would be difficult to justify. The validation probes instead showed partial agreement together with substantial non-redundancy. The overlap between the ten nearest neighbours in gMolAI space and the ten nearest Morgan neighbours was 0.202. The Spearman correlation between gMolAI cosine similarity and Morgan Tanimoto similarity was 0.437 when estimated from 200,000 seed-fixed random non-self pair draws among the 5,000 probe molecules; pair draws could repeat, so this was not an exhaustive all-pairs correlation. These values show that the two representations do not induce the same neighbourhood structure.</w:t>
      </w:r>
    </w:p>
    <w:p>
      <w:pPr>
        <w:keepLines w:val="0"/>
        <w:jc w:val="both"/>
      </w:pPr>
      <w:r>
        <w:rPr>
          <w:rFonts w:ascii="Times New Roman" w:hAnsi="Times New Roman" w:eastAsia="Times New Roman"/>
          <w:b w:val="0"/>
          <w:i w:val="0"/>
          <w:sz w:val="21"/>
        </w:rPr>
        <w:t>Despite this moderate correspondence, nearest neighbours selected in gMolAI space were chemically meaningful according to independent fingerprint criteria. Their mean Morgan Tanimoto similarity was 0.229 compared with a random-pair mean of approximately 0.115 calculated from the same 200,000 seed-fixed random non-self pair draws, corresponding to a 1.99-fold enrichment. Same-scaffold neighbour purity was enriched 33.8-fold relative to random expectation. Thus, the learned metric is neither a random geometry nor a direct numerical surrogate for Morgan similarity: it preserves substantial local structural information while reorganizing chemical space according to additional learned features.</w:t>
      </w:r>
    </w:p>
    <w:p>
      <w:pPr>
        <w:keepLines w:val="0"/>
        <w:jc w:val="both"/>
      </w:pPr>
      <w:r>
        <w:t>Unsupervised analysis using standard Euclidean K-means on L2-normalized inputs provided a complementary global view; because the fitted centroids were not renormalized, this was not spherical K-means. On the authoritative validation sample, clustering of the gMolAI embeddings gave adjusted Rand index (ARI) 0.362 and normalized mutual information (NMI) 0.788 with respect to recurring Bemis-Murcko scaffolds, compared with ARI 0.317 and NMI 0.777 for the matched Morgan baseline. A second independently sampled 50,000-molecule validation panel again favored gMolAI numerically (ARI 0.352 versus 0.322; NMI 0.785 versus 0.783). These results indicate that scaffold-related organization can emerge from the learned continuous space without requiring it to become an ECFP replica.</w:t>
      </w:r>
    </w:p>
    <w:p>
      <w:pPr>
        <w:pStyle w:val="TableCaption"/>
      </w:pPr>
      <w:r>
        <w:t>Table 8 | Promotion-relevant representation probes for the selected seed-42 checkpoint.</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464"/>
        <w:gridCol w:w="2464"/>
        <w:gridCol w:w="2464"/>
        <w:gridCol w:w="2464"/>
      </w:tblGrid>
      <w:tr>
        <w:trPr>
          <w:tblHeader w:val="true"/>
          <w:cantSplit/>
        </w:trPr>
        <w:tc>
          <w:tcPr>
            <w:tcW w:type="dxa" w:w="3402"/>
            <w:shd w:fill="E9EAEC"/>
            <w:tcMar>
              <w:top w:w="70" w:type="dxa"/>
              <w:start w:w="75" w:type="dxa"/>
              <w:bottom w:w="70" w:type="dxa"/>
              <w:end w:w="75" w:type="dxa"/>
            </w:tcMar>
            <w:vAlign w:val="center"/>
          </w:tcPr>
          <w:p>
            <w:pPr>
              <w:keepLines/>
              <w:spacing w:after="0"/>
              <w:jc w:val="center"/>
            </w:pPr>
            <w:r>
              <w:rPr>
                <w:rFonts w:ascii="Arial" w:hAnsi="Arial" w:eastAsia="Arial"/>
                <w:b/>
                <w:sz w:val="16"/>
              </w:rPr>
              <w:t>Representation criterion</w:t>
            </w:r>
          </w:p>
        </w:tc>
        <w:tc>
          <w:tcPr>
            <w:tcW w:type="dxa" w:w="1361"/>
            <w:shd w:fill="E9EAEC"/>
            <w:tcMar>
              <w:top w:w="70" w:type="dxa"/>
              <w:start w:w="75" w:type="dxa"/>
              <w:bottom w:w="70" w:type="dxa"/>
              <w:end w:w="75" w:type="dxa"/>
            </w:tcMar>
            <w:vAlign w:val="center"/>
          </w:tcPr>
          <w:p>
            <w:pPr>
              <w:keepLines/>
              <w:spacing w:after="0"/>
              <w:jc w:val="center"/>
            </w:pPr>
            <w:r>
              <w:rPr>
                <w:rFonts w:ascii="Arial" w:hAnsi="Arial" w:eastAsia="Arial"/>
                <w:b/>
                <w:sz w:val="16"/>
              </w:rPr>
              <w:t>Observed</w:t>
            </w:r>
          </w:p>
        </w:tc>
        <w:tc>
          <w:tcPr>
            <w:tcW w:type="dxa" w:w="1928"/>
            <w:shd w:fill="E9EAEC"/>
            <w:tcMar>
              <w:top w:w="70" w:type="dxa"/>
              <w:start w:w="75" w:type="dxa"/>
              <w:bottom w:w="70" w:type="dxa"/>
              <w:end w:w="75" w:type="dxa"/>
            </w:tcMar>
            <w:vAlign w:val="center"/>
          </w:tcPr>
          <w:p>
            <w:pPr>
              <w:keepLines/>
              <w:spacing w:after="0"/>
              <w:jc w:val="center"/>
            </w:pPr>
            <w:r>
              <w:rPr>
                <w:rFonts w:ascii="Arial" w:hAnsi="Arial" w:eastAsia="Arial"/>
                <w:b/>
                <w:sz w:val="16"/>
              </w:rPr>
              <w:t>Required gate</w:t>
            </w:r>
          </w:p>
        </w:tc>
        <w:tc>
          <w:tcPr>
            <w:tcW w:type="dxa" w:w="1020"/>
            <w:shd w:fill="E9EAEC"/>
            <w:tcMar>
              <w:top w:w="70" w:type="dxa"/>
              <w:start w:w="75" w:type="dxa"/>
              <w:bottom w:w="70" w:type="dxa"/>
              <w:end w:w="75" w:type="dxa"/>
            </w:tcMar>
            <w:vAlign w:val="center"/>
          </w:tcPr>
          <w:p>
            <w:pPr>
              <w:keepLines/>
              <w:spacing w:after="0"/>
              <w:jc w:val="center"/>
            </w:pPr>
            <w:r>
              <w:rPr>
                <w:rFonts w:ascii="Arial" w:hAnsi="Arial" w:eastAsia="Arial"/>
                <w:b/>
                <w:sz w:val="16"/>
              </w:rPr>
              <w:t>Outcome</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Effective rank</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29.973</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25.0</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Held-out topology mean R²</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0.9679</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0.90</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Held-out topology median R²</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0.9675</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0.95</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Held-out topology standardized MAE</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0.1120</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&lt;= 0.15</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Scaffold-disjoint topology mean R²</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0.9681</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0.95</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Morgan recall@10</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0.2023</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0.18</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Cosine-Tanimoto Spearman rho</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0.4369</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0.35</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Neighbour mean Tanimoto</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0.2290</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0.20</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Neighbour Tanimoto enrichment</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1.9877x</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1.70x</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Scaffold-neighbour enrichment</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33.80x</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25x</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Scaffold clustering ARI</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0.3621</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Morgan (0.3171)</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Scaffold clustering NMI</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0.7884</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Morgan - 0.03</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bl>
    <w:p>
      <w:pPr>
        <w:pStyle w:val="TableNote"/>
        <w:jc w:val="left"/>
      </w:pPr>
      <w:r>
        <w:t>All gates were evaluated under the frozen fail-closed promotion protocol. The scaffold-disjoint topology value is an explicit non-empty-scaffold validation subset/check; because the global pretraining train/validation split was already scaffold-based, it is not a second stricter scaffold split. R², coefficient of determination; MAE, mean absolute error; ARI, adjusted Rand index; NMI, normalized mutual information.</w:t>
      </w:r>
    </w:p>
    <w:p>
      <w:pPr>
        <w:pStyle w:val="Heading3"/>
      </w:pPr>
      <w:r>
        <w:t>2.1.7. Frozen scaffold-split downstream probes revealed endpoint-specific complementarity with Morgan</w:t>
      </w:r>
    </w:p>
    <w:p>
      <w:pPr>
        <w:keepLines w:val="0"/>
        <w:jc w:val="both"/>
      </w:pPr>
      <w:r>
        <w:rPr>
          <w:rFonts w:ascii="Times New Roman" w:hAnsi="Times New Roman" w:eastAsia="Times New Roman"/>
          <w:b w:val="0"/>
          <w:i w:val="0"/>
          <w:sz w:val="21"/>
        </w:rPr>
        <w:t>External transfer was assessed using ten repeated nested scaffold splits of five MoleculeNet development/promotion datasets,</w:t>
      </w:r>
      <w:r>
        <w:rPr>
          <w:rFonts w:ascii="Times New Roman" w:hAnsi="Times New Roman"/>
          <w:sz w:val="16"/>
          <w:vertAlign w:val="superscript"/>
        </w:rPr>
        <w:t>10</w:t>
      </w:r>
      <w:r>
        <w:rPr>
          <w:rFonts w:ascii="Times New Roman" w:hAnsi="Times New Roman" w:eastAsia="Times New Roman"/>
          <w:b w:val="0"/>
          <w:i w:val="0"/>
          <w:sz w:val="21"/>
        </w:rPr>
        <w:t xml:space="preserve"> with the gMolAI encoder kept frozen and simple downstream models trained on the resulting representations. The same protocol was applied to a radius-2, 2,048-bit Morgan baseline. This matched frozen-probe setting is intentionally more restrictive than end-to-end fine-tuning and was used to ask how much task-relevant information was already accessible in each representation. Because these five datasets were required for promotion, their reported values are selection-conditioned rather than independent confirmation. HIV and the locked internal test were reserved for post-selection evaluation. Every downstream feature coordinate was standardized within each training fold; therefore, fixed coordinate calibration and the mean-node weight of three do not explain the linear-probe differences between representations.</w:t>
      </w:r>
    </w:p>
    <w:p>
      <w:pPr/>
      <w:r>
        <w:t>Exact canonical-identity auditing found complete-corpus overlap for 414/1,513 BACE, 1,090/1,860 BBBP, 969/1,116 ESOL, 526/639 FreeSolv, 2,513/4,198 Lipophilicity and 27,377/37,225 HIV molecules; corresponding training-partition overlaps were 413, 1,080, 964, 524, 2,493 and 27,145. Checkpoint-resolved reconstruction refined this static membership result: at the promoted step 10,000, exact consumed counts were BACE 109 (26.39% of training overlaps), BBBP 278 (25.74% of training overlaps), ESOL 226 (23.44% of training overlaps), FreeSolv 120 (22.90% of training overlaps), Lipo 682 (27.36% of training overlaps), and HIV 7,038 (25.93% of training overlaps). By step 15,000 the corresponding counts were BACE 161 (38.98% of training overlaps), BBBP 413 (38.24% of training overlaps), ESOL 371 (38.49% of training overlaps), FreeSolv 186 (35.50% of training overlaps), Lipo 989 (39.67% of training overlaps), and HIV 10,596 (39.03% of training overlaps). Every five-point trajectory was monotonic (Table 10). These molecules carried graph-derived and calculated-descriptor pretraining targets, not the experimental endpoint labels; the finding is therefore not direct endpoint-label leakage. It does, however, show that a measured subset of each evaluation dataset had actually influenced the pretraining updates, while the remainder was either only present outside the pretraining training partition or had not yet been consumed by the checkpoint.</w:t>
      </w:r>
    </w:p>
    <w:p>
      <w:pPr>
        <w:keepLines w:val="0"/>
        <w:jc w:val="both"/>
      </w:pPr>
      <w:r>
        <w:t>Performance was endpoint dependent (Table 9). On BACE, Morgan achieved the highest mean ROC-AUC (0.8560), followed by gMolAI (0.8413) and the 13-descriptor control (0.6889). On BBBP, gMolAI was numerically highest (0.8789), followed by Morgan (0.8651) and descriptors (0.8388). For ESOL, RMSE was 0.7314 for gMolAI, 0.8771 for descriptors and 1.5991 for Morgan; for FreeSolv the corresponding values were 1.2972, 1.6019 and 2.3810. Thus, relative to Morgan, descriptors accounted descriptively for 83.2% and 71.9% of the mean gMolAI RMSE reduction on ESOL and FreeSolv, while gMolAI remained lower than descriptors by 0.1457 and 0.3047 RMSE. On Lipophilicity, gMolAI achieved RMSE 0.8125, Morgan 0.9297 and descriptors 1.0071; the descriptor control was worse than Morgan and therefore did not explain the gMolAI gain. These paired-split summaries are descriptive and are not tests of statistical superiority or causal decompositions of the learned representation.</w:t>
      </w:r>
    </w:p>
    <w:p>
      <w:pPr>
        <w:pStyle w:val="TableCaption"/>
      </w:pPr>
      <w:r>
        <w:t>Table 9 | Frozen downstream transfer of the selected 384-D representation, Morgan fingerprints and the 13-descriptor-only control.</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643"/>
        <w:gridCol w:w="1643"/>
        <w:gridCol w:w="1643"/>
        <w:gridCol w:w="1643"/>
        <w:gridCol w:w="1643"/>
        <w:gridCol w:w="1643"/>
        <w:gridCol w:w="1368"/>
      </w:tblGrid>
      <w:tr>
        <w:trPr>
          <w:tblHeader w:val="true"/>
          <w:cantSplit/>
        </w:trPr>
        <w:tc>
          <w:tcPr>
            <w:tcW w:type="dxa" w:w="1440"/>
            <w:shd w:fill="E9EAEC"/>
            <w:tcMar>
              <w:top w:w="70" w:type="dxa"/>
              <w:start w:w="75" w:type="dxa"/>
              <w:bottom w:w="70" w:type="dxa"/>
              <w:end w:w="75" w:type="dxa"/>
            </w:tcMar>
            <w:vAlign w:val="center"/>
          </w:tcPr>
          <w:p>
            <w:pPr>
              <w:spacing w:after="0"/>
            </w:pPr>
            <w:r>
              <w:t>Dataset (n)</w:t>
            </w:r>
          </w:p>
        </w:tc>
        <w:tc>
          <w:tcPr>
            <w:tcW w:type="dxa" w:w="1080"/>
            <w:shd w:fill="E9EAEC"/>
            <w:tcMar>
              <w:top w:w="70" w:type="dxa"/>
              <w:start w:w="75" w:type="dxa"/>
              <w:bottom w:w="70" w:type="dxa"/>
              <w:end w:w="75" w:type="dxa"/>
            </w:tcMar>
            <w:vAlign w:val="center"/>
          </w:tcPr>
          <w:p>
            <w:pPr>
              <w:spacing w:after="0"/>
            </w:pPr>
            <w:r>
              <w:t>Primary metric</w:t>
            </w:r>
          </w:p>
        </w:tc>
        <w:tc>
          <w:tcPr>
            <w:tcW w:type="dxa" w:w="1296"/>
            <w:shd w:fill="E9EAEC"/>
            <w:tcMar>
              <w:top w:w="70" w:type="dxa"/>
              <w:start w:w="75" w:type="dxa"/>
              <w:bottom w:w="70" w:type="dxa"/>
              <w:end w:w="75" w:type="dxa"/>
            </w:tcMar>
            <w:vAlign w:val="center"/>
          </w:tcPr>
          <w:p>
            <w:pPr>
              <w:spacing w:after="0"/>
            </w:pPr>
            <w:r>
              <w:t>gMolAI-v2.0</w:t>
            </w:r>
          </w:p>
        </w:tc>
        <w:tc>
          <w:tcPr>
            <w:tcW w:type="dxa" w:w="1368"/>
            <w:shd w:fill="E9EAEC"/>
            <w:tcMar>
              <w:top w:w="70" w:type="dxa"/>
              <w:start w:w="75" w:type="dxa"/>
              <w:bottom w:w="70" w:type="dxa"/>
              <w:end w:w="75" w:type="dxa"/>
            </w:tcMar>
            <w:vAlign w:val="center"/>
          </w:tcPr>
          <w:p>
            <w:pPr>
              <w:spacing w:after="0"/>
            </w:pPr>
            <w:r>
              <w:t>Morgan r=2, 2048-bit</w:t>
            </w:r>
          </w:p>
        </w:tc>
        <w:tc>
          <w:tcPr>
            <w:tcW w:type="dxa" w:w="1296"/>
            <w:vAlign w:val="center"/>
          </w:tcPr>
          <w:p>
            <w:pPr>
              <w:spacing w:after="0"/>
            </w:pPr>
            <w:r>
              <w:t>13 descriptors</w:t>
            </w:r>
          </w:p>
        </w:tc>
        <w:tc>
          <w:tcPr>
            <w:tcW w:type="dxa" w:w="1080"/>
            <w:shd w:fill="E9EAEC"/>
            <w:tcMar>
              <w:top w:w="70" w:type="dxa"/>
              <w:start w:w="75" w:type="dxa"/>
              <w:bottom w:w="70" w:type="dxa"/>
              <w:end w:w="75" w:type="dxa"/>
            </w:tcMar>
            <w:vAlign w:val="center"/>
          </w:tcPr>
          <w:p>
            <w:pPr>
              <w:spacing w:after="0"/>
            </w:pPr>
            <w:r>
              <w:t>Promotion gate</w:t>
            </w:r>
          </w:p>
        </w:tc>
        <w:tc>
          <w:tcPr>
            <w:tcW w:type="dxa" w:w="1728"/>
            <w:shd w:fill="E9EAEC"/>
            <w:tcMar>
              <w:top w:w="70" w:type="dxa"/>
              <w:start w:w="75" w:type="dxa"/>
              <w:bottom w:w="70" w:type="dxa"/>
              <w:end w:w="75" w:type="dxa"/>
            </w:tcMar>
            <w:vAlign w:val="center"/>
          </w:tcPr>
          <w:p>
            <w:pPr>
              <w:spacing w:after="0"/>
            </w:pPr>
            <w:r>
              <w:t>Numerical comparison</w:t>
            </w:r>
          </w:p>
        </w:tc>
      </w:tr>
      <w:tr>
        <w:trPr>
          <w:cantSplit/>
        </w:trPr>
        <w:tc>
          <w:tcPr>
            <w:tcW w:type="dxa" w:w="144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BACE (1,513)</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ROC-AUC ↑</w:t>
            </w:r>
          </w:p>
        </w:tc>
        <w:tc>
          <w:tcPr>
            <w:tcW w:type="dxa" w:w="1296"/>
            <w:tcMar>
              <w:top w:w="70" w:type="dxa"/>
              <w:start w:w="75" w:type="dxa"/>
              <w:bottom w:w="70" w:type="dxa"/>
              <w:end w:w="75" w:type="dxa"/>
            </w:tcMar>
            <w:vAlign w:val="center"/>
          </w:tcPr>
          <w:p>
            <w:pPr>
              <w:spacing w:after="0"/>
            </w:pPr>
            <w:r>
              <w:t>0.8413 ± 0.0250</w:t>
            </w:r>
          </w:p>
        </w:tc>
        <w:tc>
          <w:tcPr>
            <w:tcW w:type="dxa" w:w="1368"/>
            <w:tcMar>
              <w:top w:w="70" w:type="dxa"/>
              <w:start w:w="75" w:type="dxa"/>
              <w:bottom w:w="70" w:type="dxa"/>
              <w:end w:w="75" w:type="dxa"/>
            </w:tcMar>
            <w:vAlign w:val="center"/>
          </w:tcPr>
          <w:p>
            <w:pPr>
              <w:spacing w:after="0"/>
            </w:pPr>
            <w:r>
              <w:t>0.8560 ± 0.0366</w:t>
            </w:r>
          </w:p>
        </w:tc>
        <w:tc>
          <w:tcPr>
            <w:tcW w:type="dxa" w:w="1296"/>
            <w:vAlign w:val="center"/>
          </w:tcPr>
          <w:p>
            <w:pPr>
              <w:spacing w:after="0"/>
            </w:pPr>
            <w:r>
              <w:t>0.6889 ± 0.0563</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0.82</w:t>
            </w:r>
          </w:p>
        </w:tc>
        <w:tc>
          <w:tcPr>
            <w:tcW w:type="dxa" w:w="1728"/>
            <w:tcMar>
              <w:top w:w="70" w:type="dxa"/>
              <w:start w:w="75" w:type="dxa"/>
              <w:bottom w:w="70" w:type="dxa"/>
              <w:end w:w="75" w:type="dxa"/>
            </w:tcMar>
            <w:vAlign w:val="center"/>
          </w:tcPr>
          <w:p>
            <w:pPr>
              <w:spacing w:after="0"/>
            </w:pPr>
            <w:r>
              <w:t>Morgan +0.0147; descriptors lower</w:t>
            </w:r>
          </w:p>
        </w:tc>
      </w:tr>
      <w:tr>
        <w:trPr>
          <w:cantSplit/>
        </w:trPr>
        <w:tc>
          <w:tcPr>
            <w:tcW w:type="dxa" w:w="1440"/>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BBBP (1,860)</w:t>
            </w:r>
          </w:p>
        </w:tc>
        <w:tc>
          <w:tcPr>
            <w:tcW w:type="dxa" w:w="108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ROC-AUC ↑</w:t>
            </w:r>
          </w:p>
        </w:tc>
        <w:tc>
          <w:tcPr>
            <w:tcW w:type="dxa" w:w="1296"/>
            <w:tcMar>
              <w:top w:w="70" w:type="dxa"/>
              <w:start w:w="75" w:type="dxa"/>
              <w:bottom w:w="70" w:type="dxa"/>
              <w:end w:w="75" w:type="dxa"/>
            </w:tcMar>
            <w:vAlign w:val="center"/>
            <w:shd w:fill="F8F8F8"/>
          </w:tcPr>
          <w:p>
            <w:pPr>
              <w:spacing w:after="0"/>
            </w:pPr>
            <w:r>
              <w:t>0.8789 ± 0.0432</w:t>
            </w:r>
          </w:p>
        </w:tc>
        <w:tc>
          <w:tcPr>
            <w:tcW w:type="dxa" w:w="1368"/>
            <w:tcMar>
              <w:top w:w="70" w:type="dxa"/>
              <w:start w:w="75" w:type="dxa"/>
              <w:bottom w:w="70" w:type="dxa"/>
              <w:end w:w="75" w:type="dxa"/>
            </w:tcMar>
            <w:vAlign w:val="center"/>
            <w:shd w:fill="F8F8F8"/>
          </w:tcPr>
          <w:p>
            <w:pPr>
              <w:spacing w:after="0"/>
            </w:pPr>
            <w:r>
              <w:t>0.8651 ± 0.0192</w:t>
            </w:r>
          </w:p>
        </w:tc>
        <w:tc>
          <w:tcPr>
            <w:tcW w:type="dxa" w:w="1296"/>
            <w:vAlign w:val="center"/>
          </w:tcPr>
          <w:p>
            <w:pPr>
              <w:spacing w:after="0"/>
            </w:pPr>
            <w:r>
              <w:t>0.8388 ± 0.0505</w:t>
            </w:r>
          </w:p>
        </w:tc>
        <w:tc>
          <w:tcPr>
            <w:tcW w:type="dxa" w:w="108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0.87</w:t>
            </w:r>
          </w:p>
        </w:tc>
        <w:tc>
          <w:tcPr>
            <w:tcW w:type="dxa" w:w="1728"/>
            <w:tcMar>
              <w:top w:w="70" w:type="dxa"/>
              <w:start w:w="75" w:type="dxa"/>
              <w:bottom w:w="70" w:type="dxa"/>
              <w:end w:w="75" w:type="dxa"/>
            </w:tcMar>
            <w:vAlign w:val="center"/>
            <w:shd w:fill="F8F8F8"/>
          </w:tcPr>
          <w:p>
            <w:pPr>
              <w:spacing w:after="0"/>
            </w:pPr>
            <w:r>
              <w:t>gMolAI +0.0139; descriptors lower</w:t>
            </w:r>
          </w:p>
        </w:tc>
      </w:tr>
      <w:tr>
        <w:trPr>
          <w:cantSplit/>
        </w:trPr>
        <w:tc>
          <w:tcPr>
            <w:tcW w:type="dxa" w:w="144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ESOL (1,116)</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RMSE ↓</w:t>
            </w:r>
          </w:p>
        </w:tc>
        <w:tc>
          <w:tcPr>
            <w:tcW w:type="dxa" w:w="1296"/>
            <w:tcMar>
              <w:top w:w="70" w:type="dxa"/>
              <w:start w:w="75" w:type="dxa"/>
              <w:bottom w:w="70" w:type="dxa"/>
              <w:end w:w="75" w:type="dxa"/>
            </w:tcMar>
            <w:vAlign w:val="center"/>
          </w:tcPr>
          <w:p>
            <w:pPr>
              <w:spacing w:after="0"/>
            </w:pPr>
            <w:r>
              <w:t>0.7314 ± 0.0586</w:t>
            </w:r>
          </w:p>
        </w:tc>
        <w:tc>
          <w:tcPr>
            <w:tcW w:type="dxa" w:w="1368"/>
            <w:tcMar>
              <w:top w:w="70" w:type="dxa"/>
              <w:start w:w="75" w:type="dxa"/>
              <w:bottom w:w="70" w:type="dxa"/>
              <w:end w:w="75" w:type="dxa"/>
            </w:tcMar>
            <w:vAlign w:val="center"/>
          </w:tcPr>
          <w:p>
            <w:pPr>
              <w:spacing w:after="0"/>
            </w:pPr>
            <w:r>
              <w:t>1.5991 ± 0.2060</w:t>
            </w:r>
          </w:p>
        </w:tc>
        <w:tc>
          <w:tcPr>
            <w:tcW w:type="dxa" w:w="1296"/>
            <w:vAlign w:val="center"/>
          </w:tcPr>
          <w:p>
            <w:pPr>
              <w:spacing w:after="0"/>
            </w:pPr>
            <w:r>
              <w:t>0.8771 ± 0.1237</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&lt;= 0.80</w:t>
            </w:r>
          </w:p>
        </w:tc>
        <w:tc>
          <w:tcPr>
            <w:tcW w:type="dxa" w:w="1728"/>
            <w:tcMar>
              <w:top w:w="70" w:type="dxa"/>
              <w:start w:w="75" w:type="dxa"/>
              <w:bottom w:w="70" w:type="dxa"/>
              <w:end w:w="75" w:type="dxa"/>
            </w:tcMar>
            <w:vAlign w:val="center"/>
          </w:tcPr>
          <w:p>
            <w:pPr>
              <w:spacing w:after="0"/>
            </w:pPr>
            <w:r>
              <w:t>gMolAI 0.1457 lower than descriptors</w:t>
            </w:r>
          </w:p>
        </w:tc>
      </w:tr>
      <w:tr>
        <w:trPr>
          <w:cantSplit/>
        </w:trPr>
        <w:tc>
          <w:tcPr>
            <w:tcW w:type="dxa" w:w="1440"/>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FreeSolv (639)</w:t>
            </w:r>
          </w:p>
        </w:tc>
        <w:tc>
          <w:tcPr>
            <w:tcW w:type="dxa" w:w="108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RMSE ↓</w:t>
            </w:r>
          </w:p>
        </w:tc>
        <w:tc>
          <w:tcPr>
            <w:tcW w:type="dxa" w:w="1296"/>
            <w:tcMar>
              <w:top w:w="70" w:type="dxa"/>
              <w:start w:w="75" w:type="dxa"/>
              <w:bottom w:w="70" w:type="dxa"/>
              <w:end w:w="75" w:type="dxa"/>
            </w:tcMar>
            <w:vAlign w:val="center"/>
            <w:shd w:fill="F8F8F8"/>
          </w:tcPr>
          <w:p>
            <w:pPr>
              <w:spacing w:after="0"/>
            </w:pPr>
            <w:r>
              <w:t>1.2972 ± 0.1929</w:t>
            </w:r>
          </w:p>
        </w:tc>
        <w:tc>
          <w:tcPr>
            <w:tcW w:type="dxa" w:w="1368"/>
            <w:tcMar>
              <w:top w:w="70" w:type="dxa"/>
              <w:start w:w="75" w:type="dxa"/>
              <w:bottom w:w="70" w:type="dxa"/>
              <w:end w:w="75" w:type="dxa"/>
            </w:tcMar>
            <w:vAlign w:val="center"/>
            <w:shd w:fill="F8F8F8"/>
          </w:tcPr>
          <w:p>
            <w:pPr>
              <w:spacing w:after="0"/>
            </w:pPr>
            <w:r>
              <w:t>2.3810 ± 0.4724</w:t>
            </w:r>
          </w:p>
        </w:tc>
        <w:tc>
          <w:tcPr>
            <w:tcW w:type="dxa" w:w="1296"/>
            <w:vAlign w:val="center"/>
          </w:tcPr>
          <w:p>
            <w:pPr>
              <w:spacing w:after="0"/>
            </w:pPr>
            <w:r>
              <w:t>1.6019 ± 0.1574</w:t>
            </w:r>
          </w:p>
        </w:tc>
        <w:tc>
          <w:tcPr>
            <w:tcW w:type="dxa" w:w="108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&lt;= 1.30</w:t>
            </w:r>
          </w:p>
        </w:tc>
        <w:tc>
          <w:tcPr>
            <w:tcW w:type="dxa" w:w="1728"/>
            <w:tcMar>
              <w:top w:w="70" w:type="dxa"/>
              <w:start w:w="75" w:type="dxa"/>
              <w:bottom w:w="70" w:type="dxa"/>
              <w:end w:w="75" w:type="dxa"/>
            </w:tcMar>
            <w:vAlign w:val="center"/>
            <w:shd w:fill="F8F8F8"/>
          </w:tcPr>
          <w:p>
            <w:pPr>
              <w:spacing w:after="0"/>
            </w:pPr>
            <w:r>
              <w:t>gMolAI 0.3047 lower than descriptors</w:t>
            </w:r>
          </w:p>
        </w:tc>
      </w:tr>
      <w:tr>
        <w:trPr>
          <w:cantSplit/>
        </w:trPr>
        <w:tc>
          <w:tcPr>
            <w:tcW w:type="dxa" w:w="144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Lipophilicity (4,198)</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RMSE ↓</w:t>
            </w:r>
          </w:p>
        </w:tc>
        <w:tc>
          <w:tcPr>
            <w:tcW w:type="dxa" w:w="1296"/>
            <w:tcMar>
              <w:top w:w="70" w:type="dxa"/>
              <w:start w:w="75" w:type="dxa"/>
              <w:bottom w:w="70" w:type="dxa"/>
              <w:end w:w="75" w:type="dxa"/>
            </w:tcMar>
            <w:vAlign w:val="center"/>
          </w:tcPr>
          <w:p>
            <w:pPr>
              <w:spacing w:after="0"/>
            </w:pPr>
            <w:r>
              <w:t>0.8125 ± 0.0223</w:t>
            </w:r>
          </w:p>
        </w:tc>
        <w:tc>
          <w:tcPr>
            <w:tcW w:type="dxa" w:w="1368"/>
            <w:tcMar>
              <w:top w:w="70" w:type="dxa"/>
              <w:start w:w="75" w:type="dxa"/>
              <w:bottom w:w="70" w:type="dxa"/>
              <w:end w:w="75" w:type="dxa"/>
            </w:tcMar>
            <w:vAlign w:val="center"/>
          </w:tcPr>
          <w:p>
            <w:pPr>
              <w:spacing w:after="0"/>
            </w:pPr>
            <w:r>
              <w:t>0.9297 ± 0.0267</w:t>
            </w:r>
          </w:p>
        </w:tc>
        <w:tc>
          <w:tcPr>
            <w:tcW w:type="dxa" w:w="1296"/>
            <w:vAlign w:val="center"/>
          </w:tcPr>
          <w:p>
            <w:pPr>
              <w:spacing w:after="0"/>
            </w:pPr>
            <w:r>
              <w:t>1.0071 ± 0.0380</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&lt;= 0.85</w:t>
            </w:r>
          </w:p>
        </w:tc>
        <w:tc>
          <w:tcPr>
            <w:tcW w:type="dxa" w:w="1728"/>
            <w:tcMar>
              <w:top w:w="70" w:type="dxa"/>
              <w:start w:w="75" w:type="dxa"/>
              <w:bottom w:w="70" w:type="dxa"/>
              <w:end w:w="75" w:type="dxa"/>
            </w:tcMar>
            <w:vAlign w:val="center"/>
          </w:tcPr>
          <w:p>
            <w:pPr>
              <w:spacing w:after="0"/>
            </w:pPr>
            <w:r>
              <w:t>gMolAI 0.1946 lower than descriptors</w:t>
            </w:r>
          </w:p>
        </w:tc>
      </w:tr>
    </w:tbl>
    <w:p>
      <w:pPr>
        <w:pStyle w:val="TableNote"/>
        <w:jc w:val="left"/>
      </w:pPr>
      <w:r>
        <w:t>Values are mean ± descriptive population s.d. (NumPy ddof=0) across ten repeated outer scaffold-group splits. GroupShuffleSplit assigned approximately 80%/20% of scaffold groups, whereas realized molecule fractions varied with group size; repeated partitions can overlap, so the reported s.d. is not a standard error from independent test replicates. The 13-descriptor control used immutable stored values for exact corpus matches and pinned-RDKit recomputation for absent identities; all stored-versus-recomputed comparisons passed the configured tolerances. These five datasets were development/promotion tasks and the results are selection-conditioned. Comparisons use matched frozen features and identical downstream protocols; they are not claims of state-of-the-art performance against separately fine-tuned models.</w:t>
      </w:r>
    </w:p>
    <w:p>
      <w:pPr>
        <w:keepLines w:val="0"/>
        <w:jc w:val="both"/>
      </w:pPr>
      <w:r>
        <w:t>The three-way comparison does not support universal superiority of either the learned representation or an engineered baseline. Morgan remained strongest on BACE, gMolAI was numerically strongest on BBBP and all three regression endpoints, and the 13 descriptors alone were already a strong physicochemical baseline for ESOL and FreeSolv. The residual gMolAI advantage over descriptors on those endpoints, together with the failure of descriptors to match Morgan on Lipophilicity, shows that regression transfer cannot be attributed solely to direct reuse of the auxiliary descriptor vector. The result is nevertheless consistent with meaningful contribution from descriptor supervision and should not be framed as wholly label-free emergence.</w:t>
      </w:r>
    </w:p>
    <w:p>
      <w:pPr>
        <w:keepLines w:val="0"/>
        <w:jc w:val="both"/>
      </w:pPr>
      <w:r>
        <w:t>Because the pretraining objective includes molecular weight, topological polar surface area, partial charges, logP-related quantities and nine other calculated targets, the descriptor-only control is essential for interpretation. It shows that a large descriptive share of the ESOL and FreeSolv improvement over Morgan is accessible from those 13 values alone, whereas the remaining gMolAI advantage and the Lipophilicity result require information beyond that fixed descriptor vector. This control does not causally separate masked-graph learning from auxiliary supervision because both shaped the trained encoder; an otherwise identical retraining ablation without descriptor loss would be required for causal attribution and was not performed. The held-out topology, retrieval and clustering analyses provide complementary evidence of structural organization beyond the direct descriptor targets.</w:t>
      </w:r>
    </w:p>
    <w:p>
      <w:pPr>
        <w:pStyle w:val="TableCaption"/>
      </w:pPr>
      <w:r>
        <w:t>Table 10 | Exact checkpoint-resolved downstream-molecule exposure in the seed-42 training stream.</w:t>
      </w:r>
    </w:p>
    <w:tbl>
      <w:tblPr>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Dataset (n)</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Corpus</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Train</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5k</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7.5k</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10k</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12.5k</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15k</w:t>
            </w:r>
          </w:p>
        </w:tc>
      </w:tr>
      <w:t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BACE</w:t>
              <w:br/>
              <w:t>(1,513)</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414</w:t>
              <w:br/>
              <w:t>27.36</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413</w:t>
              <w:br/>
              <w:t>27.30</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56</w:t>
              <w:br/>
              <w:t>3.70/13.56</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76</w:t>
              <w:br/>
              <w:t>5.02/18.40</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109</w:t>
              <w:br/>
              <w:t>7.20/26.39</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130</w:t>
              <w:br/>
              <w:t>8.59/31.48</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161</w:t>
              <w:br/>
              <w:t>10.64/38.98</w:t>
            </w:r>
          </w:p>
        </w:tc>
      </w:tr>
      <w:t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BBBP</w:t>
              <w:br/>
              <w:t>(1,860)</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1,090</w:t>
              <w:br/>
              <w:t>58.60</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1,080</w:t>
              <w:br/>
              <w:t>58.06</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154</w:t>
              <w:br/>
              <w:t>8.28/14.26</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215</w:t>
              <w:br/>
              <w:t>11.56/19.91</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278</w:t>
              <w:br/>
              <w:t>14.95/25.74</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333</w:t>
              <w:br/>
              <w:t>17.90/30.83</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413</w:t>
              <w:br/>
              <w:t>22.20/38.24</w:t>
            </w:r>
          </w:p>
        </w:tc>
      </w:tr>
      <w:t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ESOL</w:t>
              <w:br/>
              <w:t>(1,116)</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969</w:t>
              <w:br/>
              <w:t>86.83</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964</w:t>
              <w:br/>
              <w:t>86.38</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111</w:t>
              <w:br/>
              <w:t>9.95/11.51</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165</w:t>
              <w:br/>
              <w:t>14.78/17.12</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226</w:t>
              <w:br/>
              <w:t>20.25/23.44</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300</w:t>
              <w:br/>
              <w:t>26.88/31.12</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371</w:t>
              <w:br/>
              <w:t>33.24/38.49</w:t>
            </w:r>
          </w:p>
        </w:tc>
      </w:tr>
      <w:t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FreeSolv</w:t>
              <w:br/>
              <w:t>(639)</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526</w:t>
              <w:br/>
              <w:t>82.32</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524</w:t>
              <w:br/>
              <w:t>82.00</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59</w:t>
              <w:br/>
              <w:t>9.23/11.26</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92</w:t>
              <w:br/>
              <w:t>14.40/17.56</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120</w:t>
              <w:br/>
              <w:t>18.78/22.90</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152</w:t>
              <w:br/>
              <w:t>23.79/29.01</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186</w:t>
              <w:br/>
              <w:t>29.11/35.50</w:t>
            </w:r>
          </w:p>
        </w:tc>
      </w:tr>
      <w:t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Lipo</w:t>
              <w:br/>
              <w:t>(4,198)</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2,513</w:t>
              <w:br/>
              <w:t>59.86</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2,493</w:t>
              <w:br/>
              <w:t>59.39</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349</w:t>
              <w:br/>
              <w:t>8.31/14.00</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504</w:t>
              <w:br/>
              <w:t>12.01/20.22</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682</w:t>
              <w:br/>
              <w:t>16.25/27.36</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837</w:t>
              <w:br/>
              <w:t>19.94/33.57</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989</w:t>
              <w:br/>
              <w:t>23.56/39.67</w:t>
            </w:r>
          </w:p>
        </w:tc>
      </w:tr>
      <w:t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HIV*</w:t>
              <w:br/>
              <w:t>(37,225)</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27,377</w:t>
              <w:br/>
              <w:t>73.54</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27,145</w:t>
              <w:br/>
              <w:t>72.92</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3,515</w:t>
              <w:br/>
              <w:t>9.44/12.95</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5,291</w:t>
              <w:br/>
              <w:t>14.21/19.49</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7,038</w:t>
              <w:br/>
              <w:t>18.91/25.93</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8,788</w:t>
              <w:br/>
              <w:t>23.61/32.37</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10,596</w:t>
              <w:br/>
              <w:t>28.46/39.03</w:t>
            </w:r>
          </w:p>
        </w:tc>
      </w:tr>
    </w:tbl>
    <w:p>
      <w:pPr>
        <w:spacing w:before="40" w:after="120"/>
      </w:pPr>
      <w:r>
        <w:rPr>
          <w:rFonts w:ascii="Times New Roman" w:hAnsi="Times New Roman"/>
          <w:sz w:val="14"/>
        </w:rPr>
        <w:t>Corpus and Train cells give n and % of the post-filter dataset. Checkpoint cells give the exact number consumed before the checkpoint and, on the second line, % of the full downstream dataset/% of training-partition overlaps. *HIV was confirmatory and not used for checkpoint selection.</w:t>
      </w:r>
    </w:p>
    <w:p>
      <w:pPr>
        <w:pStyle w:val="Heading3"/>
      </w:pPr>
      <w:r>
        <w:t>2.1.8. Independent training-seed replication reproduced the representation and transfer phenotype</w:t>
      </w:r>
    </w:p>
    <w:p>
      <w:pPr>
        <w:keepLines w:val="0"/>
        <w:jc w:val="both"/>
      </w:pPr>
      <w:r>
        <w:rPr>
          <w:rFonts w:ascii="Times New Roman" w:hAnsi="Times New Roman" w:eastAsia="Times New Roman"/>
          <w:b w:val="0"/>
          <w:i w:val="0"/>
          <w:sz w:val="21"/>
        </w:rPr>
        <w:t>The complete model-training experiment was independently repeated with seed 43. At step 10,000, the replicate used a separately fitted train-only calibrator derived from the same deterministic 100,000-molecule training sample used for seed 42 (sampling seed 271828 and the same graph manifest) and was evaluated under the same 50,000-molecule representation protocol and ten-split downstream panel. Every frozen representation and development-dataset gate was passed. Effective rank was 30.42 versus 29.97 for seed 42; Morgan recall@10 was 0.2040 versus 0.2023; cosine-Tanimoto Spearman correlation was 0.4442 versus 0.4369; and scaffold-neighbour enrichment was 34.13-fold versus 33.80-fold. Scaffold clustering ARI/NMI were 0.397/0.814 for seed 43 and 0.362/0.788 for seed 42.</w:t>
      </w:r>
    </w:p>
    <w:p>
      <w:pPr>
        <w:keepLines w:val="0"/>
        <w:jc w:val="both"/>
      </w:pPr>
      <w:r>
        <w:rPr>
          <w:rFonts w:ascii="Times New Roman" w:hAnsi="Times New Roman" w:eastAsia="Times New Roman"/>
          <w:b w:val="0"/>
          <w:i w:val="0"/>
          <w:sz w:val="21"/>
        </w:rPr>
        <w:t>Downstream development-panel results were similarly stable across training seeds. BACE ROC-AUC was 0.8468 for seed 43 versus 0.8413 for the selected seed 42 model, BBBP ROC-AUC 0.8747 versus 0.8789, ESOL RMSE 0.7237 versus 0.7314, FreeSolv RMSE 1.2956 versus 1.2971, and Lipophilicity RMSE 0.8051 versus 0.8125. The replication therefore argues that the principal representation phenotype was not a chance consequence of a favorable model-training seed, while the five endpoint scores remain selection-conditioned development results.</w:t>
      </w:r>
    </w:p>
    <w:p>
      <w:pPr>
        <w:pStyle w:val="TableCaption"/>
      </w:pPr>
      <w:r>
        <w:t>Table 11 | Cross-training-seed replication at step 10,000.</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286"/>
        <w:gridCol w:w="3286"/>
        <w:gridCol w:w="3286"/>
      </w:tblGrid>
      <w:tr>
        <w:trPr>
          <w:tblHeader w:val="true"/>
          <w:cantSplit/>
        </w:trPr>
        <w:tc>
          <w:tcPr>
            <w:tcW w:type="dxa" w:w="3969"/>
            <w:shd w:fill="E9EAEC"/>
            <w:tcMar>
              <w:top w:w="70" w:type="dxa"/>
              <w:start w:w="75" w:type="dxa"/>
              <w:bottom w:w="70" w:type="dxa"/>
              <w:end w:w="75" w:type="dxa"/>
            </w:tcMar>
            <w:vAlign w:val="center"/>
          </w:tcPr>
          <w:p>
            <w:pPr>
              <w:keepLines/>
              <w:spacing w:after="0"/>
              <w:jc w:val="center"/>
            </w:pPr>
            <w:r>
              <w:rPr>
                <w:rFonts w:ascii="Arial" w:hAnsi="Arial" w:eastAsia="Arial"/>
                <w:b/>
                <w:sz w:val="16"/>
              </w:rPr>
              <w:t>Metric</w:t>
            </w:r>
          </w:p>
        </w:tc>
        <w:tc>
          <w:tcPr>
            <w:tcW w:type="dxa" w:w="1814"/>
            <w:shd w:fill="E9EAEC"/>
            <w:tcMar>
              <w:top w:w="70" w:type="dxa"/>
              <w:start w:w="75" w:type="dxa"/>
              <w:bottom w:w="70" w:type="dxa"/>
              <w:end w:w="75" w:type="dxa"/>
            </w:tcMar>
            <w:vAlign w:val="center"/>
          </w:tcPr>
          <w:p>
            <w:pPr>
              <w:keepLines/>
              <w:spacing w:after="0"/>
              <w:jc w:val="center"/>
            </w:pPr>
            <w:r>
              <w:rPr>
                <w:rFonts w:ascii="Arial" w:hAnsi="Arial" w:eastAsia="Arial"/>
                <w:b/>
                <w:sz w:val="16"/>
              </w:rPr>
              <w:t>Seed 42</w:t>
            </w:r>
          </w:p>
        </w:tc>
        <w:tc>
          <w:tcPr>
            <w:tcW w:type="dxa" w:w="1814"/>
            <w:shd w:fill="E9EAEC"/>
            <w:tcMar>
              <w:top w:w="70" w:type="dxa"/>
              <w:start w:w="75" w:type="dxa"/>
              <w:bottom w:w="70" w:type="dxa"/>
              <w:end w:w="75" w:type="dxa"/>
            </w:tcMar>
            <w:vAlign w:val="center"/>
          </w:tcPr>
          <w:p>
            <w:pPr>
              <w:keepLines/>
              <w:spacing w:after="0"/>
              <w:jc w:val="center"/>
            </w:pPr>
            <w:r>
              <w:rPr>
                <w:rFonts w:ascii="Arial" w:hAnsi="Arial" w:eastAsia="Arial"/>
                <w:b/>
                <w:sz w:val="16"/>
              </w:rPr>
              <w:t>Seed 43</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Effective rank</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29.973</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30.420</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Morgan recall@10</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0.2023</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0.2040</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Cosine-Tanimoto Spearman rho</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0.4369</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0.4442</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Scaffold-neighbour enrichment</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33.80x</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34.13x</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Clustering ARI</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0.3621</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0.3966</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Clustering NMI</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0.7884</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0.8140</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BACE ROC-AUC</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0.8413</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0.8468</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BBBP ROC-AUC</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0.8789</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0.8747</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ESOL RMSE</w:t>
            </w:r>
          </w:p>
        </w:tc>
        <w:tc>
          <w:tcPr>
            <w:tcW w:type="dxa" w:w="1814"/>
            <w:tcMar>
              <w:top w:w="70" w:type="dxa"/>
              <w:start w:w="75" w:type="dxa"/>
              <w:bottom w:w="70" w:type="dxa"/>
              <w:end w:w="75" w:type="dxa"/>
            </w:tcMar>
            <w:vAlign w:val="center"/>
          </w:tcPr>
          <w:p>
            <w:pPr>
              <w:jc w:val="center"/>
            </w:pPr>
            <w:r>
              <w:rPr>
                <w:rFonts w:ascii="Times New Roman" w:hAnsi="Times New Roman"/>
                <w:sz w:val="16"/>
              </w:rPr>
              <w:t>0.7314</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0.7237</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FreeSolv RMSE</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1.2971</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1.2956</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Lipophilicity RMSE</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0.8125</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0.8051</w:t>
            </w:r>
          </w:p>
        </w:tc>
      </w:tr>
    </w:tbl>
    <w:p>
      <w:pPr>
        <w:pStyle w:val="TableNote"/>
        <w:jc w:val="left"/>
      </w:pPr>
      <w:r>
        <w:t>Seed 43 model training was independent. Its coordinate calibrator was fitted separately using the same deterministic 100,000-molecule pretraining training sample used for seed 42 (sampling seed 271828; same graph manifest).</w:t>
      </w:r>
    </w:p>
    <w:p>
      <w:pPr>
        <w:pStyle w:val="Heading3"/>
      </w:pPr>
      <w:r>
        <w:t>2.1.9. An additional HIV endpoint and the locked internal test exposed both robustness and limitations</w:t>
      </w:r>
    </w:p>
    <w:p>
      <w:pPr>
        <w:keepLines w:val="0"/>
        <w:jc w:val="both"/>
      </w:pPr>
      <w:r>
        <w:rPr>
          <w:rFonts w:ascii="Times New Roman" w:hAnsi="Times New Roman" w:eastAsia="Times New Roman"/>
          <w:b w:val="0"/>
          <w:i w:val="0"/>
          <w:sz w:val="21"/>
        </w:rPr>
        <w:t>HIV was evaluated only after the five-dataset development panel and was not used for model selection. After chemical filtering, the dataset contained 37,225 molecules grouped into 18,651 scaffolds, with 3.092% positives. Across ten nested scaffold splits, with ± values reported as descriptive population s.d. (ddof=0), gMolAI achieved ROC-AUC 0.7578 ± 0.0164, average precision 0.1813 ± 0.0202 and balanced accuracy 0.6856 ± 0.0241. Morgan achieved ROC-AUC 0.7440 ± 0.0258, average precision 0.1945 ± 0.0417 and balanced accuracy 0.6830 ± 0.0190. Thus, gMolAI was numerically higher in ranking ROC-AUC and balanced accuracy, whereas Morgan retained the higher average precision on this strongly imbalanced task. This again argues against presenting the learned representation as universally superior to ECFP-like fingerprints. As for the development panel, the repeated outer scaffold splits can overlap; these dispersions are not standard errors from independent replicates.</w:t>
      </w:r>
    </w:p>
    <w:p>
      <w:pPr>
        <w:keepLines w:val="0"/>
        <w:jc w:val="both"/>
      </w:pPr>
      <w:r>
        <w:rPr>
          <w:rFonts w:ascii="Times New Roman" w:hAnsi="Times New Roman" w:eastAsia="Times New Roman"/>
          <w:b w:val="0"/>
          <w:i w:val="0"/>
          <w:sz w:val="21"/>
        </w:rPr>
        <w:t>The selected checkpoint was frozen before access to the internal scaffold-hash test partition. On 250,000 test molecules, all 256 global coordinates remained active, clean effective rank was 37.68, median coordinate standard deviation was 0.732, and model-hard edge discrimination achieved AUROC 0.9661 and average precision 0.8286 without non-finite values. On a separate 50,000-molecule test geometry panel, calibrated-embedding effective rank was 30.69, Morgan recall@10 was 0.2079, cosine-Tanimoto Spearman correlation was 0.4573, neighbour Tanimoto enrichment was 2.00-fold and scaffold-neighbour enrichment was 26.36-fold. These values closely reproduced the validation-scale retrieval phenotype.</w:t>
      </w:r>
    </w:p>
    <w:p>
      <w:pPr>
        <w:keepLines w:val="0"/>
        <w:jc w:val="both"/>
      </w:pPr>
      <w:r>
        <w:rPr>
          <w:rFonts w:ascii="Times New Roman" w:hAnsi="Times New Roman" w:eastAsia="Times New Roman"/>
          <w:b w:val="0"/>
          <w:i w:val="0"/>
          <w:sz w:val="21"/>
        </w:rPr>
        <w:t>The clustering result was deliberately less favorable: on the internal test geometry panel, gMolAI scaffold ARI/NMI were 0.350/0.722, whereas Morgan achieved 0.372/0.780. The validation-set clustering advantage therefore did not generalize as a universal superiority over Morgan under a different scaffold-hash population. This reversal is scientifically informative. Morgan fingerprints are explicitly constructed from local circular substructures and can be particularly well matched to scaffold-oriented grouping. The value of gMolAI is instead supported by the broader conjunction of stable topology accessibility, chemically enriched retrieval, external task transfer, cross-seed reproducibility and a distinct continuous geometry.</w:t>
      </w:r>
    </w:p>
    <w:p>
      <w:pPr>
        <w:pStyle w:val="Heading2"/>
      </w:pPr>
      <w:r>
        <w:t>2.2. Discussion</w:t>
      </w:r>
    </w:p>
    <w:p>
      <w:pPr>
        <w:pStyle w:val="Heading3"/>
      </w:pPr>
      <w:r>
        <w:t>2.2.1. What does a learned molecular representation add beyond an easily computed fingerprint?</w:t>
      </w:r>
    </w:p>
    <w:p>
      <w:pPr>
        <w:keepLines w:val="0"/>
        <w:jc w:val="both"/>
      </w:pPr>
      <w:r>
        <w:rPr>
          <w:rFonts w:ascii="Times New Roman" w:hAnsi="Times New Roman" w:eastAsia="Times New Roman"/>
          <w:b w:val="0"/>
          <w:i w:val="0"/>
          <w:sz w:val="21"/>
        </w:rPr>
        <w:t>The practical benchmark for gMolAI-v2.0 is not whether a neural representation can replace Morgan fingerprints in every setting. Morgan/ECFP features are deterministic, inexpensive, compact and exceptionally effective for many similarity-search and QSAR tasks.</w:t>
      </w:r>
      <w:r>
        <w:rPr>
          <w:rFonts w:ascii="Times New Roman" w:hAnsi="Times New Roman"/>
          <w:sz w:val="16"/>
          <w:vertAlign w:val="superscript"/>
        </w:rPr>
        <w:t>9</w:t>
      </w:r>
      <w:r>
        <w:rPr>
          <w:rFonts w:ascii="Times New Roman" w:hAnsi="Times New Roman" w:eastAsia="Times New Roman"/>
          <w:b w:val="0"/>
          <w:i w:val="0"/>
          <w:sz w:val="21"/>
        </w:rPr>
        <w:t xml:space="preserve"> For a fingerprint-specific analogue or scaffold search, they may remain the preferable representation. The motivation for training a model such as gMolAI is therefore different: to learn a continuous molecular state vector from a very large unlabeled corpus, expose both local and global graph information in a reusable form, and permit downstream models to access chemical regularities that were not fixed a priori by a fingerprint algorithm.</w:t>
      </w:r>
    </w:p>
    <w:p>
      <w:pPr>
        <w:keepLines w:val="0"/>
        <w:jc w:val="both"/>
      </w:pPr>
      <w:r>
        <w:t>The present results provide three forms of evidence for added value beyond fixed baselines. First, the representation retained high linear accessibility of topological quantities absent from the pretraining targets. Second, gMolAI nearest-neighbour geometry was chemically enriched but only moderately correlated with Morgan similarity. Third, matched downstream experiments showed endpoint-specific complementarity: Morgan was stronger on BACE, gMolAI was numerically stronger on BBBP, and gMolAI achieved lower mean RMSE than both Morgan and the 13-descriptor-only control on ESOL, FreeSolv and Lipophilicity. The descriptor control substantially narrows the interpretation for ESOL and FreeSolv, while its poor Lipophilicity result shows that the learned regression phenotype is not a simple passthrough of the auxiliary descriptor vector.</w:t>
      </w:r>
    </w:p>
    <w:p>
      <w:pPr>
        <w:keepLines w:val="0"/>
        <w:jc w:val="both"/>
      </w:pPr>
      <w:r>
        <w:rPr>
          <w:rFonts w:ascii="Times New Roman" w:hAnsi="Times New Roman" w:eastAsia="Times New Roman"/>
          <w:b w:val="0"/>
          <w:i w:val="0"/>
          <w:sz w:val="21"/>
        </w:rPr>
        <w:t>An immediate implication is that Morgan and gMolAI should not necessarily be treated as mutually exclusive alternatives. Concatenating or otherwise fusing the two representations is a natural future experiment. If a combined model consistently outperforms either representation alone under identical scaffold splits, that would provide direct task-level evidence that the learned embedding contains information complementary to engineered circular fingerprints. The current work establishes the prerequisite for such a test - distinct yet chemically meaningful geometries - but does not claim the result before it has been measured.</w:t>
      </w:r>
    </w:p>
    <w:p>
      <w:pPr>
        <w:pStyle w:val="Heading3"/>
      </w:pPr>
      <w:r>
        <w:t>2.2.2. Representation-centric checkpoint selection was necessary</w:t>
      </w:r>
    </w:p>
    <w:p>
      <w:pPr>
        <w:keepLines w:val="0"/>
        <w:jc w:val="both"/>
      </w:pPr>
      <w:r>
        <w:t>The complete checkpoint trajectory reinforces a broader methodological lesson for molecular pretraining. The 15,000-step model was not numerically collapsed; on several pretraining and dimensional diagnostics it was better than the 10,000-step model, and it passed 16 of the 17 frozen criteria. Nevertheless, its FreeSolv RMSE of 1.30346 remained 0.00346 above the fixed 1.30 ceiling. The same complete fail-closed panel was applied uniformly to every checkpoint from 5,000 through 15,000 steps, and step 10,000 uniquely qualified. Promoting step 15,000 would therefore require a post hoc relaxation of the frozen rule. This eligibility result is not evidence that step 10,000 is statistically superior to step 15,000 on FreeSolv; it is the consequence of the complete retrospective audit. Repository history proves that the validator was committed and unchanged before the expanded sweep, but cannot establish prospective specification before the original selection or preliminary retained-step screen.</w:t>
      </w:r>
    </w:p>
    <w:p>
      <w:pPr>
        <w:keepLines w:val="0"/>
        <w:jc w:val="both"/>
      </w:pPr>
      <w:r>
        <w:rPr>
          <w:rFonts w:ascii="Times New Roman" w:hAnsi="Times New Roman" w:eastAsia="Times New Roman"/>
          <w:b w:val="0"/>
          <w:i w:val="0"/>
          <w:sz w:val="21"/>
        </w:rPr>
        <w:t>This evaluation philosophy is aligned with a growing body of work showing that molecular self-supervised pretraining is not automatically beneficial and that apparent gains can depend strongly on task, data split, downstream protocol and baseline strength.</w:t>
      </w:r>
      <w:r>
        <w:rPr>
          <w:rFonts w:ascii="Times New Roman" w:hAnsi="Times New Roman"/>
          <w:sz w:val="16"/>
          <w:vertAlign w:val="superscript"/>
        </w:rPr>
        <w:t>16,17</w:t>
      </w:r>
      <w:r>
        <w:rPr>
          <w:rFonts w:ascii="Times New Roman" w:hAnsi="Times New Roman" w:eastAsia="Times New Roman"/>
          <w:b w:val="0"/>
          <w:i w:val="0"/>
          <w:sz w:val="21"/>
        </w:rPr>
        <w:t xml:space="preserve"> The aim of the present promotion protocol was therefore not to maximize a single headline benchmark, but to reject representations exhibiting obvious collapse, chemically implausible geometry or poor transfer before designating an immutable general-purpose artifact.</w:t>
      </w:r>
    </w:p>
    <w:p>
      <w:pPr>
        <w:pStyle w:val="Heading3"/>
      </w:pPr>
      <w:r>
        <w:t>2.2.3. The observed strengths should be interpreted within the representation contract</w:t>
      </w:r>
    </w:p>
    <w:p>
      <w:pPr>
        <w:keepLines w:val="0"/>
        <w:jc w:val="both"/>
      </w:pPr>
      <w:r>
        <w:rPr>
          <w:rFonts w:ascii="Times New Roman" w:hAnsi="Times New Roman" w:eastAsia="Times New Roman"/>
          <w:b w:val="0"/>
          <w:i w:val="0"/>
          <w:sz w:val="21"/>
        </w:rPr>
        <w:t>Several limitations define the scope of the conclusions. First, gMolAI-v2.0 is a two-dimensional molecular graph encoder. Although stereochemical annotations are retained when available, the model does not consume explicit conformer coordinates and therefore cannot directly encode conformational energetics, three-dimensional shape or geometry-dependent interactions in the manner of dedicated 3D representation-learning systems.</w:t>
      </w:r>
      <w:r>
        <w:rPr>
          <w:rFonts w:ascii="Times New Roman" w:hAnsi="Times New Roman"/>
          <w:sz w:val="16"/>
          <w:vertAlign w:val="superscript"/>
        </w:rPr>
        <w:t>15</w:t>
      </w:r>
      <w:r>
        <w:rPr>
          <w:rFonts w:ascii="Times New Roman" w:hAnsi="Times New Roman" w:eastAsia="Times New Roman"/>
          <w:b w:val="0"/>
          <w:i w:val="0"/>
          <w:sz w:val="21"/>
        </w:rPr>
        <w:t xml:space="preserve"> This limitation is counterbalanced operationally by direct SMILES-to-embedding inference without conformer generation, which is advantageous for very large molecular collections.</w:t>
      </w:r>
    </w:p>
    <w:p>
      <w:pPr>
        <w:keepLines w:val="0"/>
        <w:jc w:val="both"/>
      </w:pPr>
      <w:r>
        <w:t>Second, the pretraining objective is not purely self-supervised because it includes 13 calculated molecular descriptors as auxiliary regression targets. The no-model descriptor control demonstrates that these fixed features account for a substantial descriptive fraction of the ESOL and FreeSolv improvement relative to Morgan, although gMolAI remains better than the descriptor control and the Lipophilicity gain is not reproduced by descriptors alone. This comparison is not a causal ablation; quantifying causal contribution would require retraining without descriptor supervision, which was not performed. Exact identity auditing further distinguishes static corpus membership from actual optimizer exposure: only the checkpoint-specific subsets reported in Table 10 had been consumed by each retained model. Endpoint labels were never pretraining targets, so this is not direct label leakage. Nevertheless, actual exposure of a nonzero subset at the promoted checkpoint limits claims of molecule-level novelty and should be considered when interpreting all six downstream results; the audit does not establish that exposure caused the observed endpoint performance.</w:t>
      </w:r>
    </w:p>
    <w:p>
      <w:pPr>
        <w:keepLines w:val="0"/>
        <w:jc w:val="both"/>
      </w:pPr>
      <w:r>
        <w:rPr>
          <w:rFonts w:ascii="Times New Roman" w:hAnsi="Times New Roman" w:eastAsia="Times New Roman"/>
          <w:b w:val="0"/>
          <w:i w:val="0"/>
          <w:sz w:val="21"/>
        </w:rPr>
        <w:t>Third, the present MoleculeNet experiments evaluate frozen representations with simple downstream models. This is a deliberately stringent test of information accessibility, but it is not directly comparable to literature results obtained by end-to-end fine-tuning, hyperparameter-intensive model selection or additional data modalities. Molecular contrastive and masked-autoencoding frameworks have demonstrated the value of large-scale pretraining,</w:t>
      </w:r>
      <w:r>
        <w:rPr>
          <w:rFonts w:ascii="Times New Roman" w:hAnsi="Times New Roman"/>
          <w:sz w:val="16"/>
          <w:vertAlign w:val="superscript"/>
        </w:rPr>
        <w:t>7,14</w:t>
      </w:r>
      <w:r>
        <w:rPr>
          <w:rFonts w:ascii="Times New Roman" w:hAnsi="Times New Roman" w:eastAsia="Times New Roman"/>
          <w:b w:val="0"/>
          <w:i w:val="0"/>
          <w:sz w:val="21"/>
        </w:rPr>
        <w:t xml:space="preserve"> while other studies have emphasized that benchmark improvements can be fragile to experimental protocol.</w:t>
      </w:r>
      <w:r>
        <w:rPr>
          <w:rFonts w:ascii="Times New Roman" w:hAnsi="Times New Roman"/>
          <w:sz w:val="16"/>
          <w:vertAlign w:val="superscript"/>
        </w:rPr>
        <w:t>16,17</w:t>
      </w:r>
      <w:r>
        <w:rPr>
          <w:rFonts w:ascii="Times New Roman" w:hAnsi="Times New Roman" w:eastAsia="Times New Roman"/>
          <w:b w:val="0"/>
          <w:i w:val="0"/>
          <w:sz w:val="21"/>
        </w:rPr>
        <w:t xml:space="preserve"> Accordingly, the current results should be interpreted as evidence for a robust reusable representation rather than as a claim of universal state-of-the-art property prediction.</w:t>
      </w:r>
    </w:p>
    <w:p>
      <w:pPr>
        <w:pStyle w:val="Heading3"/>
      </w:pPr>
      <w:r>
        <w:t>2.2.4. Implications and outlook</w:t>
      </w:r>
    </w:p>
    <w:p>
      <w:pPr>
        <w:keepLines w:val="0"/>
        <w:jc w:val="both"/>
      </w:pPr>
      <w:r>
        <w:rPr>
          <w:rFonts w:ascii="Times New Roman" w:hAnsi="Times New Roman" w:eastAsia="Times New Roman"/>
          <w:b w:val="0"/>
          <w:i w:val="0"/>
          <w:sz w:val="21"/>
        </w:rPr>
        <w:t>The principal contribution of gMolAI-v2.0 is therefore not a new fingerprint in the narrow sense, but a validated pretrained molecular encoder whose released output is a fixed, deterministic and calibrated 384-dimensional state vector. The expensive training stage is incurred once; downstream inference then reuses the same frozen checkpoint-calibrator pair across tasks. This amortization is the relevant practical argument for large-scale pretraining: the representation is intended to become infrastructure for multiple property models, clustering analyses, similarity systems and, potentially, multimodal architectures rather than to justify its cost on a single benchmark.</w:t>
      </w:r>
    </w:p>
    <w:p>
      <w:pPr>
        <w:keepLines w:val="0"/>
        <w:jc w:val="both"/>
      </w:pPr>
      <w:r>
        <w:rPr>
          <w:rFonts w:ascii="Times New Roman" w:hAnsi="Times New Roman" w:eastAsia="Times New Roman"/>
          <w:b w:val="0"/>
          <w:i w:val="0"/>
          <w:sz w:val="21"/>
        </w:rPr>
        <w:t>Several next steps follow directly from the present evidence. First, explicit gMolAI-plus-Morgan fusion should test the complementarity suggested by the moderate cross-representation correlation and endpoint-specific benchmark results. Second, low-data learning curves would determine whether pretraining reduces the number of labeled molecules required to achieve a given predictive accuracy, which is one of the strongest potential advantages of a reusable molecular encoder. Third, selective fine-tuning could determine whether the pretrained space provides a favorable initialization for task-aware representations. Finally, integration with conformer-aware or protein-context encoders could extend the current two-dimensional representation toward geometry- and interaction-dependent applications while preserving the rigor of the existing frozen-data and fail-closed evaluation framework.</w:t>
      </w:r>
    </w:p>
    <w:p>
      <w:pPr>
        <w:keepLines w:val="0"/>
        <w:jc w:val="both"/>
      </w:pPr>
      <w:r>
        <w:rPr>
          <w:rFonts w:ascii="Times New Roman" w:hAnsi="Times New Roman" w:eastAsia="Times New Roman"/>
          <w:b w:val="0"/>
          <w:i w:val="0"/>
          <w:sz w:val="21"/>
        </w:rPr>
        <w:t>Taken together, the results support a deliberately bounded conclusion. gMolAI-v2.0 learns a stable continuous molecular representation that avoids the collapse observed in earlier implementations, retains scaffold-general structural information, defines a chemically meaningful but non-Morgan-equivalent geometry, and reproducibly satisfies the five selection-conditioned development transfer gates across two independent model training seeds. Post-selection HIV evaluation and the locked internal test provide separate confirmation, with the latter showing no numerical instability or latent collapse. Morgan fingerprints remain stronger for some tasks and for scaffold-centric clustering on the internal test, which argues for complementarity rather than replacement. The scientific value of gMolAI-v2.0 lies precisely in this distinction: it provides a learned molecular coordinate system whose information content is demonstrably broader than a single reconstruction target or a single engineered similarity metric, while remaining sufficiently controlled and reproducible to function as a fixed downstream representation.</w:t>
      </w:r>
    </w:p>
    <w:p>
      <w:pPr>
        <w:pStyle w:val="Heading1"/>
        <w:pageBreakBefore/>
      </w:pPr>
      <w:r>
        <w:t>3. References</w:t>
      </w:r>
    </w:p>
    <w:p>
      <w:pPr>
        <w:pStyle w:val="MethodsReferences"/>
      </w:pPr>
      <w:r>
        <w:t>1. Irwin, J. J. et al. ZINC20 - A free ultralarge-scale chemical database for ligand discovery. J. Chem. Inf. Model. 60, 6065-6073 (2020). doi:10.1021/acs.jcim.0c00675.</w:t>
      </w:r>
    </w:p>
    <w:p>
      <w:pPr>
        <w:pStyle w:val="MethodsReferences"/>
      </w:pPr>
      <w:r>
        <w:t>2. Kim, S. et al. PubChem in 2021: new data content and improved web interfaces. Nucleic Acids Res. 49, D1388-D1395 (2021). doi:10.1093/nar/gkaa971.</w:t>
      </w:r>
    </w:p>
    <w:p>
      <w:pPr>
        <w:pStyle w:val="MethodsReferences"/>
      </w:pPr>
      <w:r>
        <w:t>3. Landrum, G. et al. RDKit: open-source cheminformatics software. RDKit project; version 2025.09.3 used in the released reproducibility environment.</w:t>
      </w:r>
    </w:p>
    <w:p>
      <w:pPr>
        <w:pStyle w:val="MethodsReferences"/>
      </w:pPr>
      <w:r>
        <w:t>4. Bemis, G. W. &amp; Murcko, M. A. The properties of known drugs. 1. Molecular frameworks. J. Med. Chem. 39, 2887-2893 (1996). doi:10.1021/jm9602928.</w:t>
      </w:r>
    </w:p>
    <w:p>
      <w:pPr>
        <w:pStyle w:val="MethodsReferences"/>
      </w:pPr>
      <w:r>
        <w:t>5. Hu, W. et al. Strategies for pre-training graph neural networks. International Conference on Learning Representations (2020); arXiv:1905.12265.</w:t>
      </w:r>
    </w:p>
    <w:p>
      <w:pPr>
        <w:pStyle w:val="MethodsReferences"/>
      </w:pPr>
      <w:r>
        <w:t>6. Chen, T., Kornblith, S., Norouzi, M. &amp; Hinton, G. A simple framework for contrastive learning of visual representations. Proc. 37th Int. Conf. Mach. Learn. 119, 1597-1607 (2020).</w:t>
      </w:r>
    </w:p>
    <w:p>
      <w:pPr>
        <w:pStyle w:val="MethodsReferences"/>
      </w:pPr>
      <w:r>
        <w:t>7. Wang, Y., Wang, J., Cao, Z. &amp; Barati Farimani, A. Molecular contrastive learning of representations via graph neural networks. Nat. Mach. Intell. 4, 279-287 (2022). doi:10.1038/s42256-022-00447-x.</w:t>
      </w:r>
    </w:p>
    <w:p>
      <w:pPr>
        <w:pStyle w:val="MethodsReferences"/>
      </w:pPr>
      <w:r>
        <w:t>8. Loshchilov, I. &amp; Hutter, F. Decoupled weight decay regularization. International Conference on Learning Representations (2019); arXiv:1711.05101.</w:t>
      </w:r>
    </w:p>
    <w:p>
      <w:pPr>
        <w:pStyle w:val="MethodsReferences"/>
      </w:pPr>
      <w:r>
        <w:t>9. Rogers, D. &amp; Hahn, M. Extended-connectivity fingerprints. J. Chem. Inf. Model. 50, 742-754 (2010). doi:10.1021/ci100050t.</w:t>
      </w:r>
    </w:p>
    <w:p>
      <w:pPr>
        <w:pStyle w:val="MethodsReferences"/>
      </w:pPr>
      <w:r>
        <w:t>10. Wu, Z. et al. MoleculeNet: a benchmark for molecular machine learning. Chem. Sci. 9, 513-530 (2018). doi:10.1039/C7SC02664A.</w:t>
      </w:r>
    </w:p>
    <w:p>
      <w:pPr>
        <w:pStyle w:val="MethodsReferences"/>
      </w:pPr>
      <w:r>
        <w:t>11. Paszke, A. et al. PyTorch: an imperative style, high-performance deep learning library. Adv. Neural Inf. Process. Syst. 32, 8024-8035 (2019).</w:t>
      </w:r>
    </w:p>
    <w:p>
      <w:pPr>
        <w:pStyle w:val="MethodsReferences"/>
      </w:pPr>
      <w:r>
        <w:t>12. Fey, M. &amp; Lenssen, J. E. Fast graph representation learning with PyTorch Geometric. ICLR Workshop on Representation Learning on Graphs and Manifolds (2019); arXiv:1903.02428.</w:t>
      </w:r>
    </w:p>
    <w:p>
      <w:pPr>
        <w:pStyle w:val="MethodsReferences"/>
      </w:pPr>
      <w:r>
        <w:t>13. Rong, Y. et al. Self-supervised graph transformer on large-scale molecular data. Adv. Neural Inf. Process. Syst. 33, 12559-12571 (2020).</w:t>
      </w:r>
    </w:p>
    <w:p>
      <w:pPr>
        <w:pStyle w:val="MethodsReferences"/>
      </w:pPr>
      <w:r>
        <w:t>14. Hou, Z. et al. GraphMAE: self-supervised masked graph autoencoders. In Proc. 28th ACM SIGKDD Conf. Knowledge Discovery and Data Mining 594-604 (2022).</w:t>
      </w:r>
    </w:p>
    <w:p>
      <w:pPr>
        <w:pStyle w:val="MethodsReferences"/>
      </w:pPr>
      <w:r>
        <w:t>15. Zhou, G. et al. Uni-Mol: a universal 3D molecular representation learning framework. In International Conference on Learning Representations (2023).</w:t>
      </w:r>
    </w:p>
    <w:p>
      <w:pPr>
        <w:pStyle w:val="MethodsReferences"/>
      </w:pPr>
      <w:r>
        <w:t>16. Sun, R., Dai, H. &amp; Yu, A. W. Does GNN pretraining help molecular representation? Adv. Neural Inf. Process. Syst. 35, 12096-12109 (2022).</w:t>
      </w:r>
    </w:p>
    <w:p>
      <w:pPr>
        <w:pStyle w:val="MethodsReferences"/>
      </w:pPr>
      <w:r>
        <w:t>17. Zhang, Z. et al. Can pretrained models really learn better molecular representations for AI-aided drug discovery? J. Chem. Inf. Model. 64, 2921-2930 (2024).</w:t>
      </w:r>
    </w:p>
    <w:sectPr>
      <w:footerReference w:type="default" r:id="rId7"/>
      <w:pgSz w:w="12240" w:h="15840"/>
      <w:pgMar w:top="1276" w:right="1417" w:bottom="1276" w:left="1417" w:header="68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4D766" w14:textId="77777777">
      <w:pPr>
        <w:spacing w:after="0" w:line="240" w:lineRule="auto"/>
      </w:pPr>
      <w:r>
        <w:separator/>
      </w:r>
    </w:p>
  </w:endnote>
  <w:endnote w:type="continuationSeparator" w:id="0">
    <w:p w14:paraId="6DBE4C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AF36" w14:textId="77777777">
    <w:pPr>
      <w:pStyle w:val="Foote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0592A" w14:textId="77777777">
      <w:r>
        <w:separator/>
      </w:r>
    </w:p>
  </w:footnote>
  <w:footnote w:type="continuationSeparator" w:id="0">
    <w:p w14:paraId="07DF7F2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B88B8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EA4C1D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66944608">
    <w:abstractNumId w:val="8"/>
  </w:num>
  <w:num w:numId="2" w16cid:durableId="170216850">
    <w:abstractNumId w:val="6"/>
  </w:num>
  <w:num w:numId="3" w16cid:durableId="1394428821">
    <w:abstractNumId w:val="5"/>
  </w:num>
  <w:num w:numId="4" w16cid:durableId="688216212">
    <w:abstractNumId w:val="4"/>
  </w:num>
  <w:num w:numId="5" w16cid:durableId="337542393">
    <w:abstractNumId w:val="7"/>
  </w:num>
  <w:num w:numId="6" w16cid:durableId="203517695">
    <w:abstractNumId w:val="3"/>
  </w:num>
  <w:num w:numId="7" w16cid:durableId="925193103">
    <w:abstractNumId w:val="2"/>
  </w:num>
  <w:num w:numId="8" w16cid:durableId="613633123">
    <w:abstractNumId w:val="1"/>
  </w:num>
  <w:num w:numId="9" w16cid:durableId="1484807918">
    <w:abstractNumId w:val="0"/>
  </w:num>
  <w:num w:numId="10" w16cid:durableId="1364744755">
    <w:abstractNumId w:val="9"/>
  </w:num>
  <w:num w:numId="11" w16cid:durableId="14106882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440"/>
    <w:rsid w:val="004F3AF6"/>
    <w:rsid w:val="00950E02"/>
    <w:rsid w:val="00AA1D8D"/>
    <w:rsid w:val="00B47730"/>
    <w:rsid w:val="00CB0664"/>
    <w:rsid w:val="00D41142"/>
    <w:rsid w:val="00D6155F"/>
    <w:rsid w:val="00E85768"/>
    <w:rsid w:val="00F31D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EA9B4"/>
  <w15:docId w15:val="{5AE343F0-E078-4048-ABBE-B855AE7CE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eastAsia="Arial" w:cs="Arial"/>
      <w:b/>
      <w:bCs/>
      <w:color w:val="000000"/>
      <w:sz w:val="20"/>
      <w:szCs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hodsReferences">
    <w:name w:val="Methods References"/>
    <w:basedOn w:val="Normal"/>
    <w:pPr>
      <w:spacing w:after="60" w:line="240" w:lineRule="auto"/>
      <w:ind w:left="283" w:hanging="283"/>
    </w:pPr>
    <w:rPr>
      <w:sz w:val="19"/>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TableCaption">
    <w:name w:val="Table Caption"/>
    <w:basedOn w:val="Normal"/>
    <w:pPr>
      <w:keepNext/>
      <w:spacing w:before="140" w:after="60"/>
    </w:pPr>
    <w:rPr>
      <w:rFonts w:ascii="Arial" w:hAnsi="Arial"/>
      <w:b/>
      <w:sz w:val="18"/>
    </w:rPr>
  </w:style>
  <w:style w:type="paragraph" w:customStyle="1" w:styleId="TableNote">
    <w:name w:val="Table Note"/>
    <w:basedOn w:val="Normal"/>
    <w:pPr>
      <w:spacing w:before="40" w:after="120"/>
    </w:pPr>
    <w:rPr>
      <w:rFonts w:ascii="Times New Roman" w:hAnsi="Times New Roman"/>
      <w:b w:val="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6146</Words>
  <Characters>35037</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gMolAI-v2.0 - Materials and Methods; Results and Discussion</dc:title>
  <dc:subject>gMolAI-v2.0 manuscript revision 2</dc:subject>
  <dc:creator/>
  <cp:keywords/>
  <cp:lastModifiedBy/>
  <cp:revision>3</cp:revision>
  <dcterms:created xsi:type="dcterms:W3CDTF">2026-08-10T15:25:00Z</dcterms:created>
  <dcterms:modified xsi:type="dcterms:W3CDTF">2026-08-11T14:08:44Z</dcterms:modified>
  <dc:description/>
</cp:coreProperties>
</file>