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Vionix 需求规格说明书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1. 项目目标</w:t>
      </w:r>
    </w:p>
    <w:p>
      <w:r>
        <w:rPr>
          <w:rFonts w:ascii="Microsoft YaHei" w:hAnsi="Microsoft YaHei" w:eastAsia="Microsoft YaHei"/>
          <w:b w:val="0"/>
          <w:sz w:val="21"/>
        </w:rPr>
        <w:t>Vionix 是面向多租户 IoT 场景的设备监控平台，目标是提供设备数据接入、实时监控、历史趋势、规则告警、权限隔离和低代码仪表盘能力。</w:t>
      </w:r>
    </w:p>
    <w:p>
      <w:r>
        <w:rPr>
          <w:rFonts w:ascii="Microsoft YaHei" w:hAnsi="Microsoft YaHei" w:eastAsia="Microsoft YaHei"/>
          <w:b w:val="0"/>
          <w:sz w:val="21"/>
        </w:rPr>
        <w:t>当前阶段目标是完成从最小基础设施到完整可用平台的研发交付：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>Mosquitto + Telegraf + InfluxDB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-&gt; Spring Boot 4 Backend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-&gt; Vue Frontend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-&gt; MySQL + Redis</w:t>
      </w:r>
    </w:p>
    <w:p>
      <w:pPr>
        <w:pStyle w:val="CodeBlock"/>
        <w:spacing w:after="0"/>
        <w:ind w:left="259"/>
        <w:shd w:fill="F3F4F6"/>
      </w:pPr>
      <w:r>
        <w:rPr>
          <w:rFonts w:ascii="Consolas" w:hAnsi="Consolas" w:eastAsia="Microsoft YaHei"/>
          <w:color w:val="111827"/>
          <w:sz w:val="18"/>
        </w:rPr>
        <w:t xml:space="preserve">  -&gt; RBAC + 规则引擎 + WebSocket + 低代码仪表盘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2.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角色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核心诉求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超级管理员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平台级管理者，管理租户和全局配置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创建租户、跨租户运维、系统配置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租户管理员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单租户内管理员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管理用户、角色、设备分组、规则和仪表盘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运维人员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设备监控和故障处理人员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查看实时数据、告警、历史趋势和设备状态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普通查看用户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只读用户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查看被授权设备和公开仪表盘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外部设备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MQTT/Modbus/HTTP 数据生产端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按统一协议上报指标数据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 范围定义</w:t>
      </w:r>
    </w:p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3.1 本期范围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范围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设备数据接入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MQTT JSON 上报，统一解析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source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和指标字段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设备基础目录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维护租户内设备标识、名称、状态、来源和权限边界，支撑监控、规则、仪表盘变量和 WebSocket 订阅校验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时序存储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InfluxDB 原始数据、分钟、小时、天级聚合存储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实时监控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WebSocket/STOMP 推送秒级指标和告警事件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历史查询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按时间范围、设备、指标和聚合方式查询历史数据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RBAC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多租户、用户、角色、权限、数据范围、双 token 认证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规则引擎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规则条件、设备分组、告警状态、动作分发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低代码仪表盘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 CRUD、布局 JSON、变量绑定、组件渲染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部署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本地开发、测试和生产部署基线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sz w:val="26"/>
        </w:rPr>
        <w:t>3.2 暂不纳入范围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大规模设备注册中心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本期只实现最小设备目录和权限边界；批量注册、固件、影子、物模型等完整设备生命周期后续拆分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多区域高可用集群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本期部署文档覆盖单区域生产基线，不覆盖跨地域容灾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复杂规则表达式 AST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当前规则条件只支持“组内 AND、组间 OR”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报表系统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可基于历史查询和仪表盘扩展，不作为本期核心交付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4.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需求</w:t>
            </w:r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优先级</w:t>
            </w:r>
          </w:p>
        </w:tc>
        <w:tc>
          <w:tcPr>
            <w:tcW w:type="dxa" w:w="2556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验收条件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设备通过 MQTT 上报 JSON 指标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平台能接收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vionix/{tenant_id}/{device_id}/metrics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topic，解析 tag 和数值 field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原始指标写入 InfluxDB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device_raw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中存在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device_metrics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，包含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source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tag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指标自动降采样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数据按分钟、小时、天写入对应 bucket，字段不出现二次聚合后缀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查询历史指标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GET /api/metrics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能按租户、设备、时间、字段、聚合函数返回数据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秒级实时监控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前端订阅设备 topic 后能收到当前租户内授权设备的实时点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FR-06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用户登录和 token 刷新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 accessToken、HttpOnly refreshToken、登出和刷新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FR-07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多租户数据隔离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普通租户用户无法访问其他租户用户、规则、告警、仪表盘和指标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FR-08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权限控制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API、菜单和数据范围均按角色权限生效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FR-09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设备基础目录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租户内设备可创建、查询、启停，并以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(tenant_id, device_id)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唯一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设备分组管理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租户内可创建分组并绑定本租户设备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规则管理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可创建、更新、启停、删除规则，规则名称租户内唯一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规则实时评估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MQTT 消息能触发规则计算并生成告警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告警管理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可查询触发中、历史告警和统计数据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告警实时推送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告警事件通过 WebSocket 按租户和设备权限推送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规则动作分发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 MQTT、HTTP 或即时消息动作，动作日志可查询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FR-16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低代码仪表盘 CRUD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用户可创建、编辑、删除、查看仪表盘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FR-17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仪表盘变量绑定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$device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、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$timeRange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等变量可驱动组件数据源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FR-18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仪表盘实时组件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组件可复用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/api/metrics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和 WebSocket，不新增时序数据查询协议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FR-19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审计和安全状态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登录失败计数、token 黑名单、权限缓存使用 Redis 支撑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5.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3408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NFR-01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所有受保护 API 必须校验 JWT，普通用户不能通过参数覆盖租户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NFR-02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refreshToken 必须通过 HttpOnly、Secure、SameSite Cookie 下发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NFR-03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密钥、盐值、数据库密码不得进入普通配置文件和镜像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NFR-04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性能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实时指标推送链路在正常负载下端到端延迟应小于 2 秒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NFR-05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性能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常规历史查询应在合理索引和 bucket 路由下 3 秒内返回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NFR-06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可维护性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Backend、Frontend、数据库迁移和部署脚本必须独立可测试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NFR-07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可观测性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关键服务需输出结构化日志、健康检查和基础指标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NFR-08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可靠性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生产和多实例环境必须启用 Redis，保证安全状态共享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NFR-09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数据质量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降采样均值必须按 count 加权，不能简单平均上一层均值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NFR-10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兼容性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2937"/>
                <w:sz w:val="17"/>
              </w:rPr>
              <w:t>sensors/{device_id}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topic 仅允许单租户开发兼容，不作为生产协议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NFR-11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可观测性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API、MQTT 消费、规则评估、WS 推送、任务执行必须具备日志、指标和健康状态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NFR-12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交付质量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主干合并和发布必须经过格式检查、测试、密钥扫描和文档同步检查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6. 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编号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规则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BR-01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租户管理员只能管理本租户用户、角色、规则、告警、仪表盘和设备分组。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BR-02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超级管理员跨租户操作必须显式指定目标租户并记录审计日志。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BR-03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规则作用域为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时，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target_id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表示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device_id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；作用域为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GROUP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时，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target_id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表示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group_id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BR-04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规则条件当前只支持组内 AND、组间 OR。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BR-05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仪表盘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layout_config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中不得存储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tenant_id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，租户由服务端从 JWT 注入。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BR-06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 租户级订阅只能推送当前租户数据；设备级订阅必须校验设备数据权限。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BR-07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生产环境中，指标写入、规则目标、设备分组绑定和仪表盘 </w:t>
            </w:r>
            <w:r>
              <w:rPr>
                <w:rFonts w:ascii="Consolas" w:hAnsi="Consolas" w:eastAsia="Microsoft YaHei"/>
                <w:color w:val="1F2937"/>
                <w:sz w:val="17"/>
              </w:rPr>
              <w:t>$device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变量都必须引用当前租户内已登记且启用的设备。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7. 验收基线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验收项</w:t>
            </w:r>
          </w:p>
        </w:tc>
        <w:tc>
          <w:tcPr>
            <w:tcW w:type="dxa" w:w="5112"/>
            <w:vAlign w:val="center"/>
            <w:shd w:fill="E5E7E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通过标准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基础设施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 Compose 可启动 Mosquitto、Telegraf、InfluxDB，并能验证 MQTT 写入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数据链路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 MQTT 到 InfluxDB 原始 bucket 和聚合 bucket 的数据链路可验证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OpenAPI 或接口文档与实现一致，关键 API 有集成测试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权限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多租户和 RBAC 有跨租户越权测试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设备目录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设备归属、启停、分组绑定和跨租户访问校验通过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实时能力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WebSocket 鉴权、订阅、取消订阅、重连和服务端过滤可验证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核心页面具备加载、异常、空数据和权限隐藏状态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部署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测试环境可通过目标 Compose 或等价环境启动完整平台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质量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单元、集成、端到端、安全关键用例、密钥扫描和文档同步检查通过后才能发布</w:t>
            </w:r>
          </w:p>
        </w:tc>
      </w:tr>
    </w:tbl>
    <w:p/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