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详细设计说明书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后端分层</w:t>
      </w:r>
    </w:p>
    <w:p>
      <w:r>
        <w:rPr>
          <w:rFonts w:ascii="Microsoft YaHei" w:hAnsi="Microsoft YaHei" w:eastAsia="Microsoft YaHei"/>
          <w:b w:val="0"/>
          <w:sz w:val="21"/>
        </w:rPr>
        <w:t>目标 Backend 使用 Spring Boot 4 分层：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backend/src/main/java/com/vionix/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VionixApplication.java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common/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api/              # Result, PageResult, ErrorCode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config/           # Web, Redis, InfluxDB, MQTT, Secret 配置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security/         # SecurityContext, JWT, filters, annotations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tenant/           # TenantContext, MyBatis tenant interceptor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audit/            # AuditLog, operation tracing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auth/                 # 登录、刷新、登出、token 记录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rbac/                 # 用户、角色、权限、数据范围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metrics/              # Influx 查询、bucket 路由、字段映射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mqtt/                 # MQTT consumer, payload parser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websocket/            # STOMP 鉴权、订阅校验、消息分发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rule/                 # 规则 CRUD、编译、运行时评估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alert/                # 告警状态、查询、统计、推送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device/               # 设备目录、设备分组和设备权限边界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└── dashboard/            # 仪表盘元数据、变量选项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认证与授权设计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2.1 登录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前端通过 HTTPS 提交用户名、密码、验证码和设备摘要。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后端按租户上下文查找用户，校验密码 hash。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登录成功后签发短期 accessToken，并通过 HttpOnly Cookie 下发 refreshToken。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Redis 记录登录失败计数和必要的安全状态。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2.2 请求鉴权</w:t>
      </w:r>
    </w:p>
    <w:p>
      <w:r>
        <w:rPr>
          <w:rFonts w:ascii="Microsoft YaHei" w:hAnsi="Microsoft YaHei" w:eastAsia="Microsoft YaHei"/>
          <w:b w:val="0"/>
          <w:sz w:val="21"/>
        </w:rPr>
        <w:t>HTTP Filter 解析 accessToken，构造：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userId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当前用户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当前租户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roles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角色编码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permissions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API、菜单、数据权限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dataScope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SELF/GROUP/TENANT/ALL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Controller 使用注解声明权限，Service 层继续校验对象归属。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2.3 登出和刷新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refresh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校验 refreshToken hash、过期时间和设备信息后签发新 accessToken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logout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 refreshToken 记录，并把 accessToken jti 写入 Redis 黑名单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多实例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所有实例共享 Redis，保证登出和锁定状态一致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租户隔离设计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存储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隔离方式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业务表直接携带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，MyBatis 插件追加过滤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查询和写入均携带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tag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key 中包含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或明确全局命名空间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session 绑定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，订阅路径校验 tenant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topic 或设备注册表补齐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服务层仍需做对象级校验，不能只依赖 SQL 拦截器。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设备目录与权限设计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4.1 最小设备目录</w:t>
      </w:r>
    </w:p>
    <w:p>
      <w:r>
        <w:rPr>
          <w:rFonts w:ascii="Microsoft YaHei" w:hAnsi="Microsoft YaHei" w:eastAsia="Microsoft YaHei"/>
          <w:b w:val="0"/>
          <w:sz w:val="21"/>
        </w:rPr>
        <w:t xml:space="preserve">设备目录用于建立 </w:t>
      </w:r>
      <w:r>
        <w:rPr>
          <w:rFonts w:ascii="Consolas" w:hAnsi="Consolas" w:eastAsia="Microsoft YaHei"/>
          <w:color w:val="1F2937"/>
          <w:sz w:val="20"/>
        </w:rPr>
        <w:t>tenant_id + device_id</w:t>
      </w:r>
      <w:r>
        <w:rPr>
          <w:rFonts w:ascii="Microsoft YaHei" w:hAnsi="Microsoft YaHei" w:eastAsia="Microsoft YaHei"/>
          <w:b w:val="0"/>
          <w:sz w:val="21"/>
        </w:rPr>
        <w:t xml:space="preserve"> 的权威归属关系。它不是完整设备注册中心，但必须支撑监控、规则、告警、仪表盘变量和 WebSocket 订阅的权限校验。</w:t>
      </w:r>
    </w:p>
    <w:p>
      <w:r>
        <w:rPr>
          <w:rFonts w:ascii="Microsoft YaHei" w:hAnsi="Microsoft YaHei" w:eastAsia="Microsoft YaHei"/>
          <w:b w:val="0"/>
          <w:sz w:val="21"/>
        </w:rPr>
        <w:t>核心字段：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设备所属租户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租户内唯一设备标识，对应 MQTT topic 和 InfluxDB tag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默认数据来源，如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mqtt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modbus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http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ENABLED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DISABLED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ARCHIVED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metadata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位置、型号、扩展属性等 JSON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4.2 设备权限服务</w:t>
      </w:r>
    </w:p>
    <w:p>
      <w:r>
        <w:rPr>
          <w:rFonts w:ascii="Consolas" w:hAnsi="Consolas" w:eastAsia="Microsoft YaHei"/>
          <w:color w:val="1F2937"/>
          <w:sz w:val="20"/>
        </w:rPr>
        <w:t>DeviceAccessService</w:t>
      </w:r>
      <w:r>
        <w:rPr>
          <w:rFonts w:ascii="Microsoft YaHei" w:hAnsi="Microsoft YaHei" w:eastAsia="Microsoft YaHei"/>
          <w:b w:val="0"/>
          <w:sz w:val="21"/>
        </w:rPr>
        <w:t xml:space="preserve"> 提供统一能力：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assertVisible(tenantId, userId, deviceId)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历史查询、WS 订阅、规则目标校验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listVisibleDevices(tenantId, userId, filters)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监控页设备列表和仪表盘变量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assertGroupDevicesBelongToTenant(tenantId, groupId, deviceIds)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设备分组绑定校验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resolveDeviceTags(tenantId, deviceId)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补齐可选 tag，如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group_id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location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生产环境中，未登记或已禁用设备的指标写入应进入拒绝或隔离流程；单租户开发环境可临时自动登记，但自动登记设备默认不得跨租户可见。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指标服务设计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5.1 写入模型</w:t>
      </w:r>
    </w:p>
    <w:p>
      <w:r>
        <w:rPr>
          <w:rFonts w:ascii="Microsoft YaHei" w:hAnsi="Microsoft YaHei" w:eastAsia="Microsoft YaHei"/>
          <w:b w:val="0"/>
          <w:sz w:val="21"/>
        </w:rPr>
        <w:t>统一 MQTT topic：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vionix/{tenant_id}/{device_id}/metrics</w:t>
      </w:r>
    </w:p>
    <w:p>
      <w:r>
        <w:rPr>
          <w:rFonts w:ascii="Microsoft YaHei" w:hAnsi="Microsoft YaHei" w:eastAsia="Microsoft YaHei"/>
          <w:b w:val="0"/>
          <w:sz w:val="21"/>
        </w:rPr>
        <w:t>payload 示例：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"timestamp": "2026-05-26T10:01:00Z",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"source": "mqtt",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"temperature": 25.3,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"humidity": 60.5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解析后写入 InfluxDB：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measurement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device_metrics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tags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fields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数值指标字段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 xml:space="preserve">生产环境写入前需要校验设备存在且启用。若 Telegraf 直接写入 InfluxDB，后端仍需在查询、WebSocket 和规则侧基于设备目录做权限校验；完整实现推荐由后端写入网关或 Telegraf tag 规则保证 </w:t>
      </w:r>
      <w:r>
        <w:rPr>
          <w:rFonts w:ascii="Consolas" w:hAnsi="Consolas" w:eastAsia="Microsoft YaHei"/>
          <w:color w:val="1F2937"/>
          <w:sz w:val="20"/>
        </w:rPr>
        <w:t>tenant_id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Microsoft YaHei"/>
          <w:color w:val="1F2937"/>
          <w:sz w:val="20"/>
        </w:rPr>
        <w:t>device_id</w:t>
      </w:r>
      <w:r>
        <w:rPr>
          <w:rFonts w:ascii="Microsoft YaHei" w:hAnsi="Microsoft YaHei" w:eastAsia="Microsoft YaHei"/>
          <w:b w:val="0"/>
          <w:sz w:val="21"/>
        </w:rPr>
        <w:t xml:space="preserve"> 正确。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5.2 查询路由</w:t>
      </w:r>
    </w:p>
    <w:p>
      <w:r>
        <w:rPr>
          <w:rFonts w:ascii="Consolas" w:hAnsi="Consolas" w:eastAsia="Microsoft YaHei"/>
          <w:color w:val="1F2937"/>
          <w:sz w:val="20"/>
        </w:rPr>
        <w:t>MetricsQueryService</w:t>
      </w:r>
      <w:r>
        <w:rPr>
          <w:rFonts w:ascii="Microsoft YaHei" w:hAnsi="Microsoft YaHei" w:eastAsia="Microsoft YaHei"/>
          <w:b w:val="0"/>
          <w:sz w:val="21"/>
        </w:rPr>
        <w:t xml:space="preserve"> 根据时间跨度选择 bucket：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时间跨度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Bucket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&lt;= 2m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device_raw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&lt;= 2h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device_min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&lt;= 90d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device_hour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&gt; 90d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device_day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 xml:space="preserve">历史聚合字段由 </w:t>
      </w:r>
      <w:r>
        <w:rPr>
          <w:rFonts w:ascii="Consolas" w:hAnsi="Consolas" w:eastAsia="Microsoft YaHei"/>
          <w:color w:val="1F2937"/>
          <w:sz w:val="20"/>
        </w:rPr>
        <w:t>metric + "_" + agg</w:t>
      </w:r>
      <w:r>
        <w:rPr>
          <w:rFonts w:ascii="Microsoft YaHei" w:hAnsi="Microsoft YaHei" w:eastAsia="Microsoft YaHei"/>
          <w:b w:val="0"/>
          <w:sz w:val="21"/>
        </w:rPr>
        <w:t xml:space="preserve"> 生成。raw 层读取原始 field。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5.3 Flux 查询约束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必须包含 tenant_id tag 过滤。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如果传入 deviceId，必须先校验设备权限。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聚合层只能查询已定义的 mean/sum/max/min/*_count 字段。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用户传入字段需做白名单或合法字符校验，避免拼接风险。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WebSocket 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6.1 连接</w:t>
      </w:r>
    </w:p>
    <w:p>
      <w:r>
        <w:rPr>
          <w:rFonts w:ascii="Microsoft YaHei" w:hAnsi="Microsoft YaHei" w:eastAsia="Microsoft YaHei"/>
          <w:b w:val="0"/>
          <w:sz w:val="21"/>
        </w:rPr>
        <w:t>推荐 STOMP over WebSocket：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CONNECT /ws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Authorization: Bearer {accessToken}</w:t>
      </w:r>
    </w:p>
    <w:p>
      <w:r>
        <w:rPr>
          <w:rFonts w:ascii="Microsoft YaHei" w:hAnsi="Microsoft YaHei" w:eastAsia="Microsoft YaHei"/>
          <w:b w:val="0"/>
          <w:sz w:val="21"/>
        </w:rPr>
        <w:t>后端在 CONNECT 阶段校验 token，并把安全上下文绑定到 session。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6.2 订阅校验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Topic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校验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/topic/tenant/{tenantId}/metrics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tenantId 等于 session tenant，且有实时监控权限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/topic/tenant/{tenantId}/device/{deviceId}/metrics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tenantId 匹配，deviceId 在数据权限范围内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/topic/tenant/{tenantId}/alerts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tenantId 匹配，且有告警查看权限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/topic/tenant/{tenantId}/device/{deviceId}/alerts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tenantId 匹配，deviceId 授权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服务端只向匹配订阅发送数据，不允许广播全量后由前端过滤。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规则引擎设计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7.1 运行时组件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RuleLoader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启动加载启用规则，规则变更后刷新缓存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RuleCompiler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 DB 模型编译为运行时表达结构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RuleIndex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 + scope + target_id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建立规则索引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StateTracker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 + device_id + metric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维护窗口状态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RuleEngine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对实时消息或巡检结果执行规则匹配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AlertManager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维护告警触发、恢复、抑制和升级状态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ActionDispatcher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异步执行规则动作并记录日志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7.2 条件语义</w:t>
      </w:r>
    </w:p>
    <w:p>
      <w:r>
        <w:rPr>
          <w:rFonts w:ascii="Microsoft YaHei" w:hAnsi="Microsoft YaHei" w:eastAsia="Microsoft YaHei"/>
          <w:b w:val="0"/>
          <w:sz w:val="21"/>
        </w:rPr>
        <w:t>当前版本只支持：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(group_index = 0 的条件全部 AND)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OR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(group_index = 1 的条件全部 AND)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OR ...</w:t>
      </w:r>
    </w:p>
    <w:p>
      <w:r>
        <w:rPr>
          <w:rFonts w:ascii="Consolas" w:hAnsi="Consolas" w:eastAsia="Microsoft YaHei"/>
          <w:color w:val="1F2937"/>
          <w:sz w:val="20"/>
        </w:rPr>
        <w:t>rule_condition</w:t>
      </w:r>
      <w:r>
        <w:rPr>
          <w:rFonts w:ascii="Microsoft YaHei" w:hAnsi="Microsoft YaHei" w:eastAsia="Microsoft YaHei"/>
          <w:b w:val="0"/>
          <w:sz w:val="21"/>
        </w:rPr>
        <w:t xml:space="preserve"> 不使用 </w:t>
      </w:r>
      <w:r>
        <w:rPr>
          <w:rFonts w:ascii="Consolas" w:hAnsi="Consolas" w:eastAsia="Microsoft YaHei"/>
          <w:color w:val="1F2937"/>
          <w:sz w:val="20"/>
        </w:rPr>
        <w:t>logic_op</w:t>
      </w:r>
      <w:r>
        <w:rPr>
          <w:rFonts w:ascii="Microsoft YaHei" w:hAnsi="Microsoft YaHei" w:eastAsia="Microsoft YaHei"/>
          <w:b w:val="0"/>
          <w:sz w:val="21"/>
        </w:rPr>
        <w:t>。后续如需嵌套表达式，新增条件树 JSON 或 AST 字段。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7.3 告警状态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FIRING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正在触发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RESOLVED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已恢复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SUPPRESSED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抑制期内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ESCALATED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已升级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同一规则、同一租户、同一设备在抑制窗口内不应重复生成等价告警。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8. 低代码仪表盘设计</w:t>
      </w:r>
    </w:p>
    <w:p>
      <w:r>
        <w:rPr>
          <w:rFonts w:ascii="Microsoft YaHei" w:hAnsi="Microsoft YaHei" w:eastAsia="Microsoft YaHei"/>
          <w:b w:val="0"/>
          <w:sz w:val="21"/>
        </w:rPr>
        <w:t>仪表盘元数据存储在 MySQL，组件数据源复用已有监控接口：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数据类型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来源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历史指标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GET /api/metrics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实时指标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WebSocket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/ws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告警列表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GET /api/alerts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变量选项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/api/dashboard-vars/*</w:t>
            </w:r>
          </w:p>
        </w:tc>
      </w:tr>
    </w:tbl>
    <w:p/>
    <w:p>
      <w:r>
        <w:rPr>
          <w:rFonts w:ascii="Consolas" w:hAnsi="Consolas" w:eastAsia="Microsoft YaHei"/>
          <w:color w:val="1F2937"/>
          <w:sz w:val="20"/>
        </w:rPr>
        <w:t>layout_config</w:t>
      </w:r>
      <w:r>
        <w:rPr>
          <w:rFonts w:ascii="Microsoft YaHei" w:hAnsi="Microsoft YaHei" w:eastAsia="Microsoft YaHei"/>
          <w:b w:val="0"/>
          <w:sz w:val="21"/>
        </w:rPr>
        <w:t xml:space="preserve"> 中允许存储变量、组件、布局和组件私有配置，不允许存储 </w:t>
      </w:r>
      <w:r>
        <w:rPr>
          <w:rFonts w:ascii="Consolas" w:hAnsi="Consolas" w:eastAsia="Microsoft YaHei"/>
          <w:color w:val="1F2937"/>
          <w:sz w:val="20"/>
        </w:rPr>
        <w:t>tenant_id</w:t>
      </w:r>
      <w:r>
        <w:rPr>
          <w:rFonts w:ascii="Microsoft YaHei" w:hAnsi="Microsoft YaHei" w:eastAsia="Microsoft YaHei"/>
          <w:b w:val="0"/>
          <w:sz w:val="21"/>
        </w:rPr>
        <w:t xml:space="preserve"> 或服务端密钥。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9. 前端详细设计</w:t>
      </w:r>
    </w:p>
    <w:p>
      <w:r>
        <w:rPr>
          <w:rFonts w:ascii="Microsoft YaHei" w:hAnsi="Microsoft YaHei" w:eastAsia="Microsoft YaHei"/>
          <w:b w:val="0"/>
          <w:sz w:val="21"/>
        </w:rPr>
        <w:t>前端按业务域组织：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frontend/src/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api/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router/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stores/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views/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login/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monitor/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alerts/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rules/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dashboards/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rbac/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tenants/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components/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└── utils/</w:t>
      </w:r>
    </w:p>
    <w:p>
      <w:r>
        <w:rPr>
          <w:rFonts w:ascii="Microsoft YaHei" w:hAnsi="Microsoft YaHei" w:eastAsia="Microsoft YaHei"/>
          <w:b w:val="0"/>
          <w:sz w:val="21"/>
        </w:rPr>
        <w:t>前端职责：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管理 accessToken 内存态和 refresh 流程。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根据权限树渲染菜单和按钮。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WebSocket 进行连接、重连、订阅和取消订阅。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渲染历史图表和实时图表。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编辑和渲染仪表盘布局。</w:t>
      </w:r>
    </w:p>
    <w:p>
      <w:r>
        <w:rPr>
          <w:rFonts w:ascii="Microsoft YaHei" w:hAnsi="Microsoft YaHei" w:eastAsia="Microsoft YaHei"/>
          <w:b w:val="0"/>
          <w:sz w:val="21"/>
        </w:rPr>
        <w:t>安全职责仍以后端为准，前端权限隐藏不是安全边界。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10. 异常处理和日志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参数错误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400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和字段级错误信息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未认证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，前端尝试刷新 token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无权限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403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，不暴露目标资源是否存在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资源不存在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404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409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，如租户内名称重复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服务异常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500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，日志记录 traceId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 xml:space="preserve">所有入口日志应包含 </w:t>
      </w:r>
      <w:r>
        <w:rPr>
          <w:rFonts w:ascii="Consolas" w:hAnsi="Consolas" w:eastAsia="Microsoft YaHei"/>
          <w:color w:val="1F2937"/>
          <w:sz w:val="20"/>
        </w:rPr>
        <w:t>traceId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tenantId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userId</w:t>
      </w:r>
      <w:r>
        <w:rPr>
          <w:rFonts w:ascii="Microsoft YaHei" w:hAnsi="Microsoft YaHei" w:eastAsia="Microsoft YaHei"/>
          <w:b w:val="0"/>
          <w:sz w:val="21"/>
        </w:rPr>
        <w:t>、API、耗时和结果，不记录密码、token、密钥和敏感字段明文。</w:t>
      </w:r>
    </w:p>
    <w:p>
      <w:r>
        <w:rPr>
          <w:rFonts w:ascii="Microsoft YaHei" w:hAnsi="Microsoft YaHei" w:eastAsia="Microsoft YaHei"/>
          <w:b w:val="0"/>
          <w:sz w:val="21"/>
        </w:rPr>
        <w:t>必须写审计日志的事件：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事件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跨租户操作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超级管理员指定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X-Tenant-Id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或切换目标租户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权限变更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用户角色、角色权限、数据范围调整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设备状态变更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设备启用、禁用、归档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规则变更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规则创建、更新、启停、删除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仪表盘发布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公开、取消公开、删除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外部动作配置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HTTP、MQTT、IM 动作配置新增或修改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审计日志记录摘要和结果，不记录密码、token、私钥、动作配置中的敏感 secret 明文。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