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Vionix 数据与存储设计说明书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1. 存储划分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存储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数据类型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租户、用户、角色、权限、设备目录、规则、告警、仪表盘元数据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强一致业务元数据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设备时序指标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原始秒级数据和聚合数据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安全状态和缓存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token 黑名单、登录失败计数、权限缓存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Docker Volumes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本地/单机持久化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数据库和 broker 数据卷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2. MySQL 设计原则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所有租户业务表必须直接携带 tenant_id。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租户内唯一约束必须包含 tenant_id。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常用查询索引必须以 tenant_id 作为前缀。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设备业务主键使用租户内唯一的 deviceid，并通过 tenantid + device_id 参与规则、告警、InfluxDB 和 WebSocket 权限校验。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权限字典可全局共享，用户、角色和业务数据按租户隔离。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不启用数据库外键时，服务层必须实现级联清理或审计保留策略。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 核心表清单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3.1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表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核心字段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name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code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config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code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全局唯一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user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username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password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password_salt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uk_tenant_username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role_code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role_name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data_scope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uk_tenant_role_code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permission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perm_code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perm_type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parent_id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path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perm_code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全局唯一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user_role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role_id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uk_user_role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role_permission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role_id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permission_id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uk_role_perm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token_auth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token_hash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device_info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expires_at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idx_token_user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idx_token_expires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audit_log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resource_type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resource_id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trace_id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created_at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idx_audit_tenant_time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idx_audit_resource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审计日志最小 DDL：</w:t>
      </w:r>
    </w:p>
    <w:p>
      <w:r>
        <w:rPr>
          <w:rFonts w:ascii="Consolas" w:hAnsi="Consolas" w:eastAsia="Consolas"/>
          <w:color w:val="4B5563"/>
          <w:sz w:val="17"/>
        </w:rPr>
        <w:t>sql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CREATE TABLE audit_log (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id              BIGINT AUTO_INCREMENT PRIMARY KEY,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tenant_id       BIGINT NOT NULL DEFAULT 0,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user_id         BIGINT,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action          VARCHAR(100) NOT NULL,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resource_type   VARCHAR(64) NOT NULL,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resource_id     VARCHAR(128),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request_summary JSON,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result          ENUM('SUCCESS','FAILURE') NOT NULL,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ip_address      VARCHAR(45),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trace_id        VARCHAR(64),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created_at      DATETIME NOT NULL DEFAULT CURRENT_TIMESTAMP,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INDEX idx_audit_tenant_time (tenant_id, created_at),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INDEX idx_audit_resource (tenant_id, resource_type, resource_id)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);</w:t>
      </w:r>
    </w:p>
    <w:p>
      <w:r>
        <w:rPr>
          <w:rFonts w:ascii="Microsoft YaHei" w:hAnsi="Microsoft YaHei" w:eastAsia="Microsoft YaHei"/>
          <w:b w:val="0"/>
          <w:sz w:val="21"/>
        </w:rPr>
        <w:t>跨租户操作、权限变更、设备状态变更、规则变更、仪表盘发布和外部动作配置变更必须写入审计日志。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3.2 设备目录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表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核心字段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关键索引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name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source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metadata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created_by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uk_tenant_device_id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idx_tenant_status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最小 DDL：</w:t>
      </w:r>
    </w:p>
    <w:p>
      <w:r>
        <w:rPr>
          <w:rFonts w:ascii="Consolas" w:hAnsi="Consolas" w:eastAsia="Consolas"/>
          <w:color w:val="4B5563"/>
          <w:sz w:val="17"/>
        </w:rPr>
        <w:t>sql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CREATE TABLE device (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id              BIGINT AUTO_INCREMENT PRIMARY KEY,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tenant_id       BIGINT NOT NULL,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device_id       VARCHAR(128) NOT NULL,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name            VARCHAR(128) NOT NULL,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source          VARCHAR(32)  NOT NULL DEFAULT 'mqtt',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status          ENUM('ENABLED','DISABLED','ARCHIVED') NOT NULL DEFAULT 'ENABLED',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location        VARCHAR(128),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metadata        JSON,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created_by      BIGINT,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created_at      DATETIME NOT NULL DEFAULT CURRENT_TIMESTAMP,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updated_at      DATETIME NOT NULL DEFAULT CURRENT_TIMESTAMP ON UPDATE CURRENT_TIMESTAMP,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UNIQUE KEY uk_tenant_device_id (tenant_id, device_id),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INDEX idx_tenant_status (tenant_id, status),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INDEX idx_tenant_source (tenant_id, source)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);</w:t>
      </w:r>
    </w:p>
    <w:p>
      <w:r>
        <w:rPr>
          <w:rFonts w:ascii="Microsoft YaHei" w:hAnsi="Microsoft YaHei" w:eastAsia="Microsoft YaHei"/>
          <w:b w:val="0"/>
          <w:sz w:val="21"/>
        </w:rPr>
        <w:t>设备目录只定义平台需要的最小元数据。设备固件、影子、物模型、连接凭据和批量注册可在后续设备中心中扩展。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3.3 规则和告警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表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核心字段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关键索引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device_group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name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description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created_by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uk_tenant_group_name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device_group_member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group_id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uk_tenant_group_device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rule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name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scope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target_id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severity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enabled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idx_tenant_scope_target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rule_condition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rule_id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group_index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metric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operator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threshold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idx_rule_condition_rule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rule_action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rule_id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action_type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config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enabled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idx_rule_action_rule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alert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rule_id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severity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fired_at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idx_alert_tenant_status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idx_alert_rule_status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alert_action_log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alert_id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action_type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success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created_at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idx_action_log_alert</w:t>
            </w:r>
          </w:p>
        </w:tc>
      </w:tr>
    </w:tbl>
    <w:p/>
    <w:p>
      <w:r>
        <w:rPr>
          <w:rFonts w:ascii="Consolas" w:hAnsi="Consolas" w:eastAsia="Microsoft YaHei"/>
          <w:color w:val="1F2937"/>
          <w:sz w:val="20"/>
        </w:rPr>
        <w:t>device_group_member.device_id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rule.target_id</w:t>
      </w:r>
      <w:r>
        <w:rPr>
          <w:rFonts w:ascii="Microsoft YaHei" w:hAnsi="Microsoft YaHei" w:eastAsia="Microsoft YaHei"/>
          <w:b w:val="0"/>
          <w:sz w:val="21"/>
        </w:rPr>
        <w:t xml:space="preserve"> 在 </w:t>
      </w:r>
      <w:r>
        <w:rPr>
          <w:rFonts w:ascii="Consolas" w:hAnsi="Consolas" w:eastAsia="Microsoft YaHei"/>
          <w:color w:val="1F2937"/>
          <w:sz w:val="20"/>
        </w:rPr>
        <w:t>scope=DEVICE</w:t>
      </w:r>
      <w:r>
        <w:rPr>
          <w:rFonts w:ascii="Microsoft YaHei" w:hAnsi="Microsoft YaHei" w:eastAsia="Microsoft YaHei"/>
          <w:b w:val="0"/>
          <w:sz w:val="21"/>
        </w:rPr>
        <w:t xml:space="preserve"> 时、</w:t>
      </w:r>
      <w:r>
        <w:rPr>
          <w:rFonts w:ascii="Consolas" w:hAnsi="Consolas" w:eastAsia="Microsoft YaHei"/>
          <w:color w:val="1F2937"/>
          <w:sz w:val="20"/>
        </w:rPr>
        <w:t>alert.device_id</w:t>
      </w:r>
      <w:r>
        <w:rPr>
          <w:rFonts w:ascii="Microsoft YaHei" w:hAnsi="Microsoft YaHei" w:eastAsia="Microsoft YaHei"/>
          <w:b w:val="0"/>
          <w:sz w:val="21"/>
        </w:rPr>
        <w:t xml:space="preserve"> 都必须引用当前租户内已登记设备。是否启用数据库外键由实现阶段决定，但服务层必须执行同等校验。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3.4 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表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核心字段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关键索引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title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description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is_public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layout_config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created_by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idx_tenant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idx_created_by</w:t>
            </w:r>
          </w:p>
        </w:tc>
      </w:tr>
    </w:tbl>
    <w:p/>
    <w:p>
      <w:r>
        <w:rPr>
          <w:rFonts w:ascii="Consolas" w:hAnsi="Consolas" w:eastAsia="Microsoft YaHei"/>
          <w:color w:val="1F2937"/>
          <w:sz w:val="20"/>
        </w:rPr>
        <w:t>layout_config</w:t>
      </w:r>
      <w:r>
        <w:rPr>
          <w:rFonts w:ascii="Microsoft YaHei" w:hAnsi="Microsoft YaHei" w:eastAsia="Microsoft YaHei"/>
          <w:b w:val="0"/>
          <w:sz w:val="21"/>
        </w:rPr>
        <w:t xml:space="preserve"> 使用 JSON 保存变量、组件、布局和组件配置。租户和权限信息不得保存在 JSON 中。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4. InfluxDB 设计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4.1 Bucket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Bucket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粒度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保留时长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device_raw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秒级原始值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 分钟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实时大屏、规则最近窗口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分钟聚合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 小时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短时趋势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device_hour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小时聚合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 天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日报、周报、月报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device_day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天聚合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永久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年报、长期分析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4.2 Measurement、Tag、Field</w:t>
      </w:r>
    </w:p>
    <w:p>
      <w:r>
        <w:rPr>
          <w:rFonts w:ascii="Microsoft YaHei" w:hAnsi="Microsoft YaHei" w:eastAsia="Microsoft YaHei"/>
          <w:b w:val="0"/>
          <w:sz w:val="21"/>
        </w:rPr>
        <w:t>统一 measurement：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device_metrics</w:t>
      </w:r>
    </w:p>
    <w:p>
      <w:r>
        <w:rPr>
          <w:rFonts w:ascii="Microsoft YaHei" w:hAnsi="Microsoft YaHei" w:eastAsia="Microsoft YaHei"/>
          <w:b w:val="0"/>
          <w:sz w:val="21"/>
        </w:rPr>
        <w:t>必选 tag：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Tag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租户边界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设备标识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source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数据来源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可选 tag：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Tag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group_id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查询加速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location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低基数位置维度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 xml:space="preserve">field 为数值指标，如 </w:t>
      </w:r>
      <w:r>
        <w:rPr>
          <w:rFonts w:ascii="Consolas" w:hAnsi="Consolas" w:eastAsia="Microsoft YaHei"/>
          <w:color w:val="1F2937"/>
          <w:sz w:val="20"/>
        </w:rPr>
        <w:t>temperature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humidity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voltage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4.3 聚合字段</w:t>
      </w:r>
    </w:p>
    <w:p>
      <w:r>
        <w:rPr>
          <w:rFonts w:ascii="Microsoft YaHei" w:hAnsi="Microsoft YaHei" w:eastAsia="Microsoft YaHei"/>
          <w:b w:val="0"/>
          <w:sz w:val="21"/>
        </w:rPr>
        <w:t>raw 层字段不带后缀。聚合层使用同一套字段：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temperature_mean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temperature_sum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temperature_max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temperature_min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temperature_count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分钟、小时、天层都使用相同字段名，不允许生成 </w:t>
      </w:r>
      <w:r>
        <w:rPr>
          <w:rFonts w:ascii="Consolas" w:hAnsi="Consolas" w:eastAsia="Microsoft YaHei"/>
          <w:color w:val="1F2937"/>
          <w:sz w:val="20"/>
        </w:rPr>
        <w:t>temperature_mean_mean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4.4 降采样规则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链路</w:t>
            </w:r>
          </w:p>
        </w:tc>
        <w:tc>
          <w:tcPr>
            <w:tcW w:type="dxa" w:w="170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mean</w:t>
            </w:r>
          </w:p>
        </w:tc>
        <w:tc>
          <w:tcPr>
            <w:tcW w:type="dxa" w:w="170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sum</w:t>
            </w:r>
          </w:p>
        </w:tc>
        <w:tc>
          <w:tcPr>
            <w:tcW w:type="dxa" w:w="170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max</w:t>
            </w:r>
          </w:p>
        </w:tc>
        <w:tc>
          <w:tcPr>
            <w:tcW w:type="dxa" w:w="170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min</w:t>
            </w:r>
          </w:p>
        </w:tc>
        <w:tc>
          <w:tcPr>
            <w:tcW w:type="dxa" w:w="170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count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raw -&gt; min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mean(raw)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sum(raw)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max(raw)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min(raw)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count(raw)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 -&gt; hour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sum(*_sum)/sum(*_count)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sum(*_sum)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max(*_max)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min(*_min)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sum(*_count)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hour -&gt; day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sum(*_sum)/sum(*_count)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sum(*_sum)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max(*_max)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min(*_min)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sum(*_count)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 xml:space="preserve">均值必须按 count 加权，不能对上一层 </w:t>
      </w:r>
      <w:r>
        <w:rPr>
          <w:rFonts w:ascii="Consolas" w:hAnsi="Consolas" w:eastAsia="Microsoft YaHei"/>
          <w:color w:val="1F2937"/>
          <w:sz w:val="20"/>
        </w:rPr>
        <w:t>*_mean</w:t>
      </w:r>
      <w:r>
        <w:rPr>
          <w:rFonts w:ascii="Microsoft YaHei" w:hAnsi="Microsoft YaHei" w:eastAsia="Microsoft YaHei"/>
          <w:b w:val="0"/>
          <w:sz w:val="21"/>
        </w:rPr>
        <w:t xml:space="preserve"> 做普通平均。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5. Redis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TTL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auth:blacklist:{jti}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accessToken 剩余有效期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登出后的 accessToken 黑名单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auth:fail:{tenantId}:{username}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counter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策略配置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登录失败计数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auth:perms:{tenantId}:{userId}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string/hash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短 TTL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权限缓存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auth:csrf:{nonce}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短 TTL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CSRF/nonce 防重放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rule:cache:version:{tenantId}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无或长 TTL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规则缓存版本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device:visible:{tenantId}:{userId}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string/hash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短 TTL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用户可见设备缓存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生产和多实例环境必须启用 Redis。单实例开发环境可降级使用本地缓存，但不能承诺登出立即全局失效。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6.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数据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生命周期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device_raw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自动保留 2 分钟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device_min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自动保留 2 小时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device_hour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自动保留 90 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device_day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长期保留，需要备份策略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设备目录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设备归档前保留，归档后仍保留历史告警和时序 tag 可追溯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告警记录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默认保留，按产品审计策略归档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动作日志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默认保留，不随告警删除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审计日志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默认保留，按合规策略归档，不随业务资源删除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token 记录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到期清理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7. 迁移要求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MySQL 表结构变更必须通过版本化迁移脚本交付。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新增业务表必须包含 tenant_id、创建时间、更新时间和必要索引。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修改 InfluxDB 字段或 tag 前必须评估历史数据兼容性。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Redis key 变更必须说明兼容和清理策略。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任何数据模型变更都需要同步更新接口文档和测试用例。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