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Vionix 部署运维说明书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1. 部署阶段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组件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状态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当前最小基础设施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Mosquitto、Telegraf、InfluxDB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当前仓库可启动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目标完整环境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当前组件 + MySQL、Redis、Backend、Frontend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待应用目录补齐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生产环境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完整环境 + HTTPS/WSS + Secret + 备份 + 监控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发布前建设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2. 当前最小环境</w:t>
      </w:r>
    </w:p>
    <w:p>
      <w:r>
        <w:rPr>
          <w:rFonts w:ascii="Microsoft YaHei" w:hAnsi="Microsoft YaHei" w:eastAsia="Microsoft YaHei"/>
          <w:b w:val="0"/>
          <w:sz w:val="21"/>
        </w:rPr>
        <w:t>启动：</w:t>
      </w:r>
    </w:p>
    <w:p>
      <w:r>
        <w:rPr>
          <w:rFonts w:ascii="Consolas" w:hAnsi="Consolas" w:eastAsia="Consolas"/>
          <w:color w:val="4B5563"/>
          <w:sz w:val="17"/>
        </w:rPr>
        <w:t>bash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docker compose up -d</w:t>
      </w:r>
    </w:p>
    <w:p>
      <w:r>
        <w:rPr>
          <w:rFonts w:ascii="Microsoft YaHei" w:hAnsi="Microsoft YaHei" w:eastAsia="Microsoft YaHei"/>
          <w:b w:val="0"/>
          <w:sz w:val="21"/>
        </w:rPr>
        <w:t>验证：</w:t>
      </w:r>
    </w:p>
    <w:p>
      <w:r>
        <w:rPr>
          <w:rFonts w:ascii="Consolas" w:hAnsi="Consolas" w:eastAsia="Consolas"/>
          <w:color w:val="4B5563"/>
          <w:sz w:val="17"/>
        </w:rPr>
        <w:t>bash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docker compose ps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docker compose logs -f telegraf</w:t>
      </w:r>
    </w:p>
    <w:p>
      <w:r>
        <w:rPr>
          <w:rFonts w:ascii="Microsoft YaHei" w:hAnsi="Microsoft YaHei" w:eastAsia="Microsoft YaHei"/>
          <w:b w:val="0"/>
          <w:sz w:val="21"/>
        </w:rPr>
        <w:t>可访问：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服务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地址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MQTT Broker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localhost:1883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InfluxDB UI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http://localhost:8086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当前不可访问：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能力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原因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Backend API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尚未交付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backend/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Frontend 页面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尚未交付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frontend/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尚未交付后端 WS 服务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MySQL/Redis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 Compose 未编排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3. 目标完整环境组件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服务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端口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职责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Mosquitto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1883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MQTT Broker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Telegraf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MQTT JSON 到 InfluxDB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InfluxDB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8086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时序数据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MySQL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3306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业务元数据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6379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安全状态和缓存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8080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API、WS、规则引擎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80/443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Vue 静态资源和反向代理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4. 环境变量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变量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必填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MYSQL_ROOT_PASSWORD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MySQL root 密码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MYSQL_PASSWORD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应用数据库密码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AUTH_JWT_SECRET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JWT 签名密钥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AUTH_TOKEN_HASH_SALT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refreshToken hash 部署级盐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INFLUXDB_TOKEN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InfluxDB token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INFLUXDB_ORG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InfluxDB org，默认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vionix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INFLUXDB_BUCKET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 raw bucket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SPRING_DATA_REDIS_HOST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 host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MQTT_BROKER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MQTT broker 地址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 xml:space="preserve">敏感变量必须来自环境变量、Docker Secret、KMS 或平台 Secret，不得写死在普通 </w:t>
      </w:r>
      <w:r>
        <w:rPr>
          <w:rFonts w:ascii="Consolas" w:hAnsi="Consolas" w:eastAsia="Microsoft YaHei"/>
          <w:color w:val="1F2937"/>
          <w:sz w:val="20"/>
        </w:rPr>
        <w:t>application.yml</w:t>
      </w:r>
      <w:r>
        <w:rPr>
          <w:rFonts w:ascii="Microsoft YaHei" w:hAnsi="Microsoft YaHei" w:eastAsia="Microsoft YaHei"/>
          <w:b w:val="0"/>
          <w:sz w:val="21"/>
        </w:rPr>
        <w:t>、Compose 或镜像中。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5. 初始化顺序</w:t>
      </w:r>
    </w:p>
    <w:p>
      <w:r>
        <w:rPr>
          <w:rFonts w:ascii="Consolas" w:hAnsi="Consolas" w:eastAsia="Consolas"/>
          <w:color w:val="4B5563"/>
          <w:sz w:val="17"/>
        </w:rPr>
        <w:t>mermaid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flowchart LR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influx["InfluxDB"] --&gt; influxInit["bucket and task init"]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mysql["MySQL"] --&gt; mysqlInit["schema migration"]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redis["Redis"] --&gt; backend["Backend"]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mosquitto["Mosquitto"] --&gt; telegraf["Telegraf"]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influxInit --&gt; backend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mysqlInit --&gt; backend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mosquitto --&gt; backend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backend --&gt; frontend["Frontend"]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6. 健康检查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服务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检查方式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GET /actuator/health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Nginx 静态资源和反向代理状态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InfluxDB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/health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MySQL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mysqladmin ping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redis-cli ping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Mosquitto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端口连通和测试 topic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Telegraf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容器日志和 InfluxDB 写入验证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7. 日志要求</w:t>
      </w:r>
    </w:p>
    <w:p>
      <w:r>
        <w:rPr>
          <w:rFonts w:ascii="Microsoft YaHei" w:hAnsi="Microsoft YaHei" w:eastAsia="Microsoft YaHei"/>
          <w:b w:val="0"/>
          <w:sz w:val="21"/>
        </w:rPr>
        <w:t>Backend 日志字段：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traceId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请求链路标识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tenantId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当前租户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userId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当前用户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method/path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请求信息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durationMs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耗时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响应状态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不得记录密码、token、JWT、私钥、数据库密码和动作配置中的敏感 token。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8. 备份与恢复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数据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备份策略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MySQL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定期全量 + binlog 或增量备份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InfluxDB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bucket 备份，重点保护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device_hour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和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device_day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Redis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可选持久化，安全状态可接受短期丢失时需评估影响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配置和 Secret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使用平台 Secret 版本管理，不放入仓库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恢复演练需至少覆盖 MySQL schema、核心业务数据、InfluxDB 历史 bucket 和应用配置。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9. 可观测性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要求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日志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Backend 输出结构化日志，包含 traceId、tenantId、userId、接口、耗时和结果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指标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暴露 API 延迟、错误率、MQTT 消费量、规则评估耗时、WS 连接数、推送失败数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健康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区分存活检查和就绪检查，依赖 MySQL、Redis、InfluxDB、Mosquitto 的状态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生产环境至少覆盖服务不可用、错误率升高、消息积压、磁盘空间和数据库连接异常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追踪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外部入口生成 traceId，异步规则和动作日志传递同一 traceId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10. CI/CD 基线</w:t>
      </w:r>
    </w:p>
    <w:p>
      <w:r>
        <w:rPr>
          <w:rFonts w:ascii="Microsoft YaHei" w:hAnsi="Microsoft YaHei" w:eastAsia="Microsoft YaHei"/>
          <w:b w:val="0"/>
          <w:sz w:val="21"/>
        </w:rPr>
        <w:t>主干合并前至少执行：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后端编译和单元测试。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前端安装、类型/语法检查、构建。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Markdown 链接和格式检查。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数据库迁移脚本校验。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密钥扫描，阻止 token、密码、私钥进入仓库。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与本次变更相关的集成测试。</w:t>
      </w:r>
    </w:p>
    <w:p>
      <w:r>
        <w:rPr>
          <w:rFonts w:ascii="Microsoft YaHei" w:hAnsi="Microsoft YaHei" w:eastAsia="Microsoft YaHei"/>
          <w:b w:val="0"/>
          <w:sz w:val="21"/>
        </w:rPr>
        <w:t>发布流水线至少记录镜像 tag、提交 SHA、迁移版本、配置版本和发布人。生产发布失败时必须能回滚到上一镜像版本；数据库迁移若不可逆，必须提供补偿脚本或明确停机窗口。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11. 发布流程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合并前通过单元、集成、安全关键测试。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构建 Backend 和 Frontend 镜像。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测试环境执行数据库迁移和冒烟测试。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生产执行备份。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滚动或短暂停机发布。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发布后检查健康、日志、告警、关键接口和 WebSocket。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如失败，按镜像版本和数据库迁移策略回滚。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12. 生产要求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使用 HTTPS/WSS。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Redis 必须启用。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数据卷必须持久化并纳入备份。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不使用默认密码和弱密钥。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InfluxDB token 最小权限化。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管理端限制跨域来源。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告警动作外发 URL 需要白名单或审批。</w:t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