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Vionix 开发规范与协作流程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1. 仓库结构规范</w:t>
      </w:r>
    </w:p>
    <w:p>
      <w:r>
        <w:rPr>
          <w:rFonts w:ascii="Microsoft YaHei" w:hAnsi="Microsoft YaHei" w:eastAsia="Microsoft YaHei"/>
          <w:b w:val="0"/>
          <w:sz w:val="21"/>
        </w:rPr>
        <w:t>目标完整结构：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vionix/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backend/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frontend/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database/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└── migrations/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deploy/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└── local/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    ├── influxdb/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    ├── mosquitto/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    └── telegraf/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docs/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design/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development/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prd/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└── review/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scripts/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└── tests/</w:t>
      </w:r>
    </w:p>
    <w:p>
      <w:r>
        <w:rPr>
          <w:rFonts w:ascii="Microsoft YaHei" w:hAnsi="Microsoft YaHei" w:eastAsia="Microsoft YaHei"/>
          <w:b w:val="0"/>
          <w:sz w:val="21"/>
        </w:rPr>
        <w:t>当前已预留开发目录，但占位目录不代表功能已交付；不应在文档中声明当前已经具备完整一键启动能力。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2. 分支和提交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规范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功能分支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feature/&lt;scope&gt;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修复分支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fix/&lt;scope&gt;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文档分支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docs/&lt;scope&gt;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提交信息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&lt;type&gt;(&lt;scope&gt;): &lt;summary&gt;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提交类型建议：</w:t>
      </w:r>
      <w:r>
        <w:rPr>
          <w:rFonts w:ascii="Consolas" w:hAnsi="Consolas" w:eastAsia="Microsoft YaHei"/>
          <w:color w:val="1F2937"/>
          <w:sz w:val="20"/>
        </w:rPr>
        <w:t>feat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color w:val="1F2937"/>
          <w:sz w:val="20"/>
        </w:rPr>
        <w:t>fix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color w:val="1F2937"/>
          <w:sz w:val="20"/>
        </w:rPr>
        <w:t>docs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color w:val="1F2937"/>
          <w:sz w:val="20"/>
        </w:rPr>
        <w:t>test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color w:val="1F2937"/>
          <w:sz w:val="20"/>
        </w:rPr>
        <w:t>refactor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color w:val="1F2937"/>
          <w:sz w:val="20"/>
        </w:rPr>
        <w:t>chore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color w:val="1F2937"/>
          <w:sz w:val="20"/>
        </w:rPr>
        <w:t>build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3. 后端编码规范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Controller 只处理参数、权限注解和响应转换，不承载业务规则。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Service 层必须做对象归属和租户边界校验。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Mapper 查询默认受租户插件保护，跨租户查询必须显式标注和审计。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DTO、Entity、VO 分离，避免直接暴露数据库实体。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外部输入字段必须校验长度、枚举、范围和格式。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规则引擎运行时结构与数据库结构分离，规则变更后刷新租户级缓存。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InfluxDB 查询禁止直接拼接未校验字段名。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4. 前端编码规范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API 调用集中在 src/api/。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权限判断集中在路由守卫、权限指令和 store。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WebSocket 订阅必须在页面卸载或变量切换时取消。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图表组件必须释放 ECharts 实例。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仪表盘组件通过注册表声明 type、配置 schema 和渲染组件。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不使用 v-html 渲染未净化内容。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token 不写入日志和 URL。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5. API 变更流程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更新 05-接口协议说明书 (05-接口协议说明书.md)。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更新 DTO 和后端接口。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更新前端 API client。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更新集成测试和 E2E 用例。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如果变更破坏兼容性，需要说明迁移方案。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6. 数据库变更流程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新增或修改 MySQL 表必须提交迁移脚本。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新增租户业务表必须包含 tenant_id 和租户前缀索引。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修改 InfluxDB tag/field 必须同步修改查询、降采样和测试。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Redis key 新增应说明 TTL、命名空间和清理策略。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数据库脚本必须可重复验证，不依赖手工步骤。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7. 安全检查清单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检查项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租户隔离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API、SQL、InfluxDB、WS、Redis key 均有隔离策略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密钥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不写入仓库、镜像、普通配置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token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refreshToken HttpOnly，accessToken 可撤销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密码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BCrypt/hash，不记录明文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连接和订阅都鉴权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CORS/CSRF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生产限制来源，Cookie 场景启用 CSRF 防护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跨租户、权限、规则和动作配置变更可追踪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8. 代码评审重点</w:t>
      </w:r>
    </w:p>
    <w:p>
      <w:r>
        <w:rPr>
          <w:rFonts w:ascii="Microsoft YaHei" w:hAnsi="Microsoft YaHei" w:eastAsia="Microsoft YaHei"/>
          <w:b w:val="0"/>
          <w:sz w:val="21"/>
        </w:rPr>
        <w:t>评审必须优先检查：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是否引入跨租户访问风险。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是否绕过权限校验。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是否破坏 InfluxDB 字段和降采样口径。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WebSocket 是否可能向未授权订阅者推送数据。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Redis 缓存是否有租户维度和合理 TTL。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敏感信息是否可能进入日志或配置。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测试是否覆盖核心失败路径。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9. CI 门禁</w:t>
      </w:r>
    </w:p>
    <w:p>
      <w:r>
        <w:rPr>
          <w:rFonts w:ascii="Microsoft YaHei" w:hAnsi="Microsoft YaHei" w:eastAsia="Microsoft YaHei"/>
          <w:b w:val="0"/>
          <w:sz w:val="21"/>
        </w:rPr>
        <w:t>主干合并必须满足：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后端编译、单元测试和相关集成测试通过。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前端依赖安装、语法/类型检查和生产构建通过。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Markdown 文档链接、格式和关键约束检查通过。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数据库迁移脚本能在空库和已有版本上验证。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密钥扫描未发现密码、token、私钥和生产凭据。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变更涉及接口、数据模型、权限或部署时，对应文档同步更新。</w:t>
      </w:r>
    </w:p>
    <w:p>
      <w:r>
        <w:rPr>
          <w:rFonts w:ascii="Microsoft YaHei" w:hAnsi="Microsoft YaHei" w:eastAsia="Microsoft YaHei"/>
          <w:b w:val="0"/>
          <w:sz w:val="21"/>
        </w:rPr>
        <w:t>任何绕过 CI 的合并都需要记录原因、影响范围和补测结果。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10. 发布前检查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docker compose 或目标部署环境启动成功。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数据库迁移成功。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健康检查全部通过。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冒烟测试通过。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无明文密钥和测试账号残留。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备份完成并确认回滚方案。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发布版本、镜像 tag、迁移版本和配置版本已记录。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11. 文档同步规则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变更类型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必须同步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新功能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需求、接口、测试、实施计划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数据模型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数据文档、迁移脚本、接口文档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权限变化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RBAC 文档、接口文档、前端路由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部署变化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部署运维文档、环境变量清单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协议变化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接口协议、前端开发、测试用例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文档不是附属物，作为实现和验收依据进入评审。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