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Vionix 开发文档总览</w:t>
      </w:r>
    </w:p>
    <w:p>
      <w:r>
        <w:rPr>
          <w:rFonts w:ascii="Microsoft YaHei" w:hAnsi="Microsoft YaHei" w:eastAsia="Microsoft YaHei"/>
          <w:b w:val="0"/>
          <w:sz w:val="21"/>
        </w:rPr>
        <w:t xml:space="preserve">本文档集基于 </w:t>
      </w:r>
      <w:r>
        <w:rPr>
          <w:rFonts w:ascii="Consolas" w:hAnsi="Consolas" w:eastAsia="Microsoft YaHei"/>
          <w:color w:val="1F2937"/>
          <w:sz w:val="20"/>
        </w:rPr>
        <w:t>docs/design/</w:t>
      </w:r>
      <w:r>
        <w:rPr>
          <w:rFonts w:ascii="Microsoft YaHei" w:hAnsi="Microsoft YaHei" w:eastAsia="Microsoft YaHei"/>
          <w:b w:val="0"/>
          <w:sz w:val="21"/>
        </w:rPr>
        <w:t xml:space="preserve"> 下的设计方案和 </w:t>
      </w:r>
      <w:r>
        <w:rPr>
          <w:rFonts w:ascii="Consolas" w:hAnsi="Consolas" w:eastAsia="Microsoft YaHei"/>
          <w:color w:val="1F2937"/>
          <w:sz w:val="20"/>
        </w:rPr>
        <w:t>docs/review/项目设计方案审查报告.md</w:t>
      </w:r>
      <w:r>
        <w:rPr>
          <w:rFonts w:ascii="Microsoft YaHei" w:hAnsi="Microsoft YaHei" w:eastAsia="Microsoft YaHei"/>
          <w:b w:val="0"/>
          <w:sz w:val="21"/>
        </w:rPr>
        <w:t xml:space="preserve"> 整理，用作 Vionix 后续研发、测试、部署和验收的统一工程基线。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适用范围</w:t>
      </w:r>
    </w:p>
    <w:p>
      <w:r>
        <w:rPr>
          <w:rFonts w:ascii="Microsoft YaHei" w:hAnsi="Microsoft YaHei" w:eastAsia="Microsoft YaHei"/>
          <w:b w:val="0"/>
          <w:sz w:val="21"/>
        </w:rPr>
        <w:t>当前仓库已具备 Mosquitto、Telegraf、InfluxDB 的最小基础设施；Backend、Frontend、MySQL、Redis、RBAC、规则引擎、WebSocket 和低代码仪表盘仍属于目标完整平台的待开发内容。</w:t>
      </w:r>
    </w:p>
    <w:p>
      <w:r>
        <w:rPr>
          <w:rFonts w:ascii="Microsoft YaHei" w:hAnsi="Microsoft YaHei" w:eastAsia="Microsoft YaHei"/>
          <w:b w:val="0"/>
          <w:sz w:val="21"/>
        </w:rPr>
        <w:t>本文档集描述目标完整平台的开发要求，同时明确当前阶段可运行边界，避免把未交付应用能力误认为当前仓库已经具备。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文档结构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文档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用途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01-需求规格说明书 (01-需求规格说明书.md)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定义业务目标、功能需求、非功能需求、验收条件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02-总体设计说明书 (02-总体设计说明书.md)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定义目标架构、模块边界、核心数据流、技术选型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03-详细设计说明书 (03-详细设计说明书.md)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定义后端、规则引擎、前端、仪表盘和安全实现方案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04-数据与存储设计说明书 (04-数据与存储设计说明书.md)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定义 MySQL、InfluxDB、Redis 的数据模型和生命周期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05-接口协议说明书 (05-接口协议说明书.md)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定义 HTTP API、WebSocket、MQTT 和统一错误格式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06-前端开发说明书 (06-前端开发说明书.md)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定义前端路由、状态、组件、权限和实时订阅实现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07-部署运维说明书 (07-部署运维说明书.md)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定义本地、测试、生产部署和运维要求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08-测试与验收方案 (08-测试与验收方案.md)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定义测试分层、关键用例、验收标准和质量门禁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09-实施计划与质量管理 (09-实施计划与质量管理.md)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定义研发里程碑、依赖顺序、交付物和风险控制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10-开发规范与协作流程 (10-开发规范与协作流程.md)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定义编码、分支、评审、迁移、安全和发布协作规范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开发文档审查报告 (开发文档审查报告.md)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记录开发文档审查发现、处理结果和验证证据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上游设计文档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来源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Vionix项目总览 (../design/Vionix项目总览.md)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项目范围、当前阶段边界、统一设计约束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系统架构设计方案 (../design/系统架构设计方案.md)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当前/目标架构、核心数据流、技术栈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基础设施与部署方案 (../design/基础设施与部署方案.md)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Compose 边界、设备上报模型、部署组件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InfluxDB存储设计方案 (../design/InfluxDB存储设计方案.md)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bucket、tag/field、降采样和查询路由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RBAC设计方案 (../design/RBAC设计方案.md)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多租户、认证、权限、用户和角色模型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规则引擎设计方案 (../design/规则引擎设计方案.md)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规则、告警、分组、动作和 WebSocket 告警推送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Web监控前端方案 (../design/Web监控前端方案.md)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实时监控、历史查询和 WebSocket 协议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低代码仪表盘设计方案 (../design/低代码仪表盘设计方案.md)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仪表盘元数据、组件体系和变量绑定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项目设计方案审查报告 (../review/项目设计方案审查报告.md)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已识别设计风险和整改优先级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统一工程约束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编号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约束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C-01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所有租户业务数据必须以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tenant_id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作为服务端隔离边界，普通用户不能通过请求参数切换租户。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C-02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设备标识在 MQTT、InfluxDB、WebSocket、规则引擎中统一使用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tenant_id + device_id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C-03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InfluxDB 聚合层字段统一为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*_mean/*_sum/*_max/*_min/*_count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，不得出现二次后缀。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C-04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WebSocket 必须在服务端完成 token、租户、设备和数据权限校验。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C-05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Redis 是生产和多实例环境必需组件，用于 token 黑名单、登录失败计数和权限缓存。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C-06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数据库密码、JWT 密钥、token hash 盐和私钥不得写入普通配置文件或 Compose 明文。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C-07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当前仓库 Compose 只承诺基础设施可运行，完整平台需补齐 Backend、Frontend、MySQL、Redis 后再纳入一键编排。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C-08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生产环境中的规则目标、WS 订阅、仪表盘变量和历史查询必须引用当前租户设备目录中的启用设备。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C-09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主干合并和发布必须通过测试、文档同步检查和密钥扫描。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维护规则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设计文档变更后，应同步检查本目录中需求、接口、数据和测试文档是否需要更新。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接口新增或变更必须先更新 05-接口协议说明书 (05-接口协议说明书.md)，再进入开发。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数据表或 InfluxDB 字段变更必须同步更新 04-数据与存储设计说明书 (04-数据与存储设计说明书.md) 和迁移脚本。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每个功能开发任务必须能追溯到需求编号和验收用例。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任何绕过 tenant_id、权限校验、服务端 WebSocket 过滤或密钥管理要求的实现，都不能进入主干。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任何改变设备目录、设备状态或数据权限语义的实现，都必须同步更新接口、前端和测试文档。</w:t>
      </w:r>
    </w:p>
    <w:sectPr w:rsidR="00FC693F" w:rsidRPr="0006063C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b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b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