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color w:val="00ff00"/>
          <w:sz w:val="46"/>
          <w:szCs w:val="46"/>
        </w:rPr>
      </w:pPr>
      <w:bookmarkStart w:colFirst="0" w:colLast="0" w:name="_rzq5766xhkz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46"/>
          <w:szCs w:val="46"/>
          <w:rtl w:val="0"/>
        </w:rPr>
        <w:t xml:space="preserve">Pokemon Card Game Simulation Analysis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This application simulates two key aspects of a Pokemon Trading Card Game to optimize deck building: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00ff00"/>
          <w:sz w:val="34"/>
          <w:szCs w:val="34"/>
        </w:rPr>
      </w:pPr>
      <w:bookmarkStart w:colFirst="0" w:colLast="0" w:name="_coe9zsmgoht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4"/>
          <w:szCs w:val="34"/>
          <w:rtl w:val="0"/>
        </w:rPr>
        <w:t xml:space="preserve">Optimal Pokemon Count Analysis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The CardGame class analyzes how many Pokemon cards should be included in a 60-card deck to maximize the probability of drawing at least one Pokemon in your opening hand. This is crucial because not having a Pokemon in your opening hand results in a mulligan.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The simulation: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Tests Pokemon counts from 1 to 60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Runs 10,000 simulations for each count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Calculates the probability of drawing at least one Pokemon in a 7-card opening hand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Provides clear visual feedback with color-coded console output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00ff00"/>
          <w:sz w:val="34"/>
          <w:szCs w:val="34"/>
        </w:rPr>
      </w:pPr>
      <w:bookmarkStart w:colFirst="0" w:colLast="0" w:name="_y12zjlhoniv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4"/>
          <w:szCs w:val="34"/>
          <w:rtl w:val="0"/>
        </w:rPr>
        <w:t xml:space="preserve">Charizard Brick Analysis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The CharizardBrickSimulation class examines a specific problem in Charizard-focused decks: the risk of having all Rare Candy cards in the prize cards, making it impossible to evolve Charmeleon into Charizard.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This simulation: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Tests Rare Candy counts from 1 to 4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Runs 10,000 simulations for each count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Calculates the probability of all Rare Candy cards ending up in the 6 prize cards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Shows how different Rare Candy counts affect this "bricking" probability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This analysis helps competitive players make informed deck-building decisions by demonstrating the risks associated with different card ratios.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ff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</w:rPr>
        <w:drawing>
          <wp:inline distB="114300" distT="114300" distL="114300" distR="114300">
            <wp:extent cx="5943600" cy="896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d9d9d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