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lox-summary"/>
    <w:p>
      <w:pPr>
        <w:pStyle w:val="Heading1"/>
      </w:pPr>
      <w:r>
        <w:t xml:space="preserve">ELOX: summary</w:t>
      </w:r>
    </w:p>
    <w:p>
      <w:pPr>
        <w:pStyle w:val="FirstParagraph"/>
      </w:pPr>
      <w:r>
        <w:rPr>
          <w:iCs/>
          <w:i/>
        </w:rPr>
        <w:t xml:space="preserve">Eloxx Pharmaceuticals, Nasdaq: ELOX. Compiled 2026-10-13 from public SEC filings, XBRL, ClinicalTrials.gov and daily prices. This document presents facts; it is not a buy or sell recommendation.</w:t>
      </w:r>
    </w:p>
    <w:bookmarkStart w:id="20" w:name="what-matters-most"/>
    <w:p>
      <w:pPr>
        <w:pStyle w:val="Heading2"/>
      </w:pPr>
      <w:r>
        <w:t xml:space="preserve">What matters most</w:t>
      </w:r>
    </w:p>
    <w:p>
      <w:pPr>
        <w:numPr>
          <w:ilvl w:val="0"/>
          <w:numId w:val="1001"/>
        </w:numPr>
        <w:pStyle w:val="Compact"/>
      </w:pPr>
      <w:r>
        <w:rPr>
          <w:bCs/>
          <w:b/>
        </w:rPr>
        <w:t xml:space="preserve">It fails your own screen.</w:t>
      </w:r>
      <w:r>
        <w:t xml:space="preserve"> </w:t>
      </w:r>
      <w:r>
        <w:t xml:space="preserve">ELOX did a</w:t>
      </w:r>
      <w:r>
        <w:t xml:space="preserve"> </w:t>
      </w:r>
      <w:r>
        <w:rPr>
          <w:bCs/>
          <w:b/>
        </w:rPr>
        <w:t xml:space="preserve">1-for-11 reverse split on 2026-05-29</w:t>
      </w:r>
      <w:r>
        <w:t xml:space="preserve">. The screener first passed it because the price feed's history only starts at the June 2026 Nasdaq listing. That is now fixed, and ELOX drops out of the screen.</w:t>
      </w:r>
    </w:p>
    <w:p>
      <w:pPr>
        <w:numPr>
          <w:ilvl w:val="0"/>
          <w:numId w:val="1001"/>
        </w:numPr>
        <w:pStyle w:val="Compact"/>
      </w:pPr>
      <w:r>
        <w:rPr>
          <w:bCs/>
          <w:b/>
        </w:rPr>
        <w:t xml:space="preserve">The real market cap is about $159M, not $55M.</w:t>
      </w:r>
      <w:r>
        <w:t xml:space="preserve"> </w:t>
      </w:r>
      <w:r>
        <w:t xml:space="preserve">There are 4.04M common shares plus</w:t>
      </w:r>
      <w:r>
        <w:t xml:space="preserve"> </w:t>
      </w:r>
      <w:r>
        <w:rPr>
          <w:bCs/>
          <w:b/>
        </w:rPr>
        <w:t xml:space="preserve">7.38M pre-funded warrants</w:t>
      </w:r>
      <w:r>
        <w:t xml:space="preserve">, which the company itself counts as shares. Minus $62M cash, the</w:t>
      </w:r>
      <w:r>
        <w:t xml:space="preserve"> </w:t>
      </w:r>
      <w:r>
        <w:rPr>
          <w:bCs/>
          <w:b/>
        </w:rPr>
        <w:t xml:space="preserve">enterprise value is about $97M</w:t>
      </w:r>
      <w:r>
        <w:t xml:space="preserve">.</w:t>
      </w:r>
    </w:p>
    <w:p>
      <w:pPr>
        <w:numPr>
          <w:ilvl w:val="0"/>
          <w:numId w:val="1001"/>
        </w:numPr>
        <w:pStyle w:val="Compact"/>
      </w:pPr>
      <w:r>
        <w:rPr>
          <w:bCs/>
          <w:b/>
        </w:rPr>
        <w:t xml:space="preserve">Large resale overhang.</w:t>
      </w:r>
      <w:r>
        <w:t xml:space="preserve"> </w:t>
      </w:r>
      <w:r>
        <w:t xml:space="preserve">Since 2026-09-18,</w:t>
      </w:r>
      <w:r>
        <w:t xml:space="preserve"> </w:t>
      </w:r>
      <w:r>
        <w:rPr>
          <w:bCs/>
          <w:b/>
        </w:rPr>
        <w:t xml:space="preserve">4.97M shares</w:t>
      </w:r>
      <w:r>
        <w:t xml:space="preserve"> </w:t>
      </w:r>
      <w:r>
        <w:t xml:space="preserve">are registered for resale by the two investors who rescued the company. That is about 6 months of current trading volume. They paid</w:t>
      </w:r>
      <w:r>
        <w:t xml:space="preserve"> </w:t>
      </w:r>
      <w:r>
        <w:rPr>
          <w:bCs/>
          <w:b/>
        </w:rPr>
        <w:t xml:space="preserve">$5.39</w:t>
      </w:r>
      <w:r>
        <w:t xml:space="preserve"> </w:t>
      </w:r>
      <w:r>
        <w:t xml:space="preserve">a share; the stock is at</w:t>
      </w:r>
      <w:r>
        <w:t xml:space="preserve"> </w:t>
      </w:r>
      <w:r>
        <w:rPr>
          <w:bCs/>
          <w:b/>
        </w:rPr>
        <w:t xml:space="preserve">$13.89</w:t>
      </w:r>
      <w:r>
        <w:t xml:space="preserve">.</w:t>
      </w:r>
    </w:p>
    <w:p>
      <w:pPr>
        <w:numPr>
          <w:ilvl w:val="0"/>
          <w:numId w:val="1001"/>
        </w:numPr>
        <w:pStyle w:val="Compact"/>
      </w:pPr>
      <w:r>
        <w:rPr>
          <w:bCs/>
          <w:b/>
        </w:rPr>
        <w:t xml:space="preserve">The trial's main measure isn't accepted for approval.</w:t>
      </w:r>
      <w:r>
        <w:t xml:space="preserve"> </w:t>
      </w:r>
      <w:r>
        <w:t xml:space="preserve">EXACT (24 patients, topline guided mid-2027) is judged on a</w:t>
      </w:r>
      <w:r>
        <w:t xml:space="preserve"> </w:t>
      </w:r>
      <w:r>
        <w:rPr>
          <w:bCs/>
          <w:b/>
        </w:rPr>
        <w:t xml:space="preserve">kidney-biopsy measure</w:t>
      </w:r>
      <w:r>
        <w:t xml:space="preserve"> </w:t>
      </w:r>
      <w:r>
        <w:t xml:space="preserve">(filtration slit density). The company's own filing says it</w:t>
      </w:r>
      <w:r>
        <w:t xml:space="preserve"> </w:t>
      </w:r>
      <w:r>
        <w:rPr>
          <w:bCs/>
          <w:b/>
        </w:rPr>
        <w:t xml:space="preserve">"has not been validated as a surrogate endpoint."</w:t>
      </w:r>
      <w:r>
        <w:t xml:space="preserve"> </w:t>
      </w:r>
      <w:r>
        <w:t xml:space="preserve">The FDA also refused repeat biopsies in US children.</w:t>
      </w:r>
    </w:p>
    <w:p>
      <w:pPr>
        <w:numPr>
          <w:ilvl w:val="0"/>
          <w:numId w:val="1001"/>
        </w:numPr>
        <w:pStyle w:val="Compact"/>
      </w:pPr>
      <w:r>
        <w:rPr>
          <w:bCs/>
          <w:b/>
        </w:rPr>
        <w:t xml:space="preserve">The earlier data is thin.</w:t>
      </w:r>
      <w:r>
        <w:t xml:space="preserve"> </w:t>
      </w:r>
      <w:r>
        <w:t xml:space="preserve">The only prior Alport data is from</w:t>
      </w:r>
      <w:r>
        <w:t xml:space="preserve"> </w:t>
      </w:r>
      <w:r>
        <w:rPr>
          <w:bCs/>
          <w:b/>
        </w:rPr>
        <w:t xml:space="preserve">3 open-label patients</w:t>
      </w:r>
      <w:r>
        <w:t xml:space="preserve">. The biopsy measure improved in all 3, but</w:t>
      </w:r>
      <w:r>
        <w:t xml:space="preserve"> </w:t>
      </w:r>
      <w:r>
        <w:rPr>
          <w:bCs/>
          <w:b/>
        </w:rPr>
        <w:t xml:space="preserve">protein in the urine rose in 2 of the 3</w:t>
      </w:r>
      <w:r>
        <w:t xml:space="preserve">. Earlier cystic fibrosis trials never posted results.</w:t>
      </w:r>
    </w:p>
    <w:p>
      <w:pPr>
        <w:numPr>
          <w:ilvl w:val="0"/>
          <w:numId w:val="1001"/>
        </w:numPr>
        <w:pStyle w:val="Compact"/>
      </w:pPr>
      <w:r>
        <w:rPr>
          <w:bCs/>
          <w:b/>
        </w:rPr>
        <w:t xml:space="preserve">Recent history.</w:t>
      </w:r>
      <w:r>
        <w:t xml:space="preserve"> </w:t>
      </w:r>
      <w:r>
        <w:t xml:space="preserve">ELOX was suspended from Nasdaq in October 2023 and filed</w:t>
      </w:r>
      <w:r>
        <w:t xml:space="preserve"> </w:t>
      </w:r>
      <w:r>
        <w:rPr>
          <w:bCs/>
          <w:b/>
        </w:rPr>
        <w:t xml:space="preserve">no reports for about 2.5 years</w:t>
      </w:r>
      <w:r>
        <w:t xml:space="preserve">. It came back through debt swaps at $0.49 a share, then relisted in June 2026.</w:t>
      </w:r>
    </w:p>
    <w:p>
      <w:pPr>
        <w:numPr>
          <w:ilvl w:val="0"/>
          <w:numId w:val="1001"/>
        </w:numPr>
        <w:pStyle w:val="Compact"/>
      </w:pPr>
      <w:r>
        <w:rPr>
          <w:bCs/>
          <w:b/>
        </w:rPr>
        <w:t xml:space="preserve">The balance sheet is now clean.</w:t>
      </w:r>
      <w:r>
        <w:t xml:space="preserve"> </w:t>
      </w:r>
      <w:r>
        <w:t xml:space="preserve">It has</w:t>
      </w:r>
      <w:r>
        <w:t xml:space="preserve"> </w:t>
      </w:r>
      <w:r>
        <w:rPr>
          <w:bCs/>
          <w:b/>
        </w:rPr>
        <w:t xml:space="preserve">$62M cash and no debt</w:t>
      </w:r>
      <w:r>
        <w:t xml:space="preserve">. The going-concern warning is gone from the latest 10-Q, and the company says its cash lasts</w:t>
      </w:r>
      <w:r>
        <w:t xml:space="preserve"> </w:t>
      </w:r>
      <w:r>
        <w:rPr>
          <w:bCs/>
          <w:b/>
        </w:rPr>
        <w:t xml:space="preserve">into mid-2028</w:t>
      </w:r>
      <w:r>
        <w:t xml:space="preserve">. A material weakness in internal controls is still open, and the filings contradict each other in several places (section 6 of the pack).</w:t>
      </w:r>
    </w:p>
    <w:p>
      <w:pPr>
        <w:pStyle w:val="FirstParagraph"/>
      </w:pPr>
      <w:r>
        <w:t xml:space="preserve">Specialist biotech funds own about 60% of the company. No insider has bought or sold on the open market; every insider filing is a grant or an option exercise.</w:t>
      </w:r>
    </w:p>
    <w:p>
      <w:pPr>
        <w:pStyle w:val="BodyText"/>
      </w:pPr>
      <w:r>
        <w:rPr>
          <w:bCs/>
          <w:b/>
        </w:rPr>
        <w:t xml:space="preserve">Your next step:</w:t>
      </w:r>
      <w:r>
        <w:t xml:space="preserve"> </w:t>
      </w:r>
      <w:r>
        <w:t xml:space="preserve">use the journal, with zero capital, as planned. Fill in your own probability and the "what would prove me wrong" line in section 9. Use only published sources, never anything from your placement.</w:t>
      </w:r>
    </w:p>
    <w:bookmarkEnd w:id="20"/>
    <w:bookmarkEnd w:id="21"/>
    <w:bookmarkStart w:id="52" w:name="elox-eloxx-pharmaceuticals-decision-pack"/>
    <w:p>
      <w:pPr>
        <w:pStyle w:val="Heading1"/>
      </w:pPr>
      <w:r>
        <w:t xml:space="preserve">ELOX (Eloxx Pharmaceuticals) decision pack</w:t>
      </w:r>
    </w:p>
    <w:p>
      <w:pPr>
        <w:pStyle w:val="FirstParagraph"/>
      </w:pPr>
      <w:r>
        <w:t xml:space="preserve">Compiled 2026-10-13 from SEC EDGAR filings (2025-01 to 2026-09), XBRL, ClinicalTrials.gov and daily prices. Every figure is from a filing or is arithmetic on filed numbers (marked</w:t>
      </w:r>
      <w:r>
        <w:t xml:space="preserve"> </w:t>
      </w:r>
      <w:r>
        <w:rPr>
          <w:iCs/>
          <w:i/>
        </w:rPr>
        <w:t xml:space="preserve">computed</w:t>
      </w:r>
      <w:r>
        <w:t xml:space="preserve">). Detailed, cited notes:</w:t>
      </w:r>
    </w:p>
    <w:p>
      <w:pPr>
        <w:numPr>
          <w:ilvl w:val="0"/>
          <w:numId w:val="1002"/>
        </w:numPr>
        <w:pStyle w:val="Compact"/>
      </w:pPr>
      <w:r>
        <w:rPr>
          <w:rStyle w:val="VerbatimChar"/>
        </w:rPr>
        <w:t xml:space="preserve">notes_10K_history.md</w:t>
      </w:r>
      <w:r>
        <w:t xml:space="preserve">: FY2025 10-K, 2023-2025 history, the dark period</w:t>
      </w:r>
    </w:p>
    <w:p>
      <w:pPr>
        <w:numPr>
          <w:ilvl w:val="0"/>
          <w:numId w:val="1002"/>
        </w:numPr>
        <w:pStyle w:val="Compact"/>
      </w:pPr>
      <w:r>
        <w:rPr>
          <w:rStyle w:val="VerbatimChar"/>
        </w:rPr>
        <w:t xml:space="preserve">notes_2026_filings.md</w:t>
      </w:r>
      <w:r>
        <w:t xml:space="preserve">: 2026 10-Qs, 8-Ks, the 14C information statement</w:t>
      </w:r>
    </w:p>
    <w:p>
      <w:pPr>
        <w:numPr>
          <w:ilvl w:val="0"/>
          <w:numId w:val="1002"/>
        </w:numPr>
        <w:pStyle w:val="Compact"/>
      </w:pPr>
      <w:r>
        <w:rPr>
          <w:rStyle w:val="VerbatimChar"/>
        </w:rPr>
        <w:t xml:space="preserve">notes_offerings.md</w:t>
      </w:r>
      <w:r>
        <w:t xml:space="preserve">: June 2026 offering, September resale S-1, capitalization</w:t>
      </w:r>
    </w:p>
    <w:p>
      <w:pPr>
        <w:numPr>
          <w:ilvl w:val="0"/>
          <w:numId w:val="1002"/>
        </w:numPr>
        <w:pStyle w:val="Compact"/>
      </w:pPr>
      <w:r>
        <w:rPr>
          <w:rStyle w:val="VerbatimChar"/>
        </w:rPr>
        <w:t xml:space="preserve">ELOX-NCT07523581.md</w:t>
      </w:r>
      <w:r>
        <w:t xml:space="preserve">: the protocol dossier for the EXACT trial</w:t>
      </w:r>
    </w:p>
    <w:p>
      <w:pPr>
        <w:numPr>
          <w:ilvl w:val="0"/>
          <w:numId w:val="1002"/>
        </w:numPr>
        <w:pStyle w:val="Compact"/>
      </w:pPr>
      <w:r>
        <w:rPr>
          <w:rStyle w:val="VerbatimChar"/>
        </w:rPr>
        <w:t xml:space="preserve">filings/</w:t>
      </w:r>
      <w:r>
        <w:t xml:space="preserve">: every filing since 2025, with an index in</w:t>
      </w:r>
      <w:r>
        <w:t xml:space="preserve"> </w:t>
      </w:r>
      <w:r>
        <w:rPr>
          <w:rStyle w:val="VerbatimChar"/>
        </w:rPr>
        <w:t xml:space="preserve">filings/manifest.json</w:t>
      </w:r>
    </w:p>
    <w:p>
      <w:pPr>
        <w:pStyle w:val="FirstParagraph"/>
      </w:pPr>
      <w:r>
        <w:t xml:space="preserve">This pack presents facts. It is not a recommendation.</w:t>
      </w:r>
    </w:p>
    <w:p>
      <w:r>
        <w:pict>
          <v:rect style="width:0;height:1.5pt" o:hralign="center" o:hrstd="t" o:hr="t"/>
        </w:pict>
      </w:r>
    </w:p>
    <w:bookmarkStart w:id="22" w:name="X57a47aa382114cbaedf287d2b4616d94707f8f9"/>
    <w:p>
      <w:pPr>
        <w:pStyle w:val="Heading2"/>
      </w:pPr>
      <w:r>
        <w:t xml:space="preserve">1. Snapshot (2026-10-12)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Price</w:t>
            </w:r>
          </w:p>
        </w:tc>
        <w:tc>
          <w:tcPr/>
          <w:p>
            <w:pPr>
              <w:pStyle w:val="Compact"/>
              <w:jc w:val="left"/>
            </w:pPr>
            <w:r>
              <w:rPr>
                <w:bCs/>
                <w:b/>
              </w:rPr>
              <w:t xml:space="preserve">$13.89</w:t>
            </w:r>
            <w:r>
              <w:t xml:space="preserve"> </w:t>
            </w:r>
            <w:r>
              <w:t xml:space="preserve">(52-week $8.20 to $23.40; June offering $11.00)</w:t>
            </w:r>
          </w:p>
        </w:tc>
        <w:tc>
          <w:tcPr/>
          <w:p>
            <w:pPr>
              <w:pStyle w:val="Compact"/>
              <w:jc w:val="left"/>
            </w:pPr>
            <w:r>
              <w:t xml:space="preserve">Yahoo daily</w:t>
            </w:r>
          </w:p>
        </w:tc>
      </w:tr>
      <w:tr>
        <w:tc>
          <w:tcPr/>
          <w:p>
            <w:pPr>
              <w:pStyle w:val="Compact"/>
              <w:jc w:val="left"/>
            </w:pPr>
            <w:r>
              <w:t xml:space="preserve">Common shares</w:t>
            </w:r>
          </w:p>
        </w:tc>
        <w:tc>
          <w:tcPr/>
          <w:p>
            <w:pPr>
              <w:pStyle w:val="Compact"/>
              <w:jc w:val="left"/>
            </w:pPr>
            <w:r>
              <w:t xml:space="preserve">4,036,459</w:t>
            </w:r>
          </w:p>
        </w:tc>
        <w:tc>
          <w:tcPr/>
          <w:p>
            <w:pPr>
              <w:pStyle w:val="Compact"/>
              <w:jc w:val="left"/>
            </w:pPr>
            <w:r>
              <w:t xml:space="preserve">Q2 10-Q cover (8/7/26)</w:t>
            </w:r>
          </w:p>
        </w:tc>
      </w:tr>
      <w:tr>
        <w:tc>
          <w:tcPr/>
          <w:p>
            <w:pPr>
              <w:pStyle w:val="Compact"/>
              <w:jc w:val="left"/>
            </w:pPr>
            <w:r>
              <w:t xml:space="preserve">Pre-funded warrants ($0.01 to $0.11 exercise)</w:t>
            </w:r>
          </w:p>
        </w:tc>
        <w:tc>
          <w:tcPr/>
          <w:p>
            <w:pPr>
              <w:pStyle w:val="Compact"/>
              <w:jc w:val="left"/>
            </w:pPr>
            <w:r>
              <w:t xml:space="preserve">7,383,919</w:t>
            </w:r>
          </w:p>
        </w:tc>
        <w:tc>
          <w:tcPr/>
          <w:p>
            <w:pPr>
              <w:pStyle w:val="Compact"/>
              <w:jc w:val="left"/>
            </w:pPr>
            <w:r>
              <w:t xml:space="preserve">Q2 10-Q / Sept S-1,</w:t>
            </w:r>
            <w:r>
              <w:t xml:space="preserve"> </w:t>
            </w:r>
            <w:r>
              <w:rPr>
                <w:iCs/>
                <w:i/>
              </w:rPr>
              <w:t xml:space="preserve">computed</w:t>
            </w:r>
          </w:p>
        </w:tc>
      </w:tr>
      <w:tr>
        <w:tc>
          <w:tcPr/>
          <w:p>
            <w:pPr>
              <w:pStyle w:val="Compact"/>
              <w:jc w:val="left"/>
            </w:pPr>
            <w:r>
              <w:t xml:space="preserve">Common + pre-funded (company counts both in EPS)</w:t>
            </w:r>
          </w:p>
        </w:tc>
        <w:tc>
          <w:tcPr/>
          <w:p>
            <w:pPr>
              <w:pStyle w:val="Compact"/>
              <w:jc w:val="left"/>
            </w:pPr>
            <w:r>
              <w:rPr>
                <w:bCs/>
                <w:b/>
              </w:rPr>
              <w:t xml:space="preserve">11,420,378</w:t>
            </w:r>
          </w:p>
        </w:tc>
        <w:tc>
          <w:tcPr/>
          <w:p>
            <w:pPr>
              <w:pStyle w:val="Compact"/>
              <w:jc w:val="left"/>
            </w:pPr>
            <w:r>
              <w:rPr>
                <w:iCs/>
                <w:i/>
              </w:rPr>
              <w:t xml:space="preserve">computed</w:t>
            </w:r>
          </w:p>
        </w:tc>
      </w:tr>
      <w:tr>
        <w:tc>
          <w:tcPr/>
          <w:p>
            <w:pPr>
              <w:pStyle w:val="Compact"/>
              <w:jc w:val="left"/>
            </w:pPr>
            <w:r>
              <w:t xml:space="preserve">Fully diluted (+ options, warrants, RSUs)</w:t>
            </w:r>
          </w:p>
        </w:tc>
        <w:tc>
          <w:tcPr/>
          <w:p>
            <w:pPr>
              <w:pStyle w:val="Compact"/>
              <w:jc w:val="left"/>
            </w:pPr>
            <w:r>
              <w:t xml:space="preserve">12,521,254</w:t>
            </w:r>
          </w:p>
        </w:tc>
        <w:tc>
          <w:tcPr/>
          <w:p>
            <w:pPr>
              <w:pStyle w:val="Compact"/>
              <w:jc w:val="left"/>
            </w:pPr>
            <w:r>
              <w:rPr>
                <w:iCs/>
                <w:i/>
              </w:rPr>
              <w:t xml:space="preserve">computed</w:t>
            </w:r>
          </w:p>
        </w:tc>
      </w:tr>
      <w:tr>
        <w:tc>
          <w:tcPr/>
          <w:p>
            <w:pPr>
              <w:pStyle w:val="Compact"/>
              <w:jc w:val="left"/>
            </w:pPr>
            <w:r>
              <w:t xml:space="preserve">Market cap: common only / + pre-funded / fully diluted</w:t>
            </w:r>
          </w:p>
        </w:tc>
        <w:tc>
          <w:tcPr/>
          <w:p>
            <w:pPr>
              <w:pStyle w:val="Compact"/>
              <w:jc w:val="left"/>
            </w:pPr>
            <w:r>
              <w:t xml:space="preserve">$56M /</w:t>
            </w:r>
            <w:r>
              <w:t xml:space="preserve"> </w:t>
            </w:r>
            <w:r>
              <w:rPr>
                <w:bCs/>
                <w:b/>
              </w:rPr>
              <w:t xml:space="preserve">$159M</w:t>
            </w:r>
            <w:r>
              <w:t xml:space="preserve"> </w:t>
            </w:r>
            <w:r>
              <w:t xml:space="preserve">/ $174M</w:t>
            </w:r>
          </w:p>
        </w:tc>
        <w:tc>
          <w:tcPr/>
          <w:p>
            <w:pPr>
              <w:pStyle w:val="Compact"/>
              <w:jc w:val="left"/>
            </w:pPr>
            <w:r>
              <w:rPr>
                <w:iCs/>
                <w:i/>
              </w:rPr>
              <w:t xml:space="preserve">computed</w:t>
            </w:r>
          </w:p>
        </w:tc>
      </w:tr>
      <w:tr>
        <w:tc>
          <w:tcPr/>
          <w:p>
            <w:pPr>
              <w:pStyle w:val="Compact"/>
              <w:jc w:val="left"/>
            </w:pPr>
            <w:r>
              <w:t xml:space="preserve">Cash (6/30/26), all money-market</w:t>
            </w:r>
          </w:p>
        </w:tc>
        <w:tc>
          <w:tcPr/>
          <w:p>
            <w:pPr>
              <w:pStyle w:val="Compact"/>
              <w:jc w:val="left"/>
            </w:pPr>
            <w:r>
              <w:rPr>
                <w:bCs/>
                <w:b/>
              </w:rPr>
              <w:t xml:space="preserve">$61.96M</w:t>
            </w:r>
          </w:p>
        </w:tc>
        <w:tc>
          <w:tcPr/>
          <w:p>
            <w:pPr>
              <w:pStyle w:val="Compact"/>
              <w:jc w:val="left"/>
            </w:pPr>
            <w:r>
              <w:t xml:space="preserve">Q2 10-Q</w:t>
            </w:r>
          </w:p>
        </w:tc>
      </w:tr>
      <w:tr>
        <w:tc>
          <w:tcPr/>
          <w:p>
            <w:pPr>
              <w:pStyle w:val="Compact"/>
              <w:jc w:val="left"/>
            </w:pPr>
            <w:r>
              <w:t xml:space="preserve">Debt</w:t>
            </w:r>
          </w:p>
        </w:tc>
        <w:tc>
          <w:tcPr/>
          <w:p>
            <w:pPr>
              <w:pStyle w:val="Compact"/>
              <w:jc w:val="left"/>
            </w:pPr>
            <w:r>
              <w:rPr>
                <w:bCs/>
                <w:b/>
              </w:rPr>
              <w:t xml:space="preserve">$0</w:t>
            </w:r>
            <w:r>
              <w:t xml:space="preserve"> </w:t>
            </w:r>
            <w:r>
              <w:t xml:space="preserve">(last $1.0M lender loan swapped for warrants 2/26/26)</w:t>
            </w:r>
          </w:p>
        </w:tc>
        <w:tc>
          <w:tcPr/>
          <w:p>
            <w:pPr>
              <w:pStyle w:val="Compact"/>
              <w:jc w:val="left"/>
            </w:pPr>
            <w:r>
              <w:t xml:space="preserve">Q2 10-Q</w:t>
            </w:r>
          </w:p>
        </w:tc>
      </w:tr>
      <w:tr>
        <w:tc>
          <w:tcPr/>
          <w:p>
            <w:pPr>
              <w:pStyle w:val="Compact"/>
              <w:jc w:val="left"/>
            </w:pPr>
            <w:r>
              <w:t xml:space="preserve">Cystic Fibrosis Foundation advances (liability, repayable under conditions)</w:t>
            </w:r>
          </w:p>
        </w:tc>
        <w:tc>
          <w:tcPr/>
          <w:p>
            <w:pPr>
              <w:pStyle w:val="Compact"/>
              <w:jc w:val="left"/>
            </w:pPr>
            <w:r>
              <w:t xml:space="preserve">$11.83M</w:t>
            </w:r>
          </w:p>
        </w:tc>
        <w:tc>
          <w:tcPr/>
          <w:p>
            <w:pPr>
              <w:pStyle w:val="Compact"/>
              <w:jc w:val="left"/>
            </w:pPr>
            <w:r>
              <w:t xml:space="preserve">Q2 10-Q</w:t>
            </w:r>
          </w:p>
        </w:tc>
      </w:tr>
      <w:tr>
        <w:tc>
          <w:tcPr/>
          <w:p>
            <w:pPr>
              <w:pStyle w:val="Compact"/>
              <w:jc w:val="left"/>
            </w:pPr>
            <w:r>
              <w:t xml:space="preserve">Enterprise value (mcap incl. pre-funded − cash)</w:t>
            </w:r>
          </w:p>
        </w:tc>
        <w:tc>
          <w:tcPr/>
          <w:p>
            <w:pPr>
              <w:pStyle w:val="Compact"/>
              <w:jc w:val="left"/>
            </w:pPr>
            <w:r>
              <w:rPr>
                <w:bCs/>
                <w:b/>
              </w:rPr>
              <w:t xml:space="preserve">$97M</w:t>
            </w:r>
            <w:r>
              <w:t xml:space="preserve"> </w:t>
            </w:r>
            <w:r>
              <w:t xml:space="preserve">($109M counting the CFF advances as debt)</w:t>
            </w:r>
          </w:p>
        </w:tc>
        <w:tc>
          <w:tcPr/>
          <w:p>
            <w:pPr>
              <w:pStyle w:val="Compact"/>
              <w:jc w:val="left"/>
            </w:pPr>
            <w:r>
              <w:rPr>
                <w:iCs/>
                <w:i/>
              </w:rPr>
              <w:t xml:space="preserve">computed</w:t>
            </w:r>
          </w:p>
        </w:tc>
      </w:tr>
      <w:tr>
        <w:tc>
          <w:tcPr/>
          <w:p>
            <w:pPr>
              <w:pStyle w:val="Compact"/>
              <w:jc w:val="left"/>
            </w:pPr>
            <w:r>
              <w:t xml:space="preserve">Operating cash burn</w:t>
            </w:r>
          </w:p>
        </w:tc>
        <w:tc>
          <w:tcPr/>
          <w:p>
            <w:pPr>
              <w:pStyle w:val="Compact"/>
              <w:jc w:val="left"/>
            </w:pPr>
            <w:r>
              <w:t xml:space="preserve">Q1 2026 −$5.45M, Q2 −$4.79M</w:t>
            </w:r>
          </w:p>
        </w:tc>
        <w:tc>
          <w:tcPr/>
          <w:p>
            <w:pPr>
              <w:pStyle w:val="Compact"/>
              <w:jc w:val="left"/>
            </w:pPr>
            <w:r>
              <w:t xml:space="preserve">XBRL</w:t>
            </w:r>
          </w:p>
        </w:tc>
      </w:tr>
      <w:tr>
        <w:tc>
          <w:tcPr/>
          <w:p>
            <w:pPr>
              <w:pStyle w:val="Compact"/>
              <w:jc w:val="left"/>
            </w:pPr>
            <w:r>
              <w:t xml:space="preserve">Company runway statement</w:t>
            </w:r>
          </w:p>
        </w:tc>
        <w:tc>
          <w:tcPr/>
          <w:p>
            <w:pPr>
              <w:pStyle w:val="Compact"/>
              <w:jc w:val="left"/>
            </w:pPr>
            <w:r>
              <w:t xml:space="preserve">"sufficient to reach</w:t>
            </w:r>
            <w:r>
              <w:t xml:space="preserve"> </w:t>
            </w:r>
            <w:r>
              <w:rPr>
                <w:bCs/>
                <w:b/>
              </w:rPr>
              <w:t xml:space="preserve">mid-2028</w:t>
            </w:r>
            <w:r>
              <w:t xml:space="preserve">"</w:t>
            </w:r>
          </w:p>
        </w:tc>
        <w:tc>
          <w:tcPr/>
          <w:p>
            <w:pPr>
              <w:pStyle w:val="Compact"/>
              <w:jc w:val="left"/>
            </w:pPr>
            <w:r>
              <w:t xml:space="preserve">Sept S-1</w:t>
            </w:r>
          </w:p>
        </w:tc>
      </w:tr>
      <w:tr>
        <w:tc>
          <w:tcPr/>
          <w:p>
            <w:pPr>
              <w:pStyle w:val="Compact"/>
              <w:jc w:val="left"/>
            </w:pPr>
            <w:r>
              <w:t xml:space="preserve">30-day average dollar volume</w:t>
            </w:r>
          </w:p>
        </w:tc>
        <w:tc>
          <w:tcPr/>
          <w:p>
            <w:pPr>
              <w:pStyle w:val="Compact"/>
              <w:jc w:val="left"/>
            </w:pPr>
            <w:r>
              <w:t xml:space="preserve">$436k (Oct to date: $368k)</w:t>
            </w:r>
          </w:p>
        </w:tc>
        <w:tc>
          <w:tcPr/>
          <w:p>
            <w:pPr>
              <w:pStyle w:val="Compact"/>
              <w:jc w:val="left"/>
            </w:pPr>
            <w:r>
              <w:t xml:space="preserve">Yahoo,</w:t>
            </w:r>
            <w:r>
              <w:t xml:space="preserve"> </w:t>
            </w:r>
            <w:r>
              <w:rPr>
                <w:iCs/>
                <w:i/>
              </w:rPr>
              <w:t xml:space="preserve">computed</w:t>
            </w:r>
          </w:p>
        </w:tc>
      </w:tr>
    </w:tbl>
    <w:p>
      <w:pPr>
        <w:pStyle w:val="BodyText"/>
      </w:pPr>
      <w:r>
        <w:rPr>
          <w:bCs/>
          <w:b/>
        </w:rPr>
        <w:t xml:space="preserve">Screener caveat.</w:t>
      </w:r>
      <w:r>
        <w:t xml:space="preserve"> </w:t>
      </w:r>
      <w:r>
        <w:t xml:space="preserve">biocat showed a market cap of $55M because it counts only common shares, which leaves out ~7.4M pre-funded warrants. The company itself treats those warrants as outstanding shares. The true figure is about 3x higher.</w:t>
      </w:r>
    </w:p>
    <w:bookmarkEnd w:id="22"/>
    <w:bookmarkStart w:id="23" w:name="X1128f6e5e8a4416f6b6032419dbbe95512c27ad"/>
    <w:p>
      <w:pPr>
        <w:pStyle w:val="Heading2"/>
      </w:pPr>
      <w:r>
        <w:t xml:space="preserve">2. What happened, 2023 to 2026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r>
      <w:tr>
        <w:tc>
          <w:tcPr/>
          <w:p>
            <w:pPr>
              <w:pStyle w:val="Compact"/>
              <w:jc w:val="left"/>
            </w:pPr>
            <w:r>
              <w:t xml:space="preserve">2023-10-16</w:t>
            </w:r>
          </w:p>
        </w:tc>
        <w:tc>
          <w:tcPr/>
          <w:p>
            <w:pPr>
              <w:pStyle w:val="Compact"/>
              <w:jc w:val="left"/>
            </w:pPr>
            <w:r>
              <w:t xml:space="preserve">Nasdaq suspends ELOX (market value of listed securities below $35M)</w:t>
            </w:r>
          </w:p>
        </w:tc>
        <w:tc>
          <w:tcPr/>
          <w:p>
            <w:pPr>
              <w:pStyle w:val="Compact"/>
              <w:jc w:val="left"/>
            </w:pPr>
            <w:r>
              <w:t xml:space="preserve">10-K</w:t>
            </w:r>
          </w:p>
        </w:tc>
      </w:tr>
      <w:tr>
        <w:tc>
          <w:tcPr/>
          <w:p>
            <w:pPr>
              <w:pStyle w:val="Compact"/>
              <w:jc w:val="left"/>
            </w:pPr>
            <w:r>
              <w:t xml:space="preserve">Nov 2023 to Mar 2026</w:t>
            </w:r>
          </w:p>
        </w:tc>
        <w:tc>
          <w:tcPr/>
          <w:p>
            <w:pPr>
              <w:pStyle w:val="Compact"/>
              <w:jc w:val="left"/>
            </w:pPr>
            <w:r>
              <w:rPr>
                <w:bCs/>
                <w:b/>
              </w:rPr>
              <w:t xml:space="preserve">No periodic reports filed.</w:t>
            </w:r>
            <w:r>
              <w:t xml:space="preserve"> </w:t>
            </w:r>
            <w:r>
              <w:t xml:space="preserve">The company cites no money for auditors. NT 10-K and NT 10-Q notices in 2025</w:t>
            </w:r>
          </w:p>
        </w:tc>
        <w:tc>
          <w:tcPr/>
          <w:p>
            <w:pPr>
              <w:pStyle w:val="Compact"/>
              <w:jc w:val="left"/>
            </w:pPr>
            <w:r>
              <w:t xml:space="preserve">10-K, NT filings</w:t>
            </w:r>
          </w:p>
        </w:tc>
      </w:tr>
      <w:tr>
        <w:tc>
          <w:tcPr/>
          <w:p>
            <w:pPr>
              <w:pStyle w:val="Compact"/>
              <w:jc w:val="left"/>
            </w:pPr>
            <w:r>
              <w:t xml:space="preserve">2025-02-21</w:t>
            </w:r>
          </w:p>
        </w:tc>
        <w:tc>
          <w:tcPr/>
          <w:p>
            <w:pPr>
              <w:pStyle w:val="Compact"/>
              <w:jc w:val="left"/>
            </w:pPr>
            <w:r>
              <w:t xml:space="preserve">SEC declares registration statement 333-276686 abandoned (no response to its notice)</w:t>
            </w:r>
          </w:p>
        </w:tc>
        <w:tc>
          <w:tcPr/>
          <w:p>
            <w:pPr>
              <w:pStyle w:val="Compact"/>
              <w:jc w:val="left"/>
            </w:pPr>
            <w:r>
              <w:t xml:space="preserve">SEC staff action</w:t>
            </w:r>
          </w:p>
        </w:tc>
      </w:tr>
      <w:tr>
        <w:tc>
          <w:tcPr/>
          <w:p>
            <w:pPr>
              <w:pStyle w:val="Compact"/>
              <w:jc w:val="left"/>
            </w:pPr>
            <w:r>
              <w:t xml:space="preserve">2024 to 2026</w:t>
            </w:r>
          </w:p>
        </w:tc>
        <w:tc>
          <w:tcPr/>
          <w:p>
            <w:pPr>
              <w:pStyle w:val="Compact"/>
              <w:jc w:val="left"/>
            </w:pPr>
            <w:r>
              <w:t xml:space="preserve">Lender Domicilium converts</w:t>
            </w:r>
            <w:r>
              <w:t xml:space="preserve"> </w:t>
            </w:r>
            <w:r>
              <w:rPr>
                <w:bCs/>
                <w:b/>
              </w:rPr>
              <w:t xml:space="preserve">$9.5M</w:t>
            </w:r>
            <w:r>
              <w:t xml:space="preserve"> </w:t>
            </w:r>
            <w:r>
              <w:t xml:space="preserve">of debt into pre-funded warrants at $0.49. Coastlands puts in</w:t>
            </w:r>
            <w:r>
              <w:t xml:space="preserve"> </w:t>
            </w:r>
            <w:r>
              <w:rPr>
                <w:bCs/>
                <w:b/>
              </w:rPr>
              <w:t xml:space="preserve">$15.0M</w:t>
            </w:r>
            <w:r>
              <w:t xml:space="preserve"> </w:t>
            </w:r>
            <w:r>
              <w:t xml:space="preserve">and Domicilium $2.0M at $0.49</w:t>
            </w:r>
          </w:p>
        </w:tc>
        <w:tc>
          <w:tcPr/>
          <w:p>
            <w:pPr>
              <w:pStyle w:val="Compact"/>
              <w:jc w:val="left"/>
            </w:pPr>
            <w:r>
              <w:t xml:space="preserve">10-K</w:t>
            </w:r>
          </w:p>
        </w:tc>
      </w:tr>
      <w:tr>
        <w:tc>
          <w:tcPr/>
          <w:p>
            <w:pPr>
              <w:pStyle w:val="Compact"/>
              <w:jc w:val="left"/>
            </w:pPr>
            <w:r>
              <w:t xml:space="preserve">Oct 2024</w:t>
            </w:r>
          </w:p>
        </w:tc>
        <w:tc>
          <w:tcPr/>
          <w:p>
            <w:pPr>
              <w:pStyle w:val="Compact"/>
              <w:jc w:val="left"/>
            </w:pPr>
            <w:r>
              <w:t xml:space="preserve">Options repriced to</w:t>
            </w:r>
            <w:r>
              <w:t xml:space="preserve"> </w:t>
            </w:r>
            <w:r>
              <w:rPr>
                <w:bCs/>
                <w:b/>
              </w:rPr>
              <w:t xml:space="preserve">$0.0001</w:t>
            </w:r>
          </w:p>
        </w:tc>
        <w:tc>
          <w:tcPr/>
          <w:p>
            <w:pPr>
              <w:pStyle w:val="Compact"/>
              <w:jc w:val="left"/>
            </w:pPr>
            <w:r>
              <w:t xml:space="preserve">10-K</w:t>
            </w:r>
          </w:p>
        </w:tc>
      </w:tr>
      <w:tr>
        <w:tc>
          <w:tcPr/>
          <w:p>
            <w:pPr>
              <w:pStyle w:val="Compact"/>
              <w:jc w:val="left"/>
            </w:pPr>
            <w:r>
              <w:t xml:space="preserve">2026-03-17</w:t>
            </w:r>
          </w:p>
        </w:tc>
        <w:tc>
          <w:tcPr/>
          <w:p>
            <w:pPr>
              <w:pStyle w:val="Compact"/>
              <w:jc w:val="left"/>
            </w:pPr>
            <w:r>
              <w:t xml:space="preserve">One 10-K covering FY2023, 2024 and 2025. Going-concern doubt from both auditor and management</w:t>
            </w:r>
          </w:p>
        </w:tc>
        <w:tc>
          <w:tcPr/>
          <w:p>
            <w:pPr>
              <w:pStyle w:val="Compact"/>
              <w:jc w:val="left"/>
            </w:pPr>
            <w:r>
              <w:t xml:space="preserve">10-K</w:t>
            </w:r>
          </w:p>
        </w:tc>
      </w:tr>
      <w:tr>
        <w:tc>
          <w:tcPr/>
          <w:p>
            <w:pPr>
              <w:pStyle w:val="Compact"/>
              <w:jc w:val="left"/>
            </w:pPr>
            <w:r>
              <w:t xml:space="preserve">2026-04-28</w:t>
            </w:r>
          </w:p>
        </w:tc>
        <w:tc>
          <w:tcPr/>
          <w:p>
            <w:pPr>
              <w:pStyle w:val="Compact"/>
              <w:jc w:val="left"/>
            </w:pPr>
            <w:r>
              <w:t xml:space="preserve">Holders of</w:t>
            </w:r>
            <w:r>
              <w:t xml:space="preserve"> </w:t>
            </w:r>
            <w:r>
              <w:rPr>
                <w:bCs/>
                <w:b/>
              </w:rPr>
              <w:t xml:space="preserve">57.1%</w:t>
            </w:r>
            <w:r>
              <w:t xml:space="preserve"> </w:t>
            </w:r>
            <w:r>
              <w:t xml:space="preserve">approve the split and charter changes by written consent, so there was no shareholder meeting</w:t>
            </w:r>
          </w:p>
        </w:tc>
        <w:tc>
          <w:tcPr/>
          <w:p>
            <w:pPr>
              <w:pStyle w:val="Compact"/>
              <w:jc w:val="left"/>
            </w:pPr>
            <w:r>
              <w:t xml:space="preserve">DEF 14C</w:t>
            </w:r>
          </w:p>
        </w:tc>
      </w:tr>
      <w:tr>
        <w:tc>
          <w:tcPr/>
          <w:p>
            <w:pPr>
              <w:pStyle w:val="Compact"/>
              <w:jc w:val="left"/>
            </w:pPr>
            <w:r>
              <w:rPr>
                <w:bCs/>
                <w:b/>
              </w:rPr>
              <w:t xml:space="preserve">2026-05-29</w:t>
            </w:r>
          </w:p>
        </w:tc>
        <w:tc>
          <w:tcPr/>
          <w:p>
            <w:pPr>
              <w:pStyle w:val="Compact"/>
              <w:jc w:val="left"/>
            </w:pPr>
            <w:r>
              <w:rPr>
                <w:bCs/>
                <w:b/>
              </w:rPr>
              <w:t xml:space="preserve">1-for-11 reverse split</w:t>
            </w:r>
            <w:r>
              <w:t xml:space="preserve">; authorized shares cut from 500M to 100M</w:t>
            </w:r>
          </w:p>
        </w:tc>
        <w:tc>
          <w:tcPr/>
          <w:p>
            <w:pPr>
              <w:pStyle w:val="Compact"/>
              <w:jc w:val="left"/>
            </w:pPr>
            <w:r>
              <w:t xml:space="preserve">8-K 6/1/26</w:t>
            </w:r>
          </w:p>
        </w:tc>
      </w:tr>
      <w:tr>
        <w:tc>
          <w:tcPr/>
          <w:p>
            <w:pPr>
              <w:pStyle w:val="Compact"/>
              <w:jc w:val="left"/>
            </w:pPr>
            <w:r>
              <w:t xml:space="preserve">2026-06-08</w:t>
            </w:r>
          </w:p>
        </w:tc>
        <w:tc>
          <w:tcPr/>
          <w:p>
            <w:pPr>
              <w:pStyle w:val="Compact"/>
              <w:jc w:val="left"/>
            </w:pPr>
            <w:r>
              <w:t xml:space="preserve">Nasdaq listing; offering of 2.975M shares at $11.00 plus 3.025M pre-funded warrants at $10.99,</w:t>
            </w:r>
            <w:r>
              <w:t xml:space="preserve"> </w:t>
            </w:r>
            <w:r>
              <w:rPr>
                <w:bCs/>
                <w:b/>
              </w:rPr>
              <w:t xml:space="preserve">$58.3M net</w:t>
            </w:r>
            <w:r>
              <w:t xml:space="preserve"> </w:t>
            </w:r>
            <w:r>
              <w:t xml:space="preserve">(Leerink, Guggenheim)</w:t>
            </w:r>
          </w:p>
        </w:tc>
        <w:tc>
          <w:tcPr/>
          <w:p>
            <w:pPr>
              <w:pStyle w:val="Compact"/>
              <w:jc w:val="left"/>
            </w:pPr>
            <w:r>
              <w:t xml:space="preserve">424B4</w:t>
            </w:r>
          </w:p>
        </w:tc>
      </w:tr>
      <w:tr>
        <w:tc>
          <w:tcPr/>
          <w:p>
            <w:pPr>
              <w:pStyle w:val="Compact"/>
              <w:jc w:val="left"/>
            </w:pPr>
            <w:r>
              <w:t xml:space="preserve">2026-08-11</w:t>
            </w:r>
          </w:p>
        </w:tc>
        <w:tc>
          <w:tcPr/>
          <w:p>
            <w:pPr>
              <w:pStyle w:val="Compact"/>
              <w:jc w:val="left"/>
            </w:pPr>
            <w:r>
              <w:t xml:space="preserve">Q2 10-Q drops the going-concern language</w:t>
            </w:r>
          </w:p>
        </w:tc>
        <w:tc>
          <w:tcPr/>
          <w:p>
            <w:pPr>
              <w:pStyle w:val="Compact"/>
              <w:jc w:val="left"/>
            </w:pPr>
            <w:r>
              <w:t xml:space="preserve">10-Q</w:t>
            </w:r>
          </w:p>
        </w:tc>
      </w:tr>
      <w:tr>
        <w:tc>
          <w:tcPr/>
          <w:p>
            <w:pPr>
              <w:pStyle w:val="Compact"/>
              <w:jc w:val="left"/>
            </w:pPr>
            <w:r>
              <w:rPr>
                <w:bCs/>
                <w:b/>
              </w:rPr>
              <w:t xml:space="preserve">2026-09-18</w:t>
            </w:r>
          </w:p>
        </w:tc>
        <w:tc>
          <w:tcPr/>
          <w:p>
            <w:pPr>
              <w:pStyle w:val="Compact"/>
              <w:jc w:val="left"/>
            </w:pPr>
            <w:r>
              <w:rPr>
                <w:bCs/>
                <w:b/>
              </w:rPr>
              <w:t xml:space="preserve">Resale S-1 effective: 4,973,204 shares registered for Domicilium and Coastlands</w:t>
            </w:r>
          </w:p>
        </w:tc>
        <w:tc>
          <w:tcPr/>
          <w:p>
            <w:pPr>
              <w:pStyle w:val="Compact"/>
              <w:jc w:val="left"/>
            </w:pPr>
            <w:r>
              <w:t xml:space="preserve">S-1, EFFECT</w:t>
            </w:r>
          </w:p>
        </w:tc>
      </w:tr>
    </w:tbl>
    <w:p>
      <w:pPr>
        <w:pStyle w:val="BodyText"/>
      </w:pPr>
      <w:r>
        <w:t xml:space="preserve">The pre-split OTC price was $0.084 on 2026-04-17, about $0.92 adjusted for the split (</w:t>
      </w:r>
      <w:r>
        <w:rPr>
          <w:iCs/>
          <w:i/>
        </w:rPr>
        <w:t xml:space="preserve">computed</w:t>
      </w:r>
      <w:r>
        <w:t xml:space="preserve">).</w:t>
      </w:r>
    </w:p>
    <w:bookmarkEnd w:id="23"/>
    <w:bookmarkStart w:id="24" w:name="X00f8d97f46e0481869dc7120f3f821ef4512ad6"/>
    <w:p>
      <w:pPr>
        <w:pStyle w:val="Heading2"/>
      </w:pPr>
      <w:r>
        <w:t xml:space="preserve">3. The catalyst</w:t>
      </w:r>
    </w:p>
    <w:p>
      <w:pPr>
        <w:numPr>
          <w:ilvl w:val="0"/>
          <w:numId w:val="1003"/>
        </w:numPr>
        <w:pStyle w:val="Compact"/>
      </w:pPr>
      <w:r>
        <w:rPr>
          <w:bCs/>
          <w:b/>
        </w:rPr>
        <w:t xml:space="preserve">Drug:</w:t>
      </w:r>
      <w:r>
        <w:t xml:space="preserve"> </w:t>
      </w:r>
      <w:r>
        <w:t xml:space="preserve">exaluren (formerly ELX-02), a ribosomal read-through agent for</w:t>
      </w:r>
      <w:r>
        <w:t xml:space="preserve"> </w:t>
      </w:r>
      <w:r>
        <w:rPr>
          <w:bCs/>
          <w:b/>
        </w:rPr>
        <w:t xml:space="preserve">nonsense-mutation</w:t>
      </w:r>
      <w:r>
        <w:t xml:space="preserve"> </w:t>
      </w:r>
      <w:r>
        <w:t xml:space="preserve">genetic disease. Main patent expires 2031 (10-K).</w:t>
      </w:r>
    </w:p>
    <w:p>
      <w:pPr>
        <w:numPr>
          <w:ilvl w:val="0"/>
          <w:numId w:val="1003"/>
        </w:numPr>
        <w:pStyle w:val="Compact"/>
      </w:pPr>
      <w:r>
        <w:rPr>
          <w:bCs/>
          <w:b/>
        </w:rPr>
        <w:t xml:space="preserve">Trial:</w:t>
      </w:r>
      <w:r>
        <w:t xml:space="preserve"> </w:t>
      </w:r>
      <w:r>
        <w:t xml:space="preserve">EXACT, NCT07523581. Phase 2b,</w:t>
      </w:r>
      <w:r>
        <w:t xml:space="preserve"> </w:t>
      </w:r>
      <w:r>
        <w:rPr>
          <w:bCs/>
          <w:b/>
        </w:rPr>
        <w:t xml:space="preserve">24 patients</w:t>
      </w:r>
      <w:r>
        <w:t xml:space="preserve">, randomized, quadruple-masked, placebo-controlled, sequential design, 11 sites in the US and UK. Started 2026-06-30. Primary completion 2027-06-30 (estimated);</w:t>
      </w:r>
      <w:r>
        <w:t xml:space="preserve"> </w:t>
      </w:r>
      <w:r>
        <w:rPr>
          <w:bCs/>
          <w:b/>
        </w:rPr>
        <w:t xml:space="preserve">topline mid-2027</w:t>
      </w:r>
      <w:r>
        <w:t xml:space="preserve">, final readout by end of 2027 (S-1).</w:t>
      </w:r>
    </w:p>
    <w:p>
      <w:pPr>
        <w:numPr>
          <w:ilvl w:val="0"/>
          <w:numId w:val="1003"/>
        </w:numPr>
        <w:pStyle w:val="Compact"/>
      </w:pPr>
      <w:r>
        <w:rPr>
          <w:bCs/>
          <w:b/>
        </w:rPr>
        <w:t xml:space="preserve">Primary endpoint:</w:t>
      </w:r>
      <w:r>
        <w:t xml:space="preserve"> </w:t>
      </w:r>
      <w:r>
        <w:t xml:space="preserve">change in</w:t>
      </w:r>
      <w:r>
        <w:t xml:space="preserve"> </w:t>
      </w:r>
      <w:r>
        <w:rPr>
          <w:bCs/>
          <w:b/>
        </w:rPr>
        <w:t xml:space="preserve">filtration slit density (FSD) on kidney biopsy</w:t>
      </w:r>
      <w:r>
        <w:t xml:space="preserve"> </w:t>
      </w:r>
      <w:r>
        <w:t xml:space="preserve">at week 16 and week 32. Two primary endpoints, with no multiplicity terms in the registration.</w:t>
      </w:r>
    </w:p>
    <w:p>
      <w:pPr>
        <w:numPr>
          <w:ilvl w:val="0"/>
          <w:numId w:val="1003"/>
        </w:numPr>
        <w:pStyle w:val="Compact"/>
      </w:pPr>
      <w:r>
        <w:rPr>
          <w:bCs/>
          <w:b/>
        </w:rPr>
        <w:t xml:space="preserve">Regulatory status of that endpoint, in the company's words:</w:t>
      </w:r>
      <w:r>
        <w:t xml:space="preserve"> </w:t>
      </w:r>
      <w:r>
        <w:t xml:space="preserve">"FSD has not been validated as a surrogate endpoint for clinical benefit in AS, and regulatory authorities have not determined that changes in FSD are sufficient to support approval." The FDA</w:t>
      </w:r>
      <w:r>
        <w:t xml:space="preserve"> </w:t>
      </w:r>
      <w:r>
        <w:rPr>
          <w:bCs/>
          <w:b/>
        </w:rPr>
        <w:t xml:space="preserve">did not support</w:t>
      </w:r>
      <w:r>
        <w:t xml:space="preserve"> </w:t>
      </w:r>
      <w:r>
        <w:t xml:space="preserve">repeat biopsies in US pediatric patients (10-K Item 1A). An FDA working group (ASSENT) is reviewing new Alport surrogate endpoints (10-K).</w:t>
      </w:r>
    </w:p>
    <w:p>
      <w:pPr>
        <w:numPr>
          <w:ilvl w:val="0"/>
          <w:numId w:val="1003"/>
        </w:numPr>
        <w:pStyle w:val="Compact"/>
      </w:pPr>
      <w:r>
        <w:rPr>
          <w:bCs/>
          <w:b/>
        </w:rPr>
        <w:t xml:space="preserve">Start date slipped:</w:t>
      </w:r>
      <w:r>
        <w:t xml:space="preserve"> </w:t>
      </w:r>
      <w:r>
        <w:t xml:space="preserve">from the first half of 2026 to Q3 2026 (10-Q).</w:t>
      </w:r>
    </w:p>
    <w:p>
      <w:pPr>
        <w:numPr>
          <w:ilvl w:val="0"/>
          <w:numId w:val="1003"/>
        </w:numPr>
        <w:pStyle w:val="Compact"/>
      </w:pPr>
      <w:r>
        <w:rPr>
          <w:bCs/>
          <w:b/>
        </w:rPr>
        <w:t xml:space="preserve">Prior human data in Alport syndrome:</w:t>
      </w:r>
      <w:r>
        <w:t xml:space="preserve"> </w:t>
      </w:r>
      <w:r>
        <w:t xml:space="preserve">NCT05448755, open-label,</w:t>
      </w:r>
      <w:r>
        <w:t xml:space="preserve"> </w:t>
      </w:r>
      <w:r>
        <w:rPr>
          <w:bCs/>
          <w:b/>
        </w:rPr>
        <w:t xml:space="preserve">3 patients</w:t>
      </w:r>
      <w:r>
        <w:t xml:space="preserve">, 60 days, results posted on CT.gov.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Patient</w:t>
            </w:r>
          </w:p>
        </w:tc>
        <w:tc>
          <w:tcPr/>
          <w:p>
            <w:pPr>
              <w:pStyle w:val="Compact"/>
              <w:jc w:val="left"/>
            </w:pPr>
            <w:r>
              <w:t xml:space="preserve">Proteinuria (UPCR) baseline → end, mg/g</w:t>
            </w:r>
          </w:p>
        </w:tc>
        <w:tc>
          <w:tcPr/>
          <w:p>
            <w:pPr>
              <w:pStyle w:val="Compact"/>
              <w:jc w:val="left"/>
            </w:pPr>
            <w:r>
              <w:t xml:space="preserve">Collagen IV α3/α4 change</w:t>
            </w:r>
          </w:p>
        </w:tc>
        <w:tc>
          <w:tcPr/>
          <w:p>
            <w:pPr>
              <w:pStyle w:val="Compact"/>
              <w:jc w:val="left"/>
            </w:pPr>
            <w:r>
              <w:t xml:space="preserve">FSD change (µm⁻¹)</w:t>
            </w:r>
          </w:p>
        </w:tc>
      </w:tr>
      <w:tr>
        <w:tc>
          <w:tcPr/>
          <w:p>
            <w:pPr>
              <w:pStyle w:val="Compact"/>
              <w:jc w:val="left"/>
            </w:pPr>
            <w:r>
              <w:t xml:space="preserve">1</w:t>
            </w:r>
          </w:p>
        </w:tc>
        <w:tc>
          <w:tcPr/>
          <w:p>
            <w:pPr>
              <w:pStyle w:val="Compact"/>
              <w:jc w:val="left"/>
            </w:pPr>
            <w:r>
              <w:t xml:space="preserve">1,299.5 →</w:t>
            </w:r>
            <w:r>
              <w:t xml:space="preserve"> </w:t>
            </w:r>
            <w:r>
              <w:rPr>
                <w:bCs/>
                <w:b/>
              </w:rPr>
              <w:t xml:space="preserve">2,465.7</w:t>
            </w:r>
          </w:p>
        </w:tc>
        <w:tc>
          <w:tcPr/>
          <w:p>
            <w:pPr>
              <w:pStyle w:val="Compact"/>
              <w:jc w:val="left"/>
            </w:pPr>
            <w:r>
              <w:t xml:space="preserve">+38.5%</w:t>
            </w:r>
          </w:p>
        </w:tc>
        <w:tc>
          <w:tcPr/>
          <w:p>
            <w:pPr>
              <w:pStyle w:val="Compact"/>
              <w:jc w:val="left"/>
            </w:pPr>
            <w:r>
              <w:t xml:space="preserve">+0.496</w:t>
            </w:r>
          </w:p>
        </w:tc>
      </w:tr>
      <w:tr>
        <w:tc>
          <w:tcPr/>
          <w:p>
            <w:pPr>
              <w:pStyle w:val="Compact"/>
              <w:jc w:val="left"/>
            </w:pPr>
            <w:r>
              <w:t xml:space="preserve">2</w:t>
            </w:r>
          </w:p>
        </w:tc>
        <w:tc>
          <w:tcPr/>
          <w:p>
            <w:pPr>
              <w:pStyle w:val="Compact"/>
              <w:jc w:val="left"/>
            </w:pPr>
            <w:r>
              <w:t xml:space="preserve">1,646.3 →</w:t>
            </w:r>
            <w:r>
              <w:t xml:space="preserve"> </w:t>
            </w:r>
            <w:r>
              <w:rPr>
                <w:bCs/>
                <w:b/>
              </w:rPr>
              <w:t xml:space="preserve">1,028.1</w:t>
            </w:r>
          </w:p>
        </w:tc>
        <w:tc>
          <w:tcPr/>
          <w:p>
            <w:pPr>
              <w:pStyle w:val="Compact"/>
              <w:jc w:val="left"/>
            </w:pPr>
            <w:r>
              <w:t xml:space="preserve">+8.3%</w:t>
            </w:r>
          </w:p>
        </w:tc>
        <w:tc>
          <w:tcPr/>
          <w:p>
            <w:pPr>
              <w:pStyle w:val="Compact"/>
              <w:jc w:val="left"/>
            </w:pPr>
            <w:r>
              <w:t xml:space="preserve">+0.207</w:t>
            </w:r>
          </w:p>
        </w:tc>
      </w:tr>
      <w:tr>
        <w:tc>
          <w:tcPr/>
          <w:p>
            <w:pPr>
              <w:pStyle w:val="Compact"/>
              <w:jc w:val="left"/>
            </w:pPr>
            <w:r>
              <w:t xml:space="preserve">3</w:t>
            </w:r>
          </w:p>
        </w:tc>
        <w:tc>
          <w:tcPr/>
          <w:p>
            <w:pPr>
              <w:pStyle w:val="Compact"/>
              <w:jc w:val="left"/>
            </w:pPr>
            <w:r>
              <w:t xml:space="preserve">1,645.3 →</w:t>
            </w:r>
            <w:r>
              <w:t xml:space="preserve"> </w:t>
            </w:r>
            <w:r>
              <w:rPr>
                <w:bCs/>
                <w:b/>
              </w:rPr>
              <w:t xml:space="preserve">2,634.7</w:t>
            </w:r>
          </w:p>
        </w:tc>
        <w:tc>
          <w:tcPr/>
          <w:p>
            <w:pPr>
              <w:pStyle w:val="Compact"/>
              <w:jc w:val="left"/>
            </w:pPr>
            <w:r>
              <w:t xml:space="preserve">+170.8%</w:t>
            </w:r>
          </w:p>
        </w:tc>
        <w:tc>
          <w:tcPr/>
          <w:p>
            <w:pPr>
              <w:pStyle w:val="Compact"/>
              <w:jc w:val="left"/>
            </w:pPr>
            <w:r>
              <w:t xml:space="preserve">+0.931</w:t>
            </w:r>
          </w:p>
        </w:tc>
      </w:tr>
    </w:tbl>
    <w:p>
      <w:pPr>
        <w:pStyle w:val="BodyText"/>
      </w:pPr>
      <w:r>
        <w:t xml:space="preserve">In that pilot, the biopsy measures rose in all 3 patients, while proteinuria rose in 2 of the 3. There were no serious adverse events; reported side effects included headache (2), injection-site erythema (2) and oropharyngeal pain (2).</w:t>
      </w:r>
    </w:p>
    <w:p>
      <w:pPr>
        <w:numPr>
          <w:ilvl w:val="0"/>
          <w:numId w:val="1004"/>
        </w:numPr>
        <w:pStyle w:val="Compact"/>
      </w:pPr>
      <w:r>
        <w:rPr>
          <w:bCs/>
          <w:b/>
        </w:rPr>
        <w:t xml:space="preserve">Other programs:</w:t>
      </w:r>
    </w:p>
    <w:p>
      <w:pPr>
        <w:numPr>
          <w:ilvl w:val="1"/>
          <w:numId w:val="1005"/>
        </w:numPr>
        <w:pStyle w:val="Compact"/>
      </w:pPr>
      <w:r>
        <w:t xml:space="preserve">Cystic fibrosis (G542X): two Phase 2 trials completed in 2022,</w:t>
      </w:r>
      <w:r>
        <w:t xml:space="preserve"> </w:t>
      </w:r>
      <w:r>
        <w:rPr>
          <w:bCs/>
          <w:b/>
        </w:rPr>
        <w:t xml:space="preserve">no results posted</w:t>
      </w:r>
      <w:r>
        <w:t xml:space="preserve"> </w:t>
      </w:r>
      <w:r>
        <w:t xml:space="preserve">on CT.gov.</w:t>
      </w:r>
    </w:p>
    <w:p>
      <w:pPr>
        <w:numPr>
          <w:ilvl w:val="1"/>
          <w:numId w:val="1005"/>
        </w:numPr>
        <w:pStyle w:val="Compact"/>
      </w:pPr>
      <w:r>
        <w:t xml:space="preserve">Cystinosis: Phase 2 terminated after 3 patients ("study design limitations").</w:t>
      </w:r>
    </w:p>
    <w:p>
      <w:pPr>
        <w:numPr>
          <w:ilvl w:val="1"/>
          <w:numId w:val="1005"/>
        </w:numPr>
        <w:pStyle w:val="Compact"/>
      </w:pPr>
      <w:r>
        <w:t xml:space="preserve">nmADPKD: Phase 2 planned for 2027, topline mid-2028.</w:t>
      </w:r>
    </w:p>
    <w:p>
      <w:pPr>
        <w:numPr>
          <w:ilvl w:val="1"/>
          <w:numId w:val="1005"/>
        </w:numPr>
        <w:pStyle w:val="Compact"/>
      </w:pPr>
      <w:r>
        <w:t xml:space="preserve">ZKN-013: Phase 1 with Almirall (terminable on 90 days' notice).</w:t>
      </w:r>
    </w:p>
    <w:bookmarkEnd w:id="24"/>
    <w:bookmarkStart w:id="25" w:name="X946fad789a58f08180ad9ba85b1a9152f34e9b5"/>
    <w:p>
      <w:pPr>
        <w:pStyle w:val="Heading2"/>
      </w:pPr>
      <w:r>
        <w:t xml:space="preserve">4. Supply and dilution</w:t>
      </w:r>
    </w:p>
    <w:p>
      <w:pPr>
        <w:numPr>
          <w:ilvl w:val="0"/>
          <w:numId w:val="1006"/>
        </w:numPr>
        <w:pStyle w:val="Compact"/>
      </w:pPr>
      <w:r>
        <w:rPr>
          <w:bCs/>
          <w:b/>
        </w:rPr>
        <w:t xml:space="preserve">Resale overhang:</w:t>
      </w:r>
      <w:r>
        <w:t xml:space="preserve"> </w:t>
      </w:r>
      <w:r>
        <w:rPr>
          <w:bCs/>
          <w:b/>
        </w:rPr>
        <w:t xml:space="preserve">4,973,204 shares</w:t>
      </w:r>
      <w:r>
        <w:t xml:space="preserve"> </w:t>
      </w:r>
      <w:r>
        <w:t xml:space="preserve">registered for resale since 9/18/26.</w:t>
      </w:r>
    </w:p>
    <w:p>
      <w:pPr>
        <w:numPr>
          <w:ilvl w:val="1"/>
          <w:numId w:val="1007"/>
        </w:numPr>
        <w:pStyle w:val="Compact"/>
      </w:pPr>
      <w:r>
        <w:t xml:space="preserve">That is 123% of common shares, 44% of common plus pre-funded warrants, and about</w:t>
      </w:r>
      <w:r>
        <w:t xml:space="preserve"> </w:t>
      </w:r>
      <w:r>
        <w:rPr>
          <w:bCs/>
          <w:b/>
        </w:rPr>
        <w:t xml:space="preserve">181 days</w:t>
      </w:r>
      <w:r>
        <w:t xml:space="preserve"> </w:t>
      </w:r>
      <w:r>
        <w:t xml:space="preserve">of current volume (</w:t>
      </w:r>
      <w:r>
        <w:rPr>
          <w:iCs/>
          <w:i/>
        </w:rPr>
        <w:t xml:space="preserve">computed</w:t>
      </w:r>
      <w:r>
        <w:t xml:space="preserve">).</w:t>
      </w:r>
    </w:p>
    <w:p>
      <w:pPr>
        <w:numPr>
          <w:ilvl w:val="1"/>
          <w:numId w:val="1007"/>
        </w:numPr>
        <w:pStyle w:val="Compact"/>
      </w:pPr>
      <w:r>
        <w:t xml:space="preserve">The holders paid</w:t>
      </w:r>
      <w:r>
        <w:t xml:space="preserve"> </w:t>
      </w:r>
      <w:r>
        <w:rPr>
          <w:bCs/>
          <w:b/>
        </w:rPr>
        <w:t xml:space="preserve">$5.39</w:t>
      </w:r>
      <w:r>
        <w:t xml:space="preserve"> </w:t>
      </w:r>
      <w:r>
        <w:t xml:space="preserve">per share, 2.6x below today's price.</w:t>
      </w:r>
    </w:p>
    <w:p>
      <w:pPr>
        <w:numPr>
          <w:ilvl w:val="1"/>
          <w:numId w:val="1007"/>
        </w:numPr>
        <w:pStyle w:val="Compact"/>
      </w:pPr>
      <w:r>
        <w:t xml:space="preserve">Only ownership caps limit selling: Domicilium 19.99%, Coastlands 9.99%.</w:t>
      </w:r>
    </w:p>
    <w:p>
      <w:pPr>
        <w:numPr>
          <w:ilvl w:val="1"/>
          <w:numId w:val="1007"/>
        </w:numPr>
        <w:pStyle w:val="Compact"/>
      </w:pPr>
      <w:r>
        <w:t xml:space="preserve">A clause in the amended warrants lets holders swap exercised shares back into warrants after 15 days (S-1).</w:t>
      </w:r>
    </w:p>
    <w:p>
      <w:pPr>
        <w:numPr>
          <w:ilvl w:val="0"/>
          <w:numId w:val="1006"/>
        </w:numPr>
        <w:pStyle w:val="Compact"/>
      </w:pPr>
      <w:r>
        <w:rPr>
          <w:bCs/>
          <w:b/>
        </w:rPr>
        <w:t xml:space="preserve">The 90-day offering lock-up expired about 2026-09-06</w:t>
      </w:r>
      <w:r>
        <w:t xml:space="preserve"> </w:t>
      </w:r>
      <w:r>
        <w:t xml:space="preserve">(</w:t>
      </w:r>
      <w:r>
        <w:rPr>
          <w:iCs/>
          <w:i/>
        </w:rPr>
        <w:t xml:space="preserve">computed</w:t>
      </w:r>
      <w:r>
        <w:t xml:space="preserve">).</w:t>
      </w:r>
    </w:p>
    <w:p>
      <w:pPr>
        <w:numPr>
          <w:ilvl w:val="0"/>
          <w:numId w:val="1006"/>
        </w:numPr>
        <w:pStyle w:val="Compact"/>
      </w:pPr>
      <w:r>
        <w:rPr>
          <w:bCs/>
          <w:b/>
        </w:rPr>
        <w:t xml:space="preserve">Equity plan:</w:t>
      </w:r>
      <w:r>
        <w:t xml:space="preserve"> </w:t>
      </w:r>
      <w:r>
        <w:t xml:space="preserve">685,613 shares available, plus a 5% annual top-up extended to 2036 (S-1, 14C).</w:t>
      </w:r>
    </w:p>
    <w:p>
      <w:pPr>
        <w:numPr>
          <w:ilvl w:val="0"/>
          <w:numId w:val="1006"/>
        </w:numPr>
        <w:pStyle w:val="Compact"/>
      </w:pPr>
      <w:r>
        <w:rPr>
          <w:bCs/>
          <w:b/>
        </w:rPr>
        <w:t xml:space="preserve">No S-3 shelf yet.</w:t>
      </w:r>
      <w:r>
        <w:t xml:space="preserve"> </w:t>
      </w:r>
      <w:r>
        <w:t xml:space="preserve">The company cannot use Form S-3 until it has a year of timely filings (S-1). New money therefore needs an S-1 or a private placement. Note: biocat's</w:t>
      </w:r>
      <w:r>
        <w:t xml:space="preserve"> </w:t>
      </w:r>
      <w:r>
        <w:rPr>
          <w:rStyle w:val="VerbatimChar"/>
        </w:rPr>
        <w:t xml:space="preserve">dilution_risk=True</w:t>
      </w:r>
      <w:r>
        <w:t xml:space="preserve"> </w:t>
      </w:r>
      <w:r>
        <w:t xml:space="preserve">flag counts filings that merely mention a shelf or ATM; it does not mean an effective shelf exists.</w:t>
      </w:r>
    </w:p>
    <w:p>
      <w:pPr>
        <w:numPr>
          <w:ilvl w:val="0"/>
          <w:numId w:val="1006"/>
        </w:numPr>
        <w:pStyle w:val="Compact"/>
      </w:pPr>
      <w:r>
        <w:rPr>
          <w:bCs/>
          <w:b/>
        </w:rPr>
        <w:t xml:space="preserve">Use of proceeds:</w:t>
      </w:r>
      <w:r>
        <w:t xml:space="preserve"> </w:t>
      </w:r>
      <w:r>
        <w:t xml:space="preserve">$13.2M for the Alport Phase 2b through topline; $19.2M for the nmADPKD Phase 2 (424B4).</w:t>
      </w:r>
    </w:p>
    <w:bookmarkEnd w:id="25"/>
    <w:bookmarkStart w:id="26" w:name="Xd219e31bf41f800c7bff16e9d639976386616ce"/>
    <w:p>
      <w:pPr>
        <w:pStyle w:val="Heading2"/>
      </w:pPr>
      <w:r>
        <w:t xml:space="preserve">5. Who owns it (latest 13G filings)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Holder</w:t>
            </w:r>
          </w:p>
        </w:tc>
        <w:tc>
          <w:tcPr/>
          <w:p>
            <w:pPr>
              <w:pStyle w:val="Compact"/>
              <w:jc w:val="left"/>
            </w:pPr>
            <w:r>
              <w:t xml:space="preserve">%</w:t>
            </w:r>
          </w:p>
        </w:tc>
        <w:tc>
          <w:tcPr/>
          <w:p>
            <w:pPr>
              <w:pStyle w:val="Compact"/>
              <w:jc w:val="left"/>
            </w:pPr>
            <w:r>
              <w:t xml:space="preserve">Filed</w:t>
            </w:r>
          </w:p>
        </w:tc>
      </w:tr>
      <w:tr>
        <w:tc>
          <w:tcPr/>
          <w:p>
            <w:pPr>
              <w:pStyle w:val="Compact"/>
              <w:jc w:val="left"/>
            </w:pPr>
            <w:r>
              <w:t xml:space="preserve">Domicilium (lender turned investor)</w:t>
            </w:r>
          </w:p>
        </w:tc>
        <w:tc>
          <w:tcPr/>
          <w:p>
            <w:pPr>
              <w:pStyle w:val="Compact"/>
              <w:jc w:val="left"/>
            </w:pPr>
            <w:r>
              <w:t xml:space="preserve">19.99%</w:t>
            </w:r>
          </w:p>
        </w:tc>
        <w:tc>
          <w:tcPr/>
          <w:p>
            <w:pPr>
              <w:pStyle w:val="Compact"/>
              <w:jc w:val="left"/>
            </w:pPr>
            <w:r>
              <w:t xml:space="preserve">6/17/26</w:t>
            </w:r>
          </w:p>
        </w:tc>
      </w:tr>
      <w:tr>
        <w:tc>
          <w:tcPr/>
          <w:p>
            <w:pPr>
              <w:pStyle w:val="Compact"/>
              <w:jc w:val="left"/>
            </w:pPr>
            <w:r>
              <w:t xml:space="preserve">Coastlands</w:t>
            </w:r>
          </w:p>
        </w:tc>
        <w:tc>
          <w:tcPr/>
          <w:p>
            <w:pPr>
              <w:pStyle w:val="Compact"/>
              <w:jc w:val="left"/>
            </w:pPr>
            <w:r>
              <w:t xml:space="preserve">9.99%</w:t>
            </w:r>
          </w:p>
        </w:tc>
        <w:tc>
          <w:tcPr/>
          <w:p>
            <w:pPr>
              <w:pStyle w:val="Compact"/>
              <w:jc w:val="left"/>
            </w:pPr>
            <w:r>
              <w:t xml:space="preserve">6/17/26</w:t>
            </w:r>
          </w:p>
        </w:tc>
      </w:tr>
      <w:tr>
        <w:tc>
          <w:tcPr/>
          <w:p>
            <w:pPr>
              <w:pStyle w:val="Compact"/>
              <w:jc w:val="left"/>
            </w:pPr>
            <w:r>
              <w:t xml:space="preserve">EcoR1</w:t>
            </w:r>
          </w:p>
        </w:tc>
        <w:tc>
          <w:tcPr/>
          <w:p>
            <w:pPr>
              <w:pStyle w:val="Compact"/>
              <w:jc w:val="left"/>
            </w:pPr>
            <w:r>
              <w:t xml:space="preserve">9.9%</w:t>
            </w:r>
          </w:p>
        </w:tc>
        <w:tc>
          <w:tcPr/>
          <w:p>
            <w:pPr>
              <w:pStyle w:val="Compact"/>
              <w:jc w:val="left"/>
            </w:pPr>
            <w:r>
              <w:t xml:space="preserve">6/16/26</w:t>
            </w:r>
          </w:p>
        </w:tc>
      </w:tr>
      <w:tr>
        <w:tc>
          <w:tcPr/>
          <w:p>
            <w:pPr>
              <w:pStyle w:val="Compact"/>
              <w:jc w:val="left"/>
            </w:pPr>
            <w:r>
              <w:t xml:space="preserve">Stonepine</w:t>
            </w:r>
          </w:p>
        </w:tc>
        <w:tc>
          <w:tcPr/>
          <w:p>
            <w:pPr>
              <w:pStyle w:val="Compact"/>
              <w:jc w:val="left"/>
            </w:pPr>
            <w:r>
              <w:t xml:space="preserve">9.9%</w:t>
            </w:r>
          </w:p>
        </w:tc>
        <w:tc>
          <w:tcPr/>
          <w:p>
            <w:pPr>
              <w:pStyle w:val="Compact"/>
              <w:jc w:val="left"/>
            </w:pPr>
            <w:r>
              <w:t xml:space="preserve">6/16/26</w:t>
            </w:r>
          </w:p>
        </w:tc>
      </w:tr>
      <w:tr>
        <w:tc>
          <w:tcPr/>
          <w:p>
            <w:pPr>
              <w:pStyle w:val="Compact"/>
              <w:jc w:val="left"/>
            </w:pPr>
            <w:r>
              <w:t xml:space="preserve">Aberdeen</w:t>
            </w:r>
          </w:p>
        </w:tc>
        <w:tc>
          <w:tcPr/>
          <w:p>
            <w:pPr>
              <w:pStyle w:val="Compact"/>
              <w:jc w:val="left"/>
            </w:pPr>
            <w:r>
              <w:t xml:space="preserve">9.91%</w:t>
            </w:r>
          </w:p>
        </w:tc>
        <w:tc>
          <w:tcPr/>
          <w:p>
            <w:pPr>
              <w:pStyle w:val="Compact"/>
              <w:jc w:val="left"/>
            </w:pPr>
            <w:r>
              <w:t xml:space="preserve">7/27/26</w:t>
            </w:r>
          </w:p>
        </w:tc>
      </w:tr>
      <w:tr>
        <w:tc>
          <w:tcPr/>
          <w:p>
            <w:pPr>
              <w:pStyle w:val="Compact"/>
              <w:jc w:val="left"/>
            </w:pPr>
            <w:r>
              <w:t xml:space="preserve">Nantahala</w:t>
            </w:r>
          </w:p>
        </w:tc>
        <w:tc>
          <w:tcPr/>
          <w:p>
            <w:pPr>
              <w:pStyle w:val="Compact"/>
              <w:jc w:val="left"/>
            </w:pPr>
            <w:r>
              <w:t xml:space="preserve">9.91%</w:t>
            </w:r>
          </w:p>
        </w:tc>
        <w:tc>
          <w:tcPr/>
          <w:p>
            <w:pPr>
              <w:pStyle w:val="Compact"/>
              <w:jc w:val="left"/>
            </w:pPr>
            <w:r>
              <w:t xml:space="preserve">8/14/26</w:t>
            </w:r>
          </w:p>
        </w:tc>
      </w:tr>
      <w:tr>
        <w:tc>
          <w:tcPr/>
          <w:p>
            <w:pPr>
              <w:pStyle w:val="Compact"/>
              <w:jc w:val="left"/>
            </w:pPr>
            <w:r>
              <w:t xml:space="preserve">Invus</w:t>
            </w:r>
          </w:p>
        </w:tc>
        <w:tc>
          <w:tcPr/>
          <w:p>
            <w:pPr>
              <w:pStyle w:val="Compact"/>
              <w:jc w:val="left"/>
            </w:pPr>
            <w:r>
              <w:t xml:space="preserve">8.8%</w:t>
            </w:r>
          </w:p>
        </w:tc>
        <w:tc>
          <w:tcPr/>
          <w:p>
            <w:pPr>
              <w:pStyle w:val="Compact"/>
              <w:jc w:val="left"/>
            </w:pPr>
            <w:r>
              <w:t xml:space="preserve">6/15/26</w:t>
            </w:r>
          </w:p>
        </w:tc>
      </w:tr>
      <w:tr>
        <w:tc>
          <w:tcPr/>
          <w:p>
            <w:pPr>
              <w:pStyle w:val="Compact"/>
              <w:jc w:val="left"/>
            </w:pPr>
            <w:r>
              <w:t xml:space="preserve">Samsara</w:t>
            </w:r>
          </w:p>
        </w:tc>
        <w:tc>
          <w:tcPr/>
          <w:p>
            <w:pPr>
              <w:pStyle w:val="Compact"/>
              <w:jc w:val="left"/>
            </w:pPr>
            <w:r>
              <w:t xml:space="preserve">5.0%</w:t>
            </w:r>
          </w:p>
        </w:tc>
        <w:tc>
          <w:tcPr/>
          <w:p>
            <w:pPr>
              <w:pStyle w:val="Compact"/>
              <w:jc w:val="left"/>
            </w:pPr>
            <w:r>
              <w:t xml:space="preserve">8/14/26</w:t>
            </w:r>
          </w:p>
        </w:tc>
      </w:tr>
      <w:tr>
        <w:tc>
          <w:tcPr/>
          <w:p>
            <w:pPr>
              <w:pStyle w:val="Compact"/>
              <w:jc w:val="left"/>
            </w:pPr>
            <w:r>
              <w:t xml:space="preserve">CEO Sumit Aggarwal</w:t>
            </w:r>
          </w:p>
        </w:tc>
        <w:tc>
          <w:tcPr/>
          <w:p>
            <w:pPr>
              <w:pStyle w:val="Compact"/>
              <w:jc w:val="left"/>
            </w:pPr>
            <w:r>
              <w:t xml:space="preserve">~5.3% after the offering (24.1% at the 14C record date)</w:t>
            </w:r>
          </w:p>
        </w:tc>
        <w:tc>
          <w:tcPr/>
          <w:p>
            <w:pPr>
              <w:pStyle w:val="Compact"/>
              <w:jc w:val="left"/>
            </w:pPr>
            <w:r>
              <w:t xml:space="preserve">S-1</w:t>
            </w:r>
          </w:p>
        </w:tc>
      </w:tr>
    </w:tbl>
    <w:p>
      <w:pPr>
        <w:pStyle w:val="BodyText"/>
      </w:pPr>
      <w:r>
        <w:rPr>
          <w:bCs/>
          <w:b/>
        </w:rPr>
        <w:t xml:space="preserve">Insider transactions:</w:t>
      </w:r>
      <w:r>
        <w:t xml:space="preserve"> </w:t>
      </w:r>
      <w:r>
        <w:t xml:space="preserve">no open-market buys or sells by insiders since 2025. Every Form 4 is a grant or exercise. Directors were granted options at $11.00 on 6/8/26; the CEO got 328,833 options at</w:t>
      </w:r>
      <w:r>
        <w:t xml:space="preserve"> </w:t>
      </w:r>
      <w:r>
        <w:rPr>
          <w:bCs/>
          <w:b/>
        </w:rPr>
        <w:t xml:space="preserve">$1.65</w:t>
      </w:r>
      <w:r>
        <w:t xml:space="preserve"> </w:t>
      </w:r>
      <w:r>
        <w:t xml:space="preserve">on 6/10/26, granted Sept 2025 with performance-based vesting.</w:t>
      </w:r>
    </w:p>
    <w:bookmarkEnd w:id="26"/>
    <w:bookmarkStart w:id="27" w:name="X8e4e37fbed3c88988ec0d33f91f1b1dda48b5a1"/>
    <w:p>
      <w:pPr>
        <w:pStyle w:val="Heading2"/>
      </w:pPr>
      <w:r>
        <w:t xml:space="preserve">6. Company-specific red flags (from the filings)</w:t>
      </w:r>
    </w:p>
    <w:p>
      <w:pPr>
        <w:numPr>
          <w:ilvl w:val="0"/>
          <w:numId w:val="1008"/>
        </w:numPr>
        <w:pStyle w:val="Compact"/>
      </w:pPr>
      <w:r>
        <w:t xml:space="preserve">Material weakness in internal controls not remediated; the CFO is an interim consultant (10-K, 10-Q).</w:t>
      </w:r>
    </w:p>
    <w:p>
      <w:pPr>
        <w:numPr>
          <w:ilvl w:val="0"/>
          <w:numId w:val="1008"/>
        </w:numPr>
        <w:pStyle w:val="Compact"/>
      </w:pPr>
      <w:r>
        <w:t xml:space="preserve">The cover-page box for timely filing of all required reports is checked</w:t>
      </w:r>
      <w:r>
        <w:t xml:space="preserve"> </w:t>
      </w:r>
      <w:r>
        <w:rPr>
          <w:bCs/>
          <w:b/>
        </w:rPr>
        <w:t xml:space="preserve">"No"</w:t>
      </w:r>
      <w:r>
        <w:t xml:space="preserve"> </w:t>
      </w:r>
      <w:r>
        <w:t xml:space="preserve">(10-Q).</w:t>
      </w:r>
    </w:p>
    <w:p>
      <w:pPr>
        <w:numPr>
          <w:ilvl w:val="0"/>
          <w:numId w:val="1008"/>
        </w:numPr>
        <w:pStyle w:val="Compact"/>
      </w:pPr>
      <w:r>
        <w:rPr>
          <w:bCs/>
          <w:b/>
        </w:rPr>
        <w:t xml:space="preserve">Inconsistencies across documents:</w:t>
      </w:r>
    </w:p>
    <w:p>
      <w:pPr>
        <w:numPr>
          <w:ilvl w:val="1"/>
          <w:numId w:val="1009"/>
        </w:numPr>
        <w:pStyle w:val="Compact"/>
      </w:pPr>
      <w:r>
        <w:t xml:space="preserve">The press release gives Q2 loss per share as $(0.39); its own table and the 10-Q give $(0.66).</w:t>
      </w:r>
    </w:p>
    <w:p>
      <w:pPr>
        <w:numPr>
          <w:ilvl w:val="1"/>
          <w:numId w:val="1009"/>
        </w:numPr>
        <w:pStyle w:val="Compact"/>
      </w:pPr>
      <w:r>
        <w:t xml:space="preserve">The press release claims EU orphan status for Alport syndrome; the 10-Q says the EU designation is for ADPKD.</w:t>
      </w:r>
    </w:p>
    <w:p>
      <w:pPr>
        <w:numPr>
          <w:ilvl w:val="1"/>
          <w:numId w:val="1009"/>
        </w:numPr>
        <w:pStyle w:val="Compact"/>
      </w:pPr>
      <w:r>
        <w:t xml:space="preserve">Pre-funded warrant totals differ by 2,040,816 shares between sections of the 10-K.</w:t>
      </w:r>
    </w:p>
    <w:p>
      <w:pPr>
        <w:numPr>
          <w:ilvl w:val="1"/>
          <w:numId w:val="1009"/>
        </w:numPr>
        <w:pStyle w:val="Compact"/>
      </w:pPr>
      <w:r>
        <w:t xml:space="preserve">The 10-K claims covenant compliance, while a May 2025 exhibit acknowledges loan defaults.</w:t>
      </w:r>
    </w:p>
    <w:p>
      <w:pPr>
        <w:numPr>
          <w:ilvl w:val="1"/>
          <w:numId w:val="1009"/>
        </w:numPr>
        <w:pStyle w:val="Compact"/>
      </w:pPr>
      <w:r>
        <w:t xml:space="preserve">The 14C, filed a day after the offering S-1, says there is "no plan" to issue stock.</w:t>
      </w:r>
    </w:p>
    <w:p>
      <w:pPr>
        <w:numPr>
          <w:ilvl w:val="0"/>
          <w:numId w:val="1008"/>
        </w:numPr>
        <w:pStyle w:val="Compact"/>
      </w:pPr>
      <w:r>
        <w:rPr>
          <w:bCs/>
          <w:b/>
        </w:rPr>
        <w:t xml:space="preserve">Missed CFF milestone:</w:t>
      </w:r>
      <w:r>
        <w:t xml:space="preserve"> </w:t>
      </w:r>
      <w:r>
        <w:t xml:space="preserve">a CFF royalty reduction required $15M raised by 2025-12-15. That was missed, and the deadline was moved retroactively in Feb 2026 (10-K exhibits).</w:t>
      </w:r>
    </w:p>
    <w:bookmarkEnd w:id="27"/>
    <w:bookmarkStart w:id="28" w:name="X291e6157bc02d611e0126d130733cb414c950f8"/>
    <w:p>
      <w:pPr>
        <w:pStyle w:val="Heading2"/>
      </w:pPr>
      <w:r>
        <w:t xml:space="preserve">7. Against your own screen rules (CLAUDE.md, track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ELOX</w:t>
            </w:r>
          </w:p>
        </w:tc>
        <w:tc>
          <w:tcPr/>
          <w:p>
            <w:pPr>
              <w:pStyle w:val="Compact"/>
              <w:jc w:val="left"/>
            </w:pPr>
            <w:r>
              <w:t xml:space="preserve">Result</w:t>
            </w:r>
          </w:p>
        </w:tc>
      </w:tr>
      <w:tr>
        <w:tc>
          <w:tcPr/>
          <w:p>
            <w:pPr>
              <w:pStyle w:val="Compact"/>
              <w:jc w:val="left"/>
            </w:pPr>
            <w:r>
              <w:t xml:space="preserve">Market cap $50M to $400M</w:t>
            </w:r>
          </w:p>
        </w:tc>
        <w:tc>
          <w:tcPr/>
          <w:p>
            <w:pPr>
              <w:pStyle w:val="Compact"/>
              <w:jc w:val="left"/>
            </w:pPr>
            <w:r>
              <w:t xml:space="preserve">$159M (with pre-funded warrants)</w:t>
            </w:r>
          </w:p>
        </w:tc>
        <w:tc>
          <w:tcPr/>
          <w:p>
            <w:pPr>
              <w:pStyle w:val="Compact"/>
              <w:jc w:val="left"/>
            </w:pPr>
            <w:r>
              <w:t xml:space="preserve">pass</w:t>
            </w:r>
          </w:p>
        </w:tc>
      </w:tr>
      <w:tr>
        <w:tc>
          <w:tcPr/>
          <w:p>
            <w:pPr>
              <w:pStyle w:val="Compact"/>
              <w:jc w:val="left"/>
            </w:pPr>
            <w:r>
              <w:t xml:space="preserve">Cash runway &gt; quarters to catalyst + 2</w:t>
            </w:r>
          </w:p>
        </w:tc>
        <w:tc>
          <w:tcPr/>
          <w:p>
            <w:pPr>
              <w:pStyle w:val="Compact"/>
              <w:jc w:val="left"/>
            </w:pPr>
            <w:r>
              <w:t xml:space="preserve">~12 quarters at the current burn vs 4.9 needed; company says mid-2028</w:t>
            </w:r>
          </w:p>
        </w:tc>
        <w:tc>
          <w:tcPr/>
          <w:p>
            <w:pPr>
              <w:pStyle w:val="Compact"/>
              <w:jc w:val="left"/>
            </w:pPr>
            <w:r>
              <w:t xml:space="preserve">pass (burn will rise with two trials funded)</w:t>
            </w:r>
          </w:p>
        </w:tc>
      </w:tr>
      <w:tr>
        <w:tc>
          <w:tcPr/>
          <w:p>
            <w:pPr>
              <w:pStyle w:val="Compact"/>
              <w:jc w:val="left"/>
            </w:pPr>
            <w:r>
              <w:t xml:space="preserve">Catalyst 3 to 12 months out</w:t>
            </w:r>
          </w:p>
        </w:tc>
        <w:tc>
          <w:tcPr/>
          <w:p>
            <w:pPr>
              <w:pStyle w:val="Compact"/>
              <w:jc w:val="left"/>
            </w:pPr>
            <w:r>
              <w:t xml:space="preserve">topline mid-2027, about 8.6 months</w:t>
            </w:r>
          </w:p>
        </w:tc>
        <w:tc>
          <w:tcPr/>
          <w:p>
            <w:pPr>
              <w:pStyle w:val="Compact"/>
              <w:jc w:val="left"/>
            </w:pPr>
            <w:r>
              <w:t xml:space="preserve">pass</w:t>
            </w:r>
          </w:p>
        </w:tc>
      </w:tr>
      <w:tr>
        <w:tc>
          <w:tcPr/>
          <w:p>
            <w:pPr>
              <w:pStyle w:val="Compact"/>
              <w:jc w:val="left"/>
            </w:pPr>
            <w:r>
              <w:rPr>
                <w:bCs/>
                <w:b/>
              </w:rPr>
              <w:t xml:space="preserve">No reverse split in 24 months</w:t>
            </w:r>
          </w:p>
        </w:tc>
        <w:tc>
          <w:tcPr/>
          <w:p>
            <w:pPr>
              <w:pStyle w:val="Compact"/>
              <w:jc w:val="left"/>
            </w:pPr>
            <w:r>
              <w:rPr>
                <w:bCs/>
                <w:b/>
              </w:rPr>
              <w:t xml:space="preserve">1-for-11 on 2026-05-29</w:t>
            </w:r>
          </w:p>
        </w:tc>
        <w:tc>
          <w:tcPr/>
          <w:p>
            <w:pPr>
              <w:pStyle w:val="Compact"/>
              <w:jc w:val="left"/>
            </w:pPr>
            <w:r>
              <w:rPr>
                <w:bCs/>
                <w:b/>
              </w:rPr>
              <w:t xml:space="preserve">FAIL</w:t>
            </w:r>
          </w:p>
        </w:tc>
      </w:tr>
      <w:tr>
        <w:tc>
          <w:tcPr/>
          <w:p>
            <w:pPr>
              <w:pStyle w:val="Compact"/>
              <w:jc w:val="left"/>
            </w:pPr>
            <w:r>
              <w:t xml:space="preserve">Average dollar volume &gt; $300k</w:t>
            </w:r>
          </w:p>
        </w:tc>
        <w:tc>
          <w:tcPr/>
          <w:p>
            <w:pPr>
              <w:pStyle w:val="Compact"/>
              <w:jc w:val="left"/>
            </w:pPr>
            <w:r>
              <w:t xml:space="preserve">$436k over 30 days, $368k in October</w:t>
            </w:r>
          </w:p>
        </w:tc>
        <w:tc>
          <w:tcPr/>
          <w:p>
            <w:pPr>
              <w:pStyle w:val="Compact"/>
              <w:jc w:val="left"/>
            </w:pPr>
            <w:r>
              <w:t xml:space="preserve">pass, falling</w:t>
            </w:r>
          </w:p>
        </w:tc>
      </w:tr>
    </w:tbl>
    <w:p>
      <w:pPr>
        <w:pStyle w:val="BodyText"/>
      </w:pPr>
      <w:r>
        <w:t xml:space="preserve">The screener originally passed ELOX by mistake because the price feed's history starts at the June listing. That has been fixed; ELOX now drops out of the screen.</w:t>
      </w:r>
    </w:p>
    <w:bookmarkEnd w:id="28"/>
    <w:bookmarkStart w:id="29" w:name="X2f6b17df1734a8d57038668feb4c37c54124127"/>
    <w:p>
      <w:pPr>
        <w:pStyle w:val="Heading2"/>
      </w:pPr>
      <w:r>
        <w:t xml:space="preserve">8. Questions to answer before deciding (where your clinical training matters)</w:t>
      </w:r>
    </w:p>
    <w:p>
      <w:pPr>
        <w:numPr>
          <w:ilvl w:val="0"/>
          <w:numId w:val="1010"/>
        </w:numPr>
        <w:pStyle w:val="Compact"/>
      </w:pPr>
      <w:r>
        <w:t xml:space="preserve">Is a biopsy FSD change at 16 and 32 weeks something that could ever support approval, or does approval need proteinuria or an eGFR slope? Check FDA Alport guidance and the ASSENT working group's output.</w:t>
      </w:r>
    </w:p>
    <w:p>
      <w:pPr>
        <w:numPr>
          <w:ilvl w:val="0"/>
          <w:numId w:val="1010"/>
        </w:numPr>
        <w:pStyle w:val="Compact"/>
      </w:pPr>
      <w:r>
        <w:t xml:space="preserve">What share of Alport patients carry nonsense mutations? That sets the addressable market, which you need for the implied-probability formula below.</w:t>
      </w:r>
    </w:p>
    <w:p>
      <w:pPr>
        <w:numPr>
          <w:ilvl w:val="0"/>
          <w:numId w:val="1010"/>
        </w:numPr>
        <w:pStyle w:val="Compact"/>
      </w:pPr>
      <w:r>
        <w:t xml:space="preserve">Would a positive FSD result coexist with rising proteinuria, as in 2 of the 3 pilot patients? Would the market care?</w:t>
      </w:r>
    </w:p>
    <w:p>
      <w:pPr>
        <w:numPr>
          <w:ilvl w:val="0"/>
          <w:numId w:val="1010"/>
        </w:numPr>
        <w:pStyle w:val="Compact"/>
      </w:pPr>
      <w:r>
        <w:t xml:space="preserve">Read-through drugs (ataluren is the main precedent) have a regulatory track record. What does it say about this class?</w:t>
      </w:r>
    </w:p>
    <w:p>
      <w:pPr>
        <w:numPr>
          <w:ilvl w:val="0"/>
          <w:numId w:val="1010"/>
        </w:numPr>
        <w:pStyle w:val="Compact"/>
      </w:pPr>
      <w:r>
        <w:t xml:space="preserve">With 24 patients and two co-primary endpoints, what effect size counts as a "win"? The registration states no statistical plan.</w:t>
      </w:r>
    </w:p>
    <w:bookmarkEnd w:id="29"/>
    <w:bookmarkStart w:id="30" w:name="X27aa85692d2ea8f7be94d523b7752ce36b1a8c3"/>
    <w:p>
      <w:pPr>
        <w:pStyle w:val="Heading2"/>
      </w:pPr>
      <w:r>
        <w:t xml:space="preserve">9. Thesis template (facts pre-filled; judgment fields left for you)</w:t>
      </w:r>
    </w:p>
    <w:p>
      <w:pPr>
        <w:pStyle w:val="SourceCode"/>
      </w:pPr>
      <w:r>
        <w:rPr>
          <w:rStyle w:val="VerbatimChar"/>
        </w:rPr>
        <w:t xml:space="preserve">TICKER:               ELOX</w:t>
      </w:r>
      <w:r>
        <w:br/>
      </w:r>
      <w:r>
        <w:rPr>
          <w:rStyle w:val="VerbatimChar"/>
        </w:rPr>
        <w:t xml:space="preserve">CATALYST + DATE:      EXACT (NCT07523581) Phase 2b topline, guided mid-2027</w:t>
      </w:r>
      <w:r>
        <w:br/>
      </w:r>
      <w:r>
        <w:rPr>
          <w:rStyle w:val="VerbatimChar"/>
        </w:rPr>
        <w:t xml:space="preserve">CLAIM:                ___ (one falsifiable sentence)</w:t>
      </w:r>
      <w:r>
        <w:br/>
      </w:r>
      <w:r>
        <w:rPr>
          <w:rStyle w:val="VerbatimChar"/>
        </w:rPr>
        <w:t xml:space="preserve">WHAT THE MARKET BELIEVES:  EV ~$97M on a single-asset Phase 2b</w:t>
      </w:r>
      <w:r>
        <w:br/>
      </w:r>
      <w:r>
        <w:rPr>
          <w:rStyle w:val="VerbatimChar"/>
        </w:rPr>
        <w:t xml:space="preserve">WHY I DISAGREE:       ___</w:t>
      </w:r>
      <w:r>
        <w:br/>
      </w:r>
      <w:r>
        <w:rPr>
          <w:rStyle w:val="VerbatimChar"/>
        </w:rPr>
        <w:t xml:space="preserve">WHAT WOULD PROVE ME WRONG: ___ (write before the event)</w:t>
      </w:r>
      <w:r>
        <w:br/>
      </w:r>
      <w:r>
        <w:rPr>
          <w:rStyle w:val="VerbatimChar"/>
        </w:rPr>
        <w:t xml:space="preserve">MY PROBABILITY:       ___%</w:t>
      </w:r>
      <w:r>
        <w:br/>
      </w:r>
      <w:r>
        <w:rPr>
          <w:rStyle w:val="VerbatimChar"/>
        </w:rPr>
        <w:t xml:space="preserve">MARKET-IMPLIED:       EV / (peak sales x 2-4) = $97M / (___ x 3) = ___%</w:t>
      </w:r>
      <w:r>
        <w:br/>
      </w:r>
      <w:r>
        <w:rPr>
          <w:rStyle w:val="VerbatimChar"/>
        </w:rPr>
        <w:t xml:space="preserve">POSITION / SIZE:      none, watching   (journal first: zero capital, six months)</w:t>
      </w:r>
    </w:p>
    <w:p>
      <w:pPr>
        <w:pStyle w:val="FirstParagraph"/>
      </w:pPr>
      <w:r>
        <w:t xml:space="preserve">Legal boundary: use only published sources like these. Nothing from your placement.</w:t>
      </w:r>
    </w:p>
    <w:bookmarkEnd w:id="30"/>
    <w:bookmarkStart w:id="51" w:name="Xfe09c4aa0c190c8f141d176869114decbac99bd"/>
    <w:p>
      <w:pPr>
        <w:pStyle w:val="Heading2"/>
      </w:pPr>
      <w:r>
        <w:t xml:space="preserve">10. Sources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Filed</w:t>
            </w:r>
          </w:p>
        </w:tc>
        <w:tc>
          <w:tcPr/>
          <w:p>
            <w:pPr>
              <w:pStyle w:val="Compact"/>
              <w:jc w:val="left"/>
            </w:pPr>
            <w:r>
              <w:t xml:space="preserve">Form</w:t>
            </w:r>
          </w:p>
        </w:tc>
        <w:tc>
          <w:tcPr/>
          <w:p>
            <w:pPr>
              <w:pStyle w:val="Compact"/>
              <w:jc w:val="left"/>
            </w:pPr>
            <w:r>
              <w:t xml:space="preserve">Document</w:t>
            </w:r>
          </w:p>
        </w:tc>
        <w:tc>
          <w:tcPr/>
          <w:p>
            <w:pPr>
              <w:pStyle w:val="Compact"/>
              <w:jc w:val="left"/>
            </w:pPr>
            <w:r>
              <w:t xml:space="preserve">Local copy</w:t>
            </w:r>
          </w:p>
        </w:tc>
      </w:tr>
      <w:tr>
        <w:tc>
          <w:tcPr/>
          <w:p>
            <w:pPr>
              <w:pStyle w:val="Compact"/>
              <w:jc w:val="left"/>
            </w:pPr>
            <w:r>
              <w:t xml:space="preserve">2026-09-11</w:t>
            </w:r>
          </w:p>
        </w:tc>
        <w:tc>
          <w:tcPr/>
          <w:p>
            <w:pPr>
              <w:pStyle w:val="Compact"/>
              <w:jc w:val="left"/>
            </w:pPr>
            <w:r>
              <w:t xml:space="preserve">S-1</w:t>
            </w:r>
          </w:p>
        </w:tc>
        <w:tc>
          <w:tcPr/>
          <w:p>
            <w:pPr>
              <w:pStyle w:val="Compact"/>
              <w:jc w:val="left"/>
            </w:pPr>
            <w:hyperlink r:id="rId31">
              <w:r>
                <w:rPr>
                  <w:rStyle w:val="Hyperlink"/>
                </w:rPr>
                <w:t xml:space="preserve">d152186ds1.htm</w:t>
              </w:r>
            </w:hyperlink>
          </w:p>
        </w:tc>
        <w:tc>
          <w:tcPr/>
          <w:p>
            <w:pPr>
              <w:pStyle w:val="Compact"/>
              <w:jc w:val="left"/>
            </w:pPr>
            <w:r>
              <w:rPr>
                <w:rStyle w:val="VerbatimChar"/>
              </w:rPr>
              <w:t xml:space="preserve">filings/2026-09-11_S-1_000119312526389422/</w:t>
            </w:r>
          </w:p>
        </w:tc>
      </w:tr>
      <w:tr>
        <w:tc>
          <w:tcPr/>
          <w:p>
            <w:pPr>
              <w:pStyle w:val="Compact"/>
              <w:jc w:val="left"/>
            </w:pPr>
            <w:r>
              <w:t xml:space="preserve">2026-08-11</w:t>
            </w:r>
          </w:p>
        </w:tc>
        <w:tc>
          <w:tcPr/>
          <w:p>
            <w:pPr>
              <w:pStyle w:val="Compact"/>
              <w:jc w:val="left"/>
            </w:pPr>
            <w:r>
              <w:t xml:space="preserve">8-K</w:t>
            </w:r>
          </w:p>
        </w:tc>
        <w:tc>
          <w:tcPr/>
          <w:p>
            <w:pPr>
              <w:pStyle w:val="Compact"/>
              <w:jc w:val="left"/>
            </w:pPr>
            <w:hyperlink r:id="rId32">
              <w:r>
                <w:rPr>
                  <w:rStyle w:val="Hyperlink"/>
                </w:rPr>
                <w:t xml:space="preserve">d167833d8k.htm</w:t>
              </w:r>
            </w:hyperlink>
          </w:p>
        </w:tc>
        <w:tc>
          <w:tcPr/>
          <w:p>
            <w:pPr>
              <w:pStyle w:val="Compact"/>
              <w:jc w:val="left"/>
            </w:pPr>
            <w:r>
              <w:rPr>
                <w:rStyle w:val="VerbatimChar"/>
              </w:rPr>
              <w:t xml:space="preserve">filings/2026-08-11_8-K_000119312526345032/</w:t>
            </w:r>
          </w:p>
        </w:tc>
      </w:tr>
      <w:tr>
        <w:tc>
          <w:tcPr/>
          <w:p>
            <w:pPr>
              <w:pStyle w:val="Compact"/>
              <w:jc w:val="left"/>
            </w:pPr>
            <w:r>
              <w:t xml:space="preserve">2026-08-11</w:t>
            </w:r>
          </w:p>
        </w:tc>
        <w:tc>
          <w:tcPr/>
          <w:p>
            <w:pPr>
              <w:pStyle w:val="Compact"/>
              <w:jc w:val="left"/>
            </w:pPr>
            <w:r>
              <w:t xml:space="preserve">10-Q</w:t>
            </w:r>
          </w:p>
        </w:tc>
        <w:tc>
          <w:tcPr/>
          <w:p>
            <w:pPr>
              <w:pStyle w:val="Compact"/>
              <w:jc w:val="left"/>
            </w:pPr>
            <w:hyperlink r:id="rId33">
              <w:r>
                <w:rPr>
                  <w:rStyle w:val="Hyperlink"/>
                </w:rPr>
                <w:t xml:space="preserve">elox-20260630.htm</w:t>
              </w:r>
            </w:hyperlink>
          </w:p>
        </w:tc>
        <w:tc>
          <w:tcPr/>
          <w:p>
            <w:pPr>
              <w:pStyle w:val="Compact"/>
              <w:jc w:val="left"/>
            </w:pPr>
            <w:r>
              <w:rPr>
                <w:rStyle w:val="VerbatimChar"/>
              </w:rPr>
              <w:t xml:space="preserve">filings/2026-08-11_10-Q_000119312526344964/</w:t>
            </w:r>
          </w:p>
        </w:tc>
      </w:tr>
      <w:tr>
        <w:tc>
          <w:tcPr/>
          <w:p>
            <w:pPr>
              <w:pStyle w:val="Compact"/>
              <w:jc w:val="left"/>
            </w:pPr>
            <w:r>
              <w:t xml:space="preserve">2026-06-09</w:t>
            </w:r>
          </w:p>
        </w:tc>
        <w:tc>
          <w:tcPr/>
          <w:p>
            <w:pPr>
              <w:pStyle w:val="Compact"/>
              <w:jc w:val="left"/>
            </w:pPr>
            <w:r>
              <w:t xml:space="preserve">424B4</w:t>
            </w:r>
          </w:p>
        </w:tc>
        <w:tc>
          <w:tcPr/>
          <w:p>
            <w:pPr>
              <w:pStyle w:val="Compact"/>
              <w:jc w:val="left"/>
            </w:pPr>
            <w:hyperlink r:id="rId34">
              <w:r>
                <w:rPr>
                  <w:rStyle w:val="Hyperlink"/>
                </w:rPr>
                <w:t xml:space="preserve">d35071d424b4.htm</w:t>
              </w:r>
            </w:hyperlink>
          </w:p>
        </w:tc>
        <w:tc>
          <w:tcPr/>
          <w:p>
            <w:pPr>
              <w:pStyle w:val="Compact"/>
              <w:jc w:val="left"/>
            </w:pPr>
            <w:r>
              <w:rPr>
                <w:rStyle w:val="VerbatimChar"/>
              </w:rPr>
              <w:t xml:space="preserve">filings/2026-06-09_424B4_000119312526263914/</w:t>
            </w:r>
          </w:p>
        </w:tc>
      </w:tr>
      <w:tr>
        <w:tc>
          <w:tcPr/>
          <w:p>
            <w:pPr>
              <w:pStyle w:val="Compact"/>
              <w:jc w:val="left"/>
            </w:pPr>
            <w:r>
              <w:t xml:space="preserve">2026-06-04</w:t>
            </w:r>
          </w:p>
        </w:tc>
        <w:tc>
          <w:tcPr/>
          <w:p>
            <w:pPr>
              <w:pStyle w:val="Compact"/>
              <w:jc w:val="left"/>
            </w:pPr>
            <w:r>
              <w:t xml:space="preserve">S-1/A</w:t>
            </w:r>
          </w:p>
        </w:tc>
        <w:tc>
          <w:tcPr/>
          <w:p>
            <w:pPr>
              <w:pStyle w:val="Compact"/>
              <w:jc w:val="left"/>
            </w:pPr>
            <w:hyperlink r:id="rId35">
              <w:r>
                <w:rPr>
                  <w:rStyle w:val="Hyperlink"/>
                </w:rPr>
                <w:t xml:space="preserve">d35071ds1a.htm</w:t>
              </w:r>
            </w:hyperlink>
          </w:p>
        </w:tc>
        <w:tc>
          <w:tcPr/>
          <w:p>
            <w:pPr>
              <w:pStyle w:val="Compact"/>
              <w:jc w:val="left"/>
            </w:pPr>
            <w:r>
              <w:rPr>
                <w:rStyle w:val="VerbatimChar"/>
              </w:rPr>
              <w:t xml:space="preserve">filings/2026-06-04_S-1-A_000119312526257750/</w:t>
            </w:r>
          </w:p>
        </w:tc>
      </w:tr>
      <w:tr>
        <w:tc>
          <w:tcPr/>
          <w:p>
            <w:pPr>
              <w:pStyle w:val="Compact"/>
              <w:jc w:val="left"/>
            </w:pPr>
            <w:r>
              <w:t xml:space="preserve">2026-06-01</w:t>
            </w:r>
          </w:p>
        </w:tc>
        <w:tc>
          <w:tcPr/>
          <w:p>
            <w:pPr>
              <w:pStyle w:val="Compact"/>
              <w:jc w:val="left"/>
            </w:pPr>
            <w:r>
              <w:t xml:space="preserve">8-A12B</w:t>
            </w:r>
          </w:p>
        </w:tc>
        <w:tc>
          <w:tcPr/>
          <w:p>
            <w:pPr>
              <w:pStyle w:val="Compact"/>
              <w:jc w:val="left"/>
            </w:pPr>
            <w:hyperlink r:id="rId36">
              <w:r>
                <w:rPr>
                  <w:rStyle w:val="Hyperlink"/>
                </w:rPr>
                <w:t xml:space="preserve">d75472d8a12b.htm</w:t>
              </w:r>
            </w:hyperlink>
          </w:p>
        </w:tc>
        <w:tc>
          <w:tcPr/>
          <w:p>
            <w:pPr>
              <w:pStyle w:val="Compact"/>
              <w:jc w:val="left"/>
            </w:pPr>
            <w:r>
              <w:rPr>
                <w:rStyle w:val="VerbatimChar"/>
              </w:rPr>
              <w:t xml:space="preserve">filings/2026-06-01_8-A12B_000119312526251780/</w:t>
            </w:r>
          </w:p>
        </w:tc>
      </w:tr>
      <w:tr>
        <w:tc>
          <w:tcPr/>
          <w:p>
            <w:pPr>
              <w:pStyle w:val="Compact"/>
              <w:jc w:val="left"/>
            </w:pPr>
            <w:r>
              <w:t xml:space="preserve">2026-06-01</w:t>
            </w:r>
          </w:p>
        </w:tc>
        <w:tc>
          <w:tcPr/>
          <w:p>
            <w:pPr>
              <w:pStyle w:val="Compact"/>
              <w:jc w:val="left"/>
            </w:pPr>
            <w:r>
              <w:t xml:space="preserve">S-1/A</w:t>
            </w:r>
          </w:p>
        </w:tc>
        <w:tc>
          <w:tcPr/>
          <w:p>
            <w:pPr>
              <w:pStyle w:val="Compact"/>
              <w:jc w:val="left"/>
            </w:pPr>
            <w:hyperlink r:id="rId37">
              <w:r>
                <w:rPr>
                  <w:rStyle w:val="Hyperlink"/>
                </w:rPr>
                <w:t xml:space="preserve">d35071ds1a.htm</w:t>
              </w:r>
            </w:hyperlink>
          </w:p>
        </w:tc>
        <w:tc>
          <w:tcPr/>
          <w:p>
            <w:pPr>
              <w:pStyle w:val="Compact"/>
              <w:jc w:val="left"/>
            </w:pPr>
            <w:r>
              <w:rPr>
                <w:rStyle w:val="VerbatimChar"/>
              </w:rPr>
              <w:t xml:space="preserve">filings/2026-06-01_S-1-A_000119312526251655/</w:t>
            </w:r>
          </w:p>
        </w:tc>
      </w:tr>
      <w:tr>
        <w:tc>
          <w:tcPr/>
          <w:p>
            <w:pPr>
              <w:pStyle w:val="Compact"/>
              <w:jc w:val="left"/>
            </w:pPr>
            <w:r>
              <w:t xml:space="preserve">2026-06-01</w:t>
            </w:r>
          </w:p>
        </w:tc>
        <w:tc>
          <w:tcPr/>
          <w:p>
            <w:pPr>
              <w:pStyle w:val="Compact"/>
              <w:jc w:val="left"/>
            </w:pPr>
            <w:r>
              <w:t xml:space="preserve">8-K</w:t>
            </w:r>
          </w:p>
        </w:tc>
        <w:tc>
          <w:tcPr/>
          <w:p>
            <w:pPr>
              <w:pStyle w:val="Compact"/>
              <w:jc w:val="left"/>
            </w:pPr>
            <w:hyperlink r:id="rId38">
              <w:r>
                <w:rPr>
                  <w:rStyle w:val="Hyperlink"/>
                </w:rPr>
                <w:t xml:space="preserve">d261568d8k.htm</w:t>
              </w:r>
            </w:hyperlink>
          </w:p>
        </w:tc>
        <w:tc>
          <w:tcPr/>
          <w:p>
            <w:pPr>
              <w:pStyle w:val="Compact"/>
              <w:jc w:val="left"/>
            </w:pPr>
            <w:r>
              <w:rPr>
                <w:rStyle w:val="VerbatimChar"/>
              </w:rPr>
              <w:t xml:space="preserve">filings/2026-06-01_8-K_000119312526249692/</w:t>
            </w:r>
          </w:p>
        </w:tc>
      </w:tr>
      <w:tr>
        <w:tc>
          <w:tcPr/>
          <w:p>
            <w:pPr>
              <w:pStyle w:val="Compact"/>
              <w:jc w:val="left"/>
            </w:pPr>
            <w:r>
              <w:t xml:space="preserve">2026-05-08</w:t>
            </w:r>
          </w:p>
        </w:tc>
        <w:tc>
          <w:tcPr/>
          <w:p>
            <w:pPr>
              <w:pStyle w:val="Compact"/>
              <w:jc w:val="left"/>
            </w:pPr>
            <w:r>
              <w:t xml:space="preserve">DEF 14C</w:t>
            </w:r>
          </w:p>
        </w:tc>
        <w:tc>
          <w:tcPr/>
          <w:p>
            <w:pPr>
              <w:pStyle w:val="Compact"/>
              <w:jc w:val="left"/>
            </w:pPr>
            <w:hyperlink r:id="rId39">
              <w:r>
                <w:rPr>
                  <w:rStyle w:val="Hyperlink"/>
                </w:rPr>
                <w:t xml:space="preserve">d125964ddef14c.htm</w:t>
              </w:r>
            </w:hyperlink>
          </w:p>
        </w:tc>
        <w:tc>
          <w:tcPr/>
          <w:p>
            <w:pPr>
              <w:pStyle w:val="Compact"/>
              <w:jc w:val="left"/>
            </w:pPr>
            <w:r>
              <w:rPr>
                <w:rStyle w:val="VerbatimChar"/>
              </w:rPr>
              <w:t xml:space="preserve">filings/2026-05-08_DEF_14C_000119312526214720/</w:t>
            </w:r>
          </w:p>
        </w:tc>
      </w:tr>
      <w:tr>
        <w:tc>
          <w:tcPr/>
          <w:p>
            <w:pPr>
              <w:pStyle w:val="Compact"/>
              <w:jc w:val="left"/>
            </w:pPr>
            <w:r>
              <w:t xml:space="preserve">2026-05-07</w:t>
            </w:r>
          </w:p>
        </w:tc>
        <w:tc>
          <w:tcPr/>
          <w:p>
            <w:pPr>
              <w:pStyle w:val="Compact"/>
              <w:jc w:val="left"/>
            </w:pPr>
            <w:r>
              <w:t xml:space="preserve">S-1</w:t>
            </w:r>
          </w:p>
        </w:tc>
        <w:tc>
          <w:tcPr/>
          <w:p>
            <w:pPr>
              <w:pStyle w:val="Compact"/>
              <w:jc w:val="left"/>
            </w:pPr>
            <w:hyperlink r:id="rId40">
              <w:r>
                <w:rPr>
                  <w:rStyle w:val="Hyperlink"/>
                </w:rPr>
                <w:t xml:space="preserve">d35071ds1.htm</w:t>
              </w:r>
            </w:hyperlink>
          </w:p>
        </w:tc>
        <w:tc>
          <w:tcPr/>
          <w:p>
            <w:pPr>
              <w:pStyle w:val="Compact"/>
              <w:jc w:val="left"/>
            </w:pPr>
            <w:r>
              <w:rPr>
                <w:rStyle w:val="VerbatimChar"/>
              </w:rPr>
              <w:t xml:space="preserve">filings/2026-05-07_S-1_000119312526212324/</w:t>
            </w:r>
          </w:p>
        </w:tc>
      </w:tr>
      <w:tr>
        <w:tc>
          <w:tcPr/>
          <w:p>
            <w:pPr>
              <w:pStyle w:val="Compact"/>
              <w:jc w:val="left"/>
            </w:pPr>
            <w:r>
              <w:t xml:space="preserve">2026-05-05</w:t>
            </w:r>
          </w:p>
        </w:tc>
        <w:tc>
          <w:tcPr/>
          <w:p>
            <w:pPr>
              <w:pStyle w:val="Compact"/>
              <w:jc w:val="left"/>
            </w:pPr>
            <w:r>
              <w:t xml:space="preserve">10-Q</w:t>
            </w:r>
          </w:p>
        </w:tc>
        <w:tc>
          <w:tcPr/>
          <w:p>
            <w:pPr>
              <w:pStyle w:val="Compact"/>
              <w:jc w:val="left"/>
            </w:pPr>
            <w:hyperlink r:id="rId41">
              <w:r>
                <w:rPr>
                  <w:rStyle w:val="Hyperlink"/>
                </w:rPr>
                <w:t xml:space="preserve">elox-20260331.htm</w:t>
              </w:r>
            </w:hyperlink>
          </w:p>
        </w:tc>
        <w:tc>
          <w:tcPr/>
          <w:p>
            <w:pPr>
              <w:pStyle w:val="Compact"/>
              <w:jc w:val="left"/>
            </w:pPr>
            <w:r>
              <w:rPr>
                <w:rStyle w:val="VerbatimChar"/>
              </w:rPr>
              <w:t xml:space="preserve">filings/2026-05-05_10-Q_000119312526204722/</w:t>
            </w:r>
          </w:p>
        </w:tc>
      </w:tr>
      <w:tr>
        <w:tc>
          <w:tcPr/>
          <w:p>
            <w:pPr>
              <w:pStyle w:val="Compact"/>
              <w:jc w:val="left"/>
            </w:pPr>
            <w:r>
              <w:t xml:space="preserve">2026-05-01</w:t>
            </w:r>
          </w:p>
        </w:tc>
        <w:tc>
          <w:tcPr/>
          <w:p>
            <w:pPr>
              <w:pStyle w:val="Compact"/>
              <w:jc w:val="left"/>
            </w:pPr>
            <w:r>
              <w:t xml:space="preserve">8-K</w:t>
            </w:r>
          </w:p>
        </w:tc>
        <w:tc>
          <w:tcPr/>
          <w:p>
            <w:pPr>
              <w:pStyle w:val="Compact"/>
              <w:jc w:val="left"/>
            </w:pPr>
            <w:hyperlink r:id="rId42">
              <w:r>
                <w:rPr>
                  <w:rStyle w:val="Hyperlink"/>
                </w:rPr>
                <w:t xml:space="preserve">d151139d8k.htm</w:t>
              </w:r>
            </w:hyperlink>
          </w:p>
        </w:tc>
        <w:tc>
          <w:tcPr/>
          <w:p>
            <w:pPr>
              <w:pStyle w:val="Compact"/>
              <w:jc w:val="left"/>
            </w:pPr>
            <w:r>
              <w:rPr>
                <w:rStyle w:val="VerbatimChar"/>
              </w:rPr>
              <w:t xml:space="preserve">filings/2026-05-01_8-K_000119312526201408/</w:t>
            </w:r>
          </w:p>
        </w:tc>
      </w:tr>
      <w:tr>
        <w:tc>
          <w:tcPr/>
          <w:p>
            <w:pPr>
              <w:pStyle w:val="Compact"/>
              <w:jc w:val="left"/>
            </w:pPr>
            <w:r>
              <w:t xml:space="preserve">2026-04-28</w:t>
            </w:r>
          </w:p>
        </w:tc>
        <w:tc>
          <w:tcPr/>
          <w:p>
            <w:pPr>
              <w:pStyle w:val="Compact"/>
              <w:jc w:val="left"/>
            </w:pPr>
            <w:r>
              <w:t xml:space="preserve">PRE 14C</w:t>
            </w:r>
          </w:p>
        </w:tc>
        <w:tc>
          <w:tcPr/>
          <w:p>
            <w:pPr>
              <w:pStyle w:val="Compact"/>
              <w:jc w:val="left"/>
            </w:pPr>
            <w:hyperlink r:id="rId43">
              <w:r>
                <w:rPr>
                  <w:rStyle w:val="Hyperlink"/>
                </w:rPr>
                <w:t xml:space="preserve">d125964dpre14c.htm</w:t>
              </w:r>
            </w:hyperlink>
          </w:p>
        </w:tc>
        <w:tc>
          <w:tcPr/>
          <w:p>
            <w:pPr>
              <w:pStyle w:val="Compact"/>
              <w:jc w:val="left"/>
            </w:pPr>
            <w:r>
              <w:rPr>
                <w:rStyle w:val="VerbatimChar"/>
              </w:rPr>
              <w:t xml:space="preserve">filings/2026-04-28_PRE_14C_000119312526187787/</w:t>
            </w:r>
          </w:p>
        </w:tc>
      </w:tr>
      <w:tr>
        <w:tc>
          <w:tcPr/>
          <w:p>
            <w:pPr>
              <w:pStyle w:val="Compact"/>
              <w:jc w:val="left"/>
            </w:pPr>
            <w:r>
              <w:t xml:space="preserve">2026-03-20</w:t>
            </w:r>
          </w:p>
        </w:tc>
        <w:tc>
          <w:tcPr/>
          <w:p>
            <w:pPr>
              <w:pStyle w:val="Compact"/>
              <w:jc w:val="left"/>
            </w:pPr>
            <w:r>
              <w:t xml:space="preserve">DRS</w:t>
            </w:r>
          </w:p>
        </w:tc>
        <w:tc>
          <w:tcPr/>
          <w:p>
            <w:pPr>
              <w:pStyle w:val="Compact"/>
              <w:jc w:val="left"/>
            </w:pPr>
            <w:hyperlink r:id="rId44">
              <w:r>
                <w:rPr>
                  <w:rStyle w:val="Hyperlink"/>
                </w:rPr>
                <w:t xml:space="preserve">filename1.htm</w:t>
              </w:r>
            </w:hyperlink>
          </w:p>
        </w:tc>
        <w:tc>
          <w:tcPr/>
          <w:p>
            <w:pPr>
              <w:pStyle w:val="Compact"/>
              <w:jc w:val="left"/>
            </w:pPr>
            <w:r>
              <w:rPr>
                <w:rStyle w:val="VerbatimChar"/>
              </w:rPr>
              <w:t xml:space="preserve">filings/2026-03-20_DRS_000119312526116406/</w:t>
            </w:r>
          </w:p>
        </w:tc>
      </w:tr>
      <w:tr>
        <w:tc>
          <w:tcPr/>
          <w:p>
            <w:pPr>
              <w:pStyle w:val="Compact"/>
              <w:jc w:val="left"/>
            </w:pPr>
            <w:r>
              <w:t xml:space="preserve">2026-03-17</w:t>
            </w:r>
          </w:p>
        </w:tc>
        <w:tc>
          <w:tcPr/>
          <w:p>
            <w:pPr>
              <w:pStyle w:val="Compact"/>
              <w:jc w:val="left"/>
            </w:pPr>
            <w:r>
              <w:t xml:space="preserve">10-K</w:t>
            </w:r>
          </w:p>
        </w:tc>
        <w:tc>
          <w:tcPr/>
          <w:p>
            <w:pPr>
              <w:pStyle w:val="Compact"/>
              <w:jc w:val="left"/>
            </w:pPr>
            <w:hyperlink r:id="rId45">
              <w:r>
                <w:rPr>
                  <w:rStyle w:val="Hyperlink"/>
                </w:rPr>
                <w:t xml:space="preserve">elox-20251231.htm</w:t>
              </w:r>
            </w:hyperlink>
          </w:p>
        </w:tc>
        <w:tc>
          <w:tcPr/>
          <w:p>
            <w:pPr>
              <w:pStyle w:val="Compact"/>
              <w:jc w:val="left"/>
            </w:pPr>
            <w:r>
              <w:rPr>
                <w:rStyle w:val="VerbatimChar"/>
              </w:rPr>
              <w:t xml:space="preserve">filings/2026-03-17_10-K_000119312526108687/</w:t>
            </w:r>
          </w:p>
        </w:tc>
      </w:tr>
      <w:tr>
        <w:tc>
          <w:tcPr/>
          <w:p>
            <w:pPr>
              <w:pStyle w:val="Compact"/>
              <w:jc w:val="left"/>
            </w:pPr>
            <w:r>
              <w:t xml:space="preserve">2025-08-14</w:t>
            </w:r>
          </w:p>
        </w:tc>
        <w:tc>
          <w:tcPr/>
          <w:p>
            <w:pPr>
              <w:pStyle w:val="Compact"/>
              <w:jc w:val="left"/>
            </w:pPr>
            <w:r>
              <w:t xml:space="preserve">NT 10-Q</w:t>
            </w:r>
          </w:p>
        </w:tc>
        <w:tc>
          <w:tcPr/>
          <w:p>
            <w:pPr>
              <w:pStyle w:val="Compact"/>
              <w:jc w:val="left"/>
            </w:pPr>
            <w:hyperlink r:id="rId46">
              <w:r>
                <w:rPr>
                  <w:rStyle w:val="Hyperlink"/>
                </w:rPr>
                <w:t xml:space="preserve">tm2523390d1_nt10q.htm</w:t>
              </w:r>
            </w:hyperlink>
          </w:p>
        </w:tc>
        <w:tc>
          <w:tcPr/>
          <w:p>
            <w:pPr>
              <w:pStyle w:val="Compact"/>
              <w:jc w:val="left"/>
            </w:pPr>
            <w:r>
              <w:rPr>
                <w:rStyle w:val="VerbatimChar"/>
              </w:rPr>
              <w:t xml:space="preserve">filings/2025-08-14_NT_10-Q_000110465925078543/</w:t>
            </w:r>
          </w:p>
        </w:tc>
      </w:tr>
      <w:tr>
        <w:tc>
          <w:tcPr/>
          <w:p>
            <w:pPr>
              <w:pStyle w:val="Compact"/>
              <w:jc w:val="left"/>
            </w:pPr>
            <w:r>
              <w:t xml:space="preserve">2025-08-12</w:t>
            </w:r>
          </w:p>
        </w:tc>
        <w:tc>
          <w:tcPr/>
          <w:p>
            <w:pPr>
              <w:pStyle w:val="Compact"/>
              <w:jc w:val="left"/>
            </w:pPr>
            <w:r>
              <w:t xml:space="preserve">8-K</w:t>
            </w:r>
          </w:p>
        </w:tc>
        <w:tc>
          <w:tcPr/>
          <w:p>
            <w:pPr>
              <w:pStyle w:val="Compact"/>
              <w:jc w:val="left"/>
            </w:pPr>
            <w:hyperlink r:id="rId47">
              <w:r>
                <w:rPr>
                  <w:rStyle w:val="Hyperlink"/>
                </w:rPr>
                <w:t xml:space="preserve">tm2523236d1_8k.htm</w:t>
              </w:r>
            </w:hyperlink>
          </w:p>
        </w:tc>
        <w:tc>
          <w:tcPr/>
          <w:p>
            <w:pPr>
              <w:pStyle w:val="Compact"/>
              <w:jc w:val="left"/>
            </w:pPr>
            <w:r>
              <w:rPr>
                <w:rStyle w:val="VerbatimChar"/>
              </w:rPr>
              <w:t xml:space="preserve">filings/2025-08-12_8-K_000110465925076933/</w:t>
            </w:r>
          </w:p>
        </w:tc>
      </w:tr>
      <w:tr>
        <w:tc>
          <w:tcPr/>
          <w:p>
            <w:pPr>
              <w:pStyle w:val="Compact"/>
              <w:jc w:val="left"/>
            </w:pPr>
            <w:r>
              <w:t xml:space="preserve">2025-05-15</w:t>
            </w:r>
          </w:p>
        </w:tc>
        <w:tc>
          <w:tcPr/>
          <w:p>
            <w:pPr>
              <w:pStyle w:val="Compact"/>
              <w:jc w:val="left"/>
            </w:pPr>
            <w:r>
              <w:t xml:space="preserve">NT 10-Q</w:t>
            </w:r>
          </w:p>
        </w:tc>
        <w:tc>
          <w:tcPr/>
          <w:p>
            <w:pPr>
              <w:pStyle w:val="Compact"/>
              <w:jc w:val="left"/>
            </w:pPr>
            <w:hyperlink r:id="rId48">
              <w:r>
                <w:rPr>
                  <w:rStyle w:val="Hyperlink"/>
                </w:rPr>
                <w:t xml:space="preserve">tm2515283d1_nt10q.htm</w:t>
              </w:r>
            </w:hyperlink>
          </w:p>
        </w:tc>
        <w:tc>
          <w:tcPr/>
          <w:p>
            <w:pPr>
              <w:pStyle w:val="Compact"/>
              <w:jc w:val="left"/>
            </w:pPr>
            <w:r>
              <w:rPr>
                <w:rStyle w:val="VerbatimChar"/>
              </w:rPr>
              <w:t xml:space="preserve">filings/2025-05-15_NT_10-Q_000110465925049378/</w:t>
            </w:r>
          </w:p>
        </w:tc>
      </w:tr>
      <w:tr>
        <w:tc>
          <w:tcPr/>
          <w:p>
            <w:pPr>
              <w:pStyle w:val="Compact"/>
              <w:jc w:val="left"/>
            </w:pPr>
            <w:r>
              <w:t xml:space="preserve">2025-04-01</w:t>
            </w:r>
          </w:p>
        </w:tc>
        <w:tc>
          <w:tcPr/>
          <w:p>
            <w:pPr>
              <w:pStyle w:val="Compact"/>
              <w:jc w:val="left"/>
            </w:pPr>
            <w:r>
              <w:t xml:space="preserve">NT 10-K</w:t>
            </w:r>
          </w:p>
        </w:tc>
        <w:tc>
          <w:tcPr/>
          <w:p>
            <w:pPr>
              <w:pStyle w:val="Compact"/>
              <w:jc w:val="left"/>
            </w:pPr>
            <w:hyperlink r:id="rId49">
              <w:r>
                <w:rPr>
                  <w:rStyle w:val="Hyperlink"/>
                </w:rPr>
                <w:t xml:space="preserve">tm2511064d1_nt10k.htm</w:t>
              </w:r>
            </w:hyperlink>
          </w:p>
        </w:tc>
        <w:tc>
          <w:tcPr/>
          <w:p>
            <w:pPr>
              <w:pStyle w:val="Compact"/>
              <w:jc w:val="left"/>
            </w:pPr>
            <w:r>
              <w:rPr>
                <w:rStyle w:val="VerbatimChar"/>
              </w:rPr>
              <w:t xml:space="preserve">filings/2025-04-01_NT_10-K_000110465925030543/</w:t>
            </w:r>
          </w:p>
        </w:tc>
      </w:tr>
      <w:tr>
        <w:tc>
          <w:tcPr/>
          <w:p>
            <w:pPr>
              <w:pStyle w:val="Compact"/>
              <w:jc w:val="left"/>
            </w:pPr>
            <w:r>
              <w:t xml:space="preserve">2025-02-21</w:t>
            </w:r>
          </w:p>
        </w:tc>
        <w:tc>
          <w:tcPr/>
          <w:p>
            <w:pPr>
              <w:pStyle w:val="Compact"/>
              <w:jc w:val="left"/>
            </w:pPr>
            <w:r>
              <w:t xml:space="preserve">SEC STAFF ACTION</w:t>
            </w:r>
          </w:p>
        </w:tc>
        <w:tc>
          <w:tcPr/>
          <w:p>
            <w:pPr>
              <w:pStyle w:val="Compact"/>
              <w:jc w:val="left"/>
            </w:pPr>
            <w:hyperlink r:id="rId50">
              <w:r>
                <w:rPr>
                  <w:rStyle w:val="Hyperlink"/>
                </w:rPr>
                <w:t xml:space="preserve">filename1.pdf</w:t>
              </w:r>
            </w:hyperlink>
          </w:p>
        </w:tc>
        <w:tc>
          <w:tcPr/>
          <w:p>
            <w:pPr>
              <w:pStyle w:val="Compact"/>
              <w:jc w:val="left"/>
            </w:pPr>
            <w:r>
              <w:rPr>
                <w:rStyle w:val="VerbatimChar"/>
              </w:rPr>
              <w:t xml:space="preserve">filings/2025-02-21_SEC_STAFF_ACTION_999999999725000521/</w:t>
            </w:r>
          </w:p>
        </w:tc>
      </w:tr>
    </w:tbl>
    <w:p>
      <w:pPr>
        <w:pStyle w:val="BodyText"/>
      </w:pPr>
      <w:r>
        <w:t xml:space="preserve">Also: XBRL companyfacts</w:t>
      </w:r>
      <w:r>
        <w:t xml:space="preserve"> </w:t>
      </w:r>
      <w:r>
        <w:rPr>
          <w:rStyle w:val="VerbatimChar"/>
        </w:rPr>
        <w:t xml:space="preserve">data.sec.gov/api/xbrl/companyfacts/CIK0001035354.json</w:t>
      </w:r>
      <w:r>
        <w:t xml:space="preserve">; trials</w:t>
      </w:r>
      <w:r>
        <w:t xml:space="preserve"> </w:t>
      </w:r>
      <w:r>
        <w:rPr>
          <w:rStyle w:val="VerbatimChar"/>
        </w:rPr>
        <w:t xml:space="preserve">ctgov_NCT07523581.json</w:t>
      </w:r>
      <w:r>
        <w:t xml:space="preserve"> </w:t>
      </w:r>
      <w:r>
        <w:t xml:space="preserve">and</w:t>
      </w:r>
      <w:r>
        <w:t xml:space="preserve"> </w:t>
      </w:r>
      <w:r>
        <w:rPr>
          <w:rStyle w:val="VerbatimChar"/>
        </w:rPr>
        <w:t xml:space="preserve">ctgov_NCT05448755.json</w:t>
      </w:r>
      <w:r>
        <w:t xml:space="preserve">; prices</w:t>
      </w:r>
      <w:r>
        <w:t xml:space="preserve"> </w:t>
      </w:r>
      <w:r>
        <w:rPr>
          <w:rStyle w:val="VerbatimChar"/>
        </w:rPr>
        <w:t xml:space="preserve">price_daily.csv</w:t>
      </w:r>
      <w:r>
        <w:t xml:space="preserve">; Forms 3 and 4 and 13Gs in</w:t>
      </w:r>
      <w:r>
        <w:t xml:space="preserve"> </w:t>
      </w:r>
      <w:r>
        <w:rPr>
          <w:rStyle w:val="VerbatimChar"/>
        </w:rPr>
        <w:t xml:space="preserve">filings/</w:t>
      </w:r>
      <w:r>
        <w:t xml:space="preserve"> </w:t>
      </w:r>
      <w:r>
        <w:t xml:space="preserve">(parsed in section 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www.sec.gov/Archives/edgar/data/1035354/000110465925030543/tm2511064d1_nt10k.htm" TargetMode="External" /><Relationship Type="http://schemas.openxmlformats.org/officeDocument/2006/relationships/hyperlink" Id="rId48" Target="https://www.sec.gov/Archives/edgar/data/1035354/000110465925049378/tm2515283d1_nt10q.htm" TargetMode="External" /><Relationship Type="http://schemas.openxmlformats.org/officeDocument/2006/relationships/hyperlink" Id="rId47" Target="https://www.sec.gov/Archives/edgar/data/1035354/000110465925076933/tm2523236d1_8k.htm" TargetMode="External" /><Relationship Type="http://schemas.openxmlformats.org/officeDocument/2006/relationships/hyperlink" Id="rId46" Target="https://www.sec.gov/Archives/edgar/data/1035354/000110465925078543/tm2523390d1_nt10q.htm" TargetMode="External" /><Relationship Type="http://schemas.openxmlformats.org/officeDocument/2006/relationships/hyperlink" Id="rId45" Target="https://www.sec.gov/Archives/edgar/data/1035354/000119312526108687/elox-20251231.htm" TargetMode="External" /><Relationship Type="http://schemas.openxmlformats.org/officeDocument/2006/relationships/hyperlink" Id="rId44" Target="https://www.sec.gov/Archives/edgar/data/1035354/000119312526116406/filename1.htm" TargetMode="External" /><Relationship Type="http://schemas.openxmlformats.org/officeDocument/2006/relationships/hyperlink" Id="rId43" Target="https://www.sec.gov/Archives/edgar/data/1035354/000119312526187787/d125964dpre14c.htm" TargetMode="External" /><Relationship Type="http://schemas.openxmlformats.org/officeDocument/2006/relationships/hyperlink" Id="rId42" Target="https://www.sec.gov/Archives/edgar/data/1035354/000119312526201408/d151139d8k.htm" TargetMode="External" /><Relationship Type="http://schemas.openxmlformats.org/officeDocument/2006/relationships/hyperlink" Id="rId41" Target="https://www.sec.gov/Archives/edgar/data/1035354/000119312526204722/elox-20260331.htm" TargetMode="External" /><Relationship Type="http://schemas.openxmlformats.org/officeDocument/2006/relationships/hyperlink" Id="rId40" Target="https://www.sec.gov/Archives/edgar/data/1035354/000119312526212324/d35071ds1.htm" TargetMode="External" /><Relationship Type="http://schemas.openxmlformats.org/officeDocument/2006/relationships/hyperlink" Id="rId39" Target="https://www.sec.gov/Archives/edgar/data/1035354/000119312526214720/d125964ddef14c.htm" TargetMode="External" /><Relationship Type="http://schemas.openxmlformats.org/officeDocument/2006/relationships/hyperlink" Id="rId38" Target="https://www.sec.gov/Archives/edgar/data/1035354/000119312526249692/d261568d8k.htm" TargetMode="External" /><Relationship Type="http://schemas.openxmlformats.org/officeDocument/2006/relationships/hyperlink" Id="rId37" Target="https://www.sec.gov/Archives/edgar/data/1035354/000119312526251655/d35071ds1a.htm" TargetMode="External" /><Relationship Type="http://schemas.openxmlformats.org/officeDocument/2006/relationships/hyperlink" Id="rId36" Target="https://www.sec.gov/Archives/edgar/data/1035354/000119312526251780/d75472d8a12b.htm" TargetMode="External" /><Relationship Type="http://schemas.openxmlformats.org/officeDocument/2006/relationships/hyperlink" Id="rId35" Target="https://www.sec.gov/Archives/edgar/data/1035354/000119312526257750/d35071ds1a.htm" TargetMode="External" /><Relationship Type="http://schemas.openxmlformats.org/officeDocument/2006/relationships/hyperlink" Id="rId34" Target="https://www.sec.gov/Archives/edgar/data/1035354/000119312526263914/d35071d424b4.htm" TargetMode="External" /><Relationship Type="http://schemas.openxmlformats.org/officeDocument/2006/relationships/hyperlink" Id="rId33" Target="https://www.sec.gov/Archives/edgar/data/1035354/000119312526344964/elox-20260630.htm" TargetMode="External" /><Relationship Type="http://schemas.openxmlformats.org/officeDocument/2006/relationships/hyperlink" Id="rId32" Target="https://www.sec.gov/Archives/edgar/data/1035354/000119312526345032/d167833d8k.htm" TargetMode="External" /><Relationship Type="http://schemas.openxmlformats.org/officeDocument/2006/relationships/hyperlink" Id="rId31" Target="https://www.sec.gov/Archives/edgar/data/1035354/000119312526389422/d152186ds1.htm" TargetMode="External" /><Relationship Type="http://schemas.openxmlformats.org/officeDocument/2006/relationships/hyperlink" Id="rId50" Target="https://www.sec.gov/Archives/edgar/data/1035354/999999999725000521/filename1.pdf" TargetMode="External" /></Relationships>
</file>

<file path=word/_rels/footnotes.xml.rels><?xml version="1.0" encoding="UTF-8"?><Relationships xmlns="http://schemas.openxmlformats.org/package/2006/relationships"><Relationship Type="http://schemas.openxmlformats.org/officeDocument/2006/relationships/hyperlink" Id="rId49" Target="https://www.sec.gov/Archives/edgar/data/1035354/000110465925030543/tm2511064d1_nt10k.htm" TargetMode="External" /><Relationship Type="http://schemas.openxmlformats.org/officeDocument/2006/relationships/hyperlink" Id="rId48" Target="https://www.sec.gov/Archives/edgar/data/1035354/000110465925049378/tm2515283d1_nt10q.htm" TargetMode="External" /><Relationship Type="http://schemas.openxmlformats.org/officeDocument/2006/relationships/hyperlink" Id="rId47" Target="https://www.sec.gov/Archives/edgar/data/1035354/000110465925076933/tm2523236d1_8k.htm" TargetMode="External" /><Relationship Type="http://schemas.openxmlformats.org/officeDocument/2006/relationships/hyperlink" Id="rId46" Target="https://www.sec.gov/Archives/edgar/data/1035354/000110465925078543/tm2523390d1_nt10q.htm" TargetMode="External" /><Relationship Type="http://schemas.openxmlformats.org/officeDocument/2006/relationships/hyperlink" Id="rId45" Target="https://www.sec.gov/Archives/edgar/data/1035354/000119312526108687/elox-20251231.htm" TargetMode="External" /><Relationship Type="http://schemas.openxmlformats.org/officeDocument/2006/relationships/hyperlink" Id="rId44" Target="https://www.sec.gov/Archives/edgar/data/1035354/000119312526116406/filename1.htm" TargetMode="External" /><Relationship Type="http://schemas.openxmlformats.org/officeDocument/2006/relationships/hyperlink" Id="rId43" Target="https://www.sec.gov/Archives/edgar/data/1035354/000119312526187787/d125964dpre14c.htm" TargetMode="External" /><Relationship Type="http://schemas.openxmlformats.org/officeDocument/2006/relationships/hyperlink" Id="rId42" Target="https://www.sec.gov/Archives/edgar/data/1035354/000119312526201408/d151139d8k.htm" TargetMode="External" /><Relationship Type="http://schemas.openxmlformats.org/officeDocument/2006/relationships/hyperlink" Id="rId41" Target="https://www.sec.gov/Archives/edgar/data/1035354/000119312526204722/elox-20260331.htm" TargetMode="External" /><Relationship Type="http://schemas.openxmlformats.org/officeDocument/2006/relationships/hyperlink" Id="rId40" Target="https://www.sec.gov/Archives/edgar/data/1035354/000119312526212324/d35071ds1.htm" TargetMode="External" /><Relationship Type="http://schemas.openxmlformats.org/officeDocument/2006/relationships/hyperlink" Id="rId39" Target="https://www.sec.gov/Archives/edgar/data/1035354/000119312526214720/d125964ddef14c.htm" TargetMode="External" /><Relationship Type="http://schemas.openxmlformats.org/officeDocument/2006/relationships/hyperlink" Id="rId38" Target="https://www.sec.gov/Archives/edgar/data/1035354/000119312526249692/d261568d8k.htm" TargetMode="External" /><Relationship Type="http://schemas.openxmlformats.org/officeDocument/2006/relationships/hyperlink" Id="rId37" Target="https://www.sec.gov/Archives/edgar/data/1035354/000119312526251655/d35071ds1a.htm" TargetMode="External" /><Relationship Type="http://schemas.openxmlformats.org/officeDocument/2006/relationships/hyperlink" Id="rId36" Target="https://www.sec.gov/Archives/edgar/data/1035354/000119312526251780/d75472d8a12b.htm" TargetMode="External" /><Relationship Type="http://schemas.openxmlformats.org/officeDocument/2006/relationships/hyperlink" Id="rId35" Target="https://www.sec.gov/Archives/edgar/data/1035354/000119312526257750/d35071ds1a.htm" TargetMode="External" /><Relationship Type="http://schemas.openxmlformats.org/officeDocument/2006/relationships/hyperlink" Id="rId34" Target="https://www.sec.gov/Archives/edgar/data/1035354/000119312526263914/d35071d424b4.htm" TargetMode="External" /><Relationship Type="http://schemas.openxmlformats.org/officeDocument/2006/relationships/hyperlink" Id="rId33" Target="https://www.sec.gov/Archives/edgar/data/1035354/000119312526344964/elox-20260630.htm" TargetMode="External" /><Relationship Type="http://schemas.openxmlformats.org/officeDocument/2006/relationships/hyperlink" Id="rId32" Target="https://www.sec.gov/Archives/edgar/data/1035354/000119312526345032/d167833d8k.htm" TargetMode="External" /><Relationship Type="http://schemas.openxmlformats.org/officeDocument/2006/relationships/hyperlink" Id="rId31" Target="https://www.sec.gov/Archives/edgar/data/1035354/000119312526389422/d152186ds1.htm" TargetMode="External" /><Relationship Type="http://schemas.openxmlformats.org/officeDocument/2006/relationships/hyperlink" Id="rId50" Target="https://www.sec.gov/Archives/edgar/data/1035354/999999999725000521/filename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2026-10-13T06:15:03Z</dcterms:created>
  <dcterms:modified xsi:type="dcterms:W3CDTF">2026-10-13T06:15:03Z</dcterms:modified>
</cp:coreProperties>
</file>

<file path=docProps/custom.xml><?xml version="1.0" encoding="utf-8"?>
<Properties xmlns="http://schemas.openxmlformats.org/officeDocument/2006/custom-properties" xmlns:vt="http://schemas.openxmlformats.org/officeDocument/2006/docPropsVTypes"/>
</file>