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Weaknesses of Previous Value Alignment Research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t xml:space="preserve">Focusing on Micro Alignment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"http://10d7dfc0-edcd-4970-95db-e5dee5a9e160"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&lt;Files\\Building Multi-Agent Environments with Theoretical Guarantees on the Learning of Ethical Policies&gt;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[0.37%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Lacking learning guarentees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"http://10d7dfc0-edcd-4970-95db-e5dee5a9e160"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&lt;Files\\Building Multi-Agent Environments with Theoretical Guarantees on the Learning of Ethical Policies&gt;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[0.37%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"http://f4dcec5d-477d-4f9e-addb-e5dede88d110"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&lt;Files\\Auditing Robot Learning for Safety and Compliance during Deployment&gt;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[2.32%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Assuming a single right answer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"http://ecc97a26-19da-45ea-a8dc-138c442a0e48"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&lt;Files\\Challenges of Aligning Artificial Intelligence with Human Values&gt;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[0.89%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"http://d1fa9346-d69a-4756-85dc-138c401fb040"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&lt;Files\\FLI AI Safety Research Landscape - Extended - v0.43&gt;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[0.06%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work on engineering a coherent values system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"http://fb667f85-78eb-48e9-8fdb-e5deca8fb319"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&lt;Files\\Designing, Implementing and Enforcing a Coherent System of Laws, Ethics and Morals for Intelligent Machines (Including Humans)&gt;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[1.09%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Focusing on agents but ignoring the wider system</w:t>
      </w: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"http://9e6da4a4-94b5-45d8-8cdc-138c43879ea6"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&lt;Files\\Embedding Values in Artificial Intelligence (AI) Systems&gt;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[0.94%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"http://fd451383-ed87-4e13-8cdb-e5ded8b49c5e"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&lt;Files\\Steps towards value-aligned systems&gt;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2 references coded  [3.01%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Discrepancy between human belief about system and agents own belief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"http://0f0e96c7-5aef-4000-88db-e5dee8b5858e"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&lt;Files\\Goal Alignment~ Re-analyzing Value Alignment Problems Using Human-Aware AI&gt;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[0.26%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Emphasis on short term results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"http://3d5bd901-e911-469b-b3db-e5ded9d6c9ca"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 Gridworlds~ A Theoretical Proposal for Modeling Artificial Moral Cognition&gt;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[0.87%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Lack of error tolerance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"http://3d5bd901-e911-469b-b3db-e5ded9d6c9ca"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 Gridworlds~ A Theoretical Proposal for Modeling Artificial Moral Cognition&gt;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[0.87%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Lack of learning transparency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"http://4bda9be9-c620-41ec-a4db-e6c26aadb559"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&lt;Files\\Transparent Value Alignment&gt;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[1.97%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alignment metrics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"http://12c6a923-bfff-45f7-a1db-e5deeb71e832"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&lt;Files\\Validating metrics for reward alignment in human-autonomy teaming&gt;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[0.24%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empirical testing to understand how humans and AI interact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"http://12c6a923-bfff-45f7-a1db-e5deeb71e832"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&lt;Files\\Validating metrics for reward alignment in human-autonomy teaming&gt;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[0.24% Coverage]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"http://4a5bac15-1c5e-4a32-badb-e6c26a234c1d"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&lt;Files\\Beyond kant and bentham~ How ethical theories are being used in artificial moral agents&gt;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3 references coded  [0.57% Coverage]</w:t>
      </w: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"http://a9376870-14dc-4d05-b3db-e5deed06873c"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 management of human-AI interaction~ Theory development review&gt;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[0.26%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"http://5871e427-9908-4214-8ddb-e5dee90ab6dd"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&lt;Files\\Morals, ethics, and the technology capabilities and limitations of automated and self-driving vehicles&gt;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[0.26%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reproducability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"http://02674d90-cb7f-4077-9adb-e5ded1081dae"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safety and reproducibility~ Establishing robust foundations for the neuropsychology of human values&gt;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[1.58%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narrative of trends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"http://f3508cec-d4bf-4175-a4db-e5dedba8b0fd"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&lt;Files\\AI safety~ State of the field through quantitative lens&gt;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[0.84%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Lack of a human model of values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"http://fa649285-80e9-4da8-85db-e5dee66ee457"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&lt;Files\\Aligning artificial intelligence with human values~ reflections from a phenomenological perspective&gt;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[0.14%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Failure to integrate diverse disciplines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"http://a9376870-14dc-4d05-b3db-e5deed06873c"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&lt;Files\\Ethical management of human-AI interaction~ Theory development review&gt;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[0.26%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Disproportionate focus on trolley problems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"http://d99f2063-74a9-4b9b-a9db-e5ded449c0d2"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&lt;Files\\Impossibility and uncertainty theorems in AI value alignment or why your AGI should not have a utility function&gt;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[1.03% Coverage]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auto"/>
          <w:sz w:val="20"/>
        </w:rPr>
        <w:t xml:space="preserve">Not using values in reasoning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"http://d7d3b9c0-281b-4e96-9ddc-138c45a5f9e2"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&lt;Files\\Value Engineering for Autonomous Agents&gt;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[0.63%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Ignoring social dimension of value alignment</w:t>
      </w:r>
    </w:p>
    <w:p>
      <w:pPr>
        <w:pStyle w:val="[Normal]"/>
        <w:widowControl w:val="on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"http://d7d3b9c0-281b-4e96-9ddc-138c45a5f9e2"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&lt;Files\\Value Engineering for Autonomous Agents&gt;</w:t>
      </w:r>
      <w:r>
        <w:rPr>
          <w:rFonts w:ascii="Segoe UI" w:hAnsi="Segoe UI" w:eastAsia="Segoe UI"/>
          <w:sz w:val="20"/>
        </w:rPr>
        <w:fldChar w:fldCharType="end"/>
      </w:r>
      <w:r>
        <w:rPr>
          <w:rFonts w:ascii="Segoe UI" w:hAnsi="Segoe UI" w:eastAsia="Segoe UI"/>
          <w:sz w:val="20"/>
        </w:rPr>
        <w:t xml:space="preserve"> - § 1 reference coded  [0.63% Coverage]</w:t>
      </w:r>
    </w:p>
    <w:p>
      <w:pPr>
        <w:pStyle w:val="Normal"/>
        <w:rPr>
          <w:rFonts w:ascii="Segoe UI" w:hAnsi="Segoe UI" w:eastAsia="Segoe UI"/>
          <w:sz w:val="20"/>
        </w:rPr>
      </w:pPr>
    </w:p>
    <w:p>
      <w:pPr>
        <w:pStyle w:val="Normal"/>
        <w:rPr>
          <w:rFonts w:ascii="Segoe UI" w:hAnsi="Segoe UI" w:eastAsia="Segoe UI"/>
          <w:sz w:val="20"/>
        </w:rPr>
      </w:pPr>
      <w:r>
        <w:rPr>
          <w:rFonts w:ascii="Segoe UI" w:hAnsi="Segoe UI" w:eastAsia="Segoe UI"/>
          <w:sz w:val="20"/>
        </w:rPr>
        <w:t xml:space="preserve">Lack of definitions</w:t>
      </w:r>
    </w:p>
    <w:p>
      <w:pPr>
        <w:pStyle w:val="Normal"/>
        <w:rPr>
          <w:rFonts w:ascii="Segoe UI" w:hAnsi="Segoe UI" w:eastAsia="Segoe UI"/>
          <w:color w:val="auto"/>
          <w:sz w:val="20"/>
        </w:rPr>
      </w:pPr>
      <w:r>
        <w:rPr>
          <w:rFonts w:ascii="Segoe UI" w:hAnsi="Segoe UI" w:eastAsia="Segoe UI"/>
          <w:color w:val="#0000FF"/>
          <w:sz w:val="20"/>
          <w:u w:val="single"/>
        </w:rPr>
        <w:fldChar w:fldCharType="begin"/>
      </w:r>
      <w:r>
        <w:rPr>
          <w:rFonts w:ascii="Segoe UI" w:hAnsi="Segoe UI" w:eastAsia="Segoe UI"/>
          <w:color w:val="#0000FF"/>
          <w:sz w:val="20"/>
          <w:u w:val="single"/>
        </w:rPr>
        <w:instrText xml:space="preserve"> HYPERLINK "http://35d341e5-e8a3-4c47-89db-e5dedb517c26" </w:instrText>
      </w:r>
      <w:r>
        <w:rPr>
          <w:rFonts w:ascii="Segoe UI" w:hAnsi="Segoe UI" w:eastAsia="Segoe UI"/>
          <w:color w:val="#0000FF"/>
          <w:sz w:val="20"/>
          <w:u w:val="single"/>
        </w:rPr>
        <w:fldChar w:fldCharType="separate"/>
      </w:r>
      <w:r>
        <w:rPr>
          <w:rFonts w:ascii="Segoe UI" w:hAnsi="Segoe UI" w:eastAsia="Segoe UI"/>
          <w:color w:val="#0000FF"/>
          <w:sz w:val="20"/>
          <w:u w:val="single"/>
        </w:rPr>
        <w:t xml:space="preserve">&lt;Files\\Value-based reasoning in autonomous agents&gt;</w:t>
      </w:r>
      <w:r>
        <w:rPr>
          <w:rFonts w:ascii="Segoe UI" w:hAnsi="Segoe UI" w:eastAsia="Segoe UI"/>
          <w:color w:val="auto"/>
          <w:sz w:val="20"/>
        </w:rPr>
        <w:fldChar w:fldCharType="end"/>
      </w:r>
      <w:r>
        <w:rPr>
          <w:rFonts w:ascii="Segoe UI" w:hAnsi="Segoe UI" w:eastAsia="Segoe UI"/>
          <w:color w:val="auto"/>
          <w:sz w:val="20"/>
        </w:rPr>
        <w:t xml:space="preserve"> - § 1 reference coded  [0.12% Coverage]</w:t>
      </w:r>
    </w:p>
    <w:p>
      <w:pPr>
        <w:pStyle w:val="Normal"/>
        <w:rPr>
          <w:b w:val="on"/>
          <w:shd w:val="clear" w:fill="#D3D3D3"/>
        </w:rPr>
      </w:pPr>
    </w:p>
    <w:p>
      <w:pPr>
        <w:pStyle w:val="Normal"/>
        <w:rPr>
          <w:b w:val="on"/>
          <w:shd w:val="clear" w:fill="#D3D3D3"/>
        </w:rPr>
      </w:pPr>
      <w:r>
        <w:rPr>
          <w:b w:val="on"/>
          <w:shd w:val="clear" w:fill="#D3D3D3"/>
        </w:rPr>
        <w:t xml:space="preserve">Linked Item</w:t>
      </w:r>
    </w:p>
    <w:p>
      <w:pPr>
        <w:pStyle w:val="Normal"/>
        <w:rPr>
          <w:sz w:val="18"/>
        </w:rPr>
      </w:pPr>
      <w:r>
        <w:rPr>
          <w:sz w:val="18"/>
        </w:rPr>
        <w:t xml:space="preserve">Codes\\Understanding Research on the Value Alignment Problem\Weaknesses of Previous Value Alignment Research</w:t>
      </w: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