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4"/>
        </w:rPr>
        <w:t>中国会成为“下一个日本”吗？</w:t>
      </w:r>
    </w:p>
    <w:p>
      <w:pPr>
        <w:jc w:val="center"/>
      </w:pPr>
      <w:r>
        <w:rPr>
          <w:b/>
          <w:sz w:val="36"/>
        </w:rPr>
        <w:t>基于长期宏观数据的中日结构相似性深度研究</w:t>
      </w:r>
    </w:p>
    <w:p>
      <w:pPr>
        <w:jc w:val="center"/>
      </w:pPr>
      <w:r>
        <w:rPr>
          <w:sz w:val="24"/>
        </w:rPr>
        <w:t>从“固定滞后多少年”的直觉，走向“哪些状态相似、哪些机制不同”的证据判断</w:t>
      </w:r>
    </w:p>
    <w:p>
      <w:r>
        <w:br/>
      </w:r>
    </w:p>
    <w:p>
      <w:pPr>
        <w:jc w:val="center"/>
      </w:pPr>
      <w:r>
        <w:rPr>
          <w:sz w:val="20"/>
        </w:rPr>
        <w:t>数据截至 2025 年｜报告版本 2026 年 9 月</w:t>
      </w:r>
    </w:p>
    <w:p>
      <w:r>
        <w:br w:type="page"/>
      </w:r>
    </w:p>
    <w:p>
      <w:pPr>
        <w:pStyle w:val="Heading1"/>
      </w:pPr>
      <w:r>
        <w:t>执行摘要：先说结论</w:t>
      </w:r>
    </w:p>
    <w:p>
      <w:pPr>
        <w:spacing w:after="100" w:line="300" w:lineRule="auto"/>
      </w:pPr>
      <w:r>
        <w:t>“今天的中国是不是二三十年前的日本？”是近年来最常见的宏观类比之一。真正拆开后，它至少包含三个不同的问题：宏观状态是否相似、是否存在稳定的固定时间差、以及相似状态背后的经济机制是否相同。</w:t>
      </w:r>
    </w:p>
    <w:p>
      <w:pPr>
        <w:spacing w:after="100"/>
      </w:pPr>
      <w:r>
        <w:rPr>
          <w:b/>
        </w:rPr>
        <w:t>第一，</w:t>
      </w:r>
      <w:r>
        <w:t>中日之间确实存在可以重复识别的“宏观状态相似”。某些中国年份的增长、通胀、货币、投资和外部环境组合，确实与日本泡沫破裂后的部分年份接近。</w:t>
      </w:r>
    </w:p>
    <w:p>
      <w:pPr>
        <w:spacing w:after="100"/>
      </w:pPr>
      <w:r>
        <w:rPr>
          <w:b/>
        </w:rPr>
        <w:t>第二，</w:t>
      </w:r>
      <w:r>
        <w:t>这种相似不能概括成一个稳定的固定滞后。2005—2015这一窗口，多种算法都指向约22年；但2015—2025窗口不同算法给出14、16或22年等明显不同答案。</w:t>
      </w:r>
    </w:p>
    <w:p>
      <w:pPr>
        <w:spacing w:after="100"/>
      </w:pPr>
      <w:r>
        <w:rPr>
          <w:b/>
        </w:rPr>
        <w:t>第三，</w:t>
      </w:r>
      <w:r>
        <w:t>2013—2025年的中国没有沿日本历史时间轴单向前进。13年中，7年更像日本1991—1998，4年更像日本2003—2011，2年位于1999—2002过渡段。</w:t>
      </w:r>
    </w:p>
    <w:p>
      <w:pPr>
        <w:spacing w:after="100"/>
      </w:pPr>
      <w:r>
        <w:rPr>
          <w:b/>
        </w:rPr>
        <w:t>第四，</w:t>
      </w:r>
      <w:r>
        <w:t>CPI是最强“分类铰链”，却没有通过独立机制验证。把CPI拿出分类依据以后，原本J90/J00之间的CPI差异几乎完全消失。</w:t>
      </w:r>
    </w:p>
    <w:p>
      <w:pPr>
        <w:spacing w:after="100"/>
      </w:pPr>
      <w:r>
        <w:rPr>
          <w:b/>
        </w:rPr>
        <w:t>第五，</w:t>
      </w:r>
      <w:r>
        <w:t>投资率是目前最扎实的共同通道；M2提供补充支持。两国都出现高投资平台后的多年回落，但这还不足以证明背后的资产负债表机制相同。</w:t>
      </w:r>
    </w:p>
    <w:p>
      <w:pPr>
        <w:spacing w:after="100"/>
      </w:pPr>
      <w:r>
        <w:rPr>
          <w:b/>
        </w:rPr>
        <w:t>第六，</w:t>
      </w:r>
      <w:r>
        <w:t>截至2025年，没有证据证明中国已经进入日本式持续通缩或“失去的二十年”。日本1999年后出现多年负CPI，而中国2023—2025为0.2%、0.2%、0.0%。</w:t>
      </w:r>
    </w:p>
    <w:p>
      <w:pPr>
        <w:jc w:val="center"/>
      </w:pPr>
      <w:r>
        <w:rPr>
          <w:b/>
          <w:sz w:val="24"/>
        </w:rPr>
        <w:t>核心判断：存在部分“日本式宏观状态”，但不存在证据表明中国正按一个固定时间表整体复制日本。</w:t>
      </w:r>
    </w:p>
    <w:p>
      <w:pPr>
        <w:pStyle w:val="Heading1"/>
      </w:pPr>
      <w:r>
        <w:t>一、这项研究到底在回答什么？</w:t>
      </w:r>
    </w:p>
    <w:p>
      <w:pPr>
        <w:spacing w:after="100" w:line="300" w:lineRule="auto"/>
      </w:pPr>
      <w:r>
        <w:t>大众讨论中的“日本化”常把房地产调整、低增长、低通胀、人口老龄化、高债务、低利率和工资停滞混成一个标签。只要其中两三项同时出现，就很容易得出“正在走日本老路”的判断。</w:t>
      </w:r>
    </w:p>
    <w:p>
      <w:pPr>
        <w:spacing w:after="100" w:line="300" w:lineRule="auto"/>
      </w:pPr>
      <w:r>
        <w:t>但相似的结果不一定来自相同的原因；某几年像，也不等于整条历史路径一样。因此，本研究把问题拆成三层：</w:t>
      </w:r>
    </w:p>
    <w:p>
      <w:pPr>
        <w:pStyle w:val="ListBullet"/>
        <w:spacing w:after="40"/>
      </w:pPr>
      <w:r>
        <w:t>状态是否相似：一组宏观指标的组合是否接近；</w:t>
      </w:r>
    </w:p>
    <w:p>
      <w:pPr>
        <w:pStyle w:val="ListBullet"/>
        <w:spacing w:after="40"/>
      </w:pPr>
      <w:r>
        <w:t>时间差是否稳定：是否真的存在一个固定的“N年滞后”；</w:t>
      </w:r>
    </w:p>
    <w:p>
      <w:pPr>
        <w:pStyle w:val="ListBullet"/>
        <w:spacing w:after="40"/>
      </w:pPr>
      <w:r>
        <w:t>机制是否相同：把用于判断的指标拿掉以后，相关经济变量是否仍然独立表现出相同规律。</w:t>
      </w:r>
    </w:p>
    <w:p>
      <w:pPr>
        <w:pStyle w:val="Heading2"/>
      </w:pPr>
      <w:r>
        <w:t>怎样理解“宏观状态”？</w:t>
      </w:r>
    </w:p>
    <w:p>
      <w:pPr>
        <w:spacing w:after="100" w:line="300" w:lineRule="auto"/>
      </w:pPr>
      <w:r>
        <w:t>可以把每个国家每一年的经济状况想成一张“宏观指纹”。指纹由增长和投资、物价、货币和信用、出口和汇率、人口和工资等几块组成。研究把中国某一年的指纹与日本几十年的历史指纹逐年比较，寻找最接近的状态。</w:t>
      </w:r>
    </w:p>
    <w:p>
      <w:pPr>
        <w:spacing w:after="100" w:line="300" w:lineRule="auto"/>
      </w:pPr>
      <w:r>
        <w:t>这里比较的不是两国绝对规模，而是各项指标相对于本国自身历史的位置。例如，中国和日本投资率绝对水平差很大，但都可以判断它们是处在各自历史的高位、低位还是下降途中。</w:t>
      </w:r>
    </w:p>
    <w:p>
      <w:pPr>
        <w:pStyle w:val="Heading1"/>
      </w:pPr>
      <w:r>
        <w:t>二、先排除一个流行说法：不存在稳定的“固定滞后”</w:t>
      </w:r>
    </w:p>
    <w:p>
      <w:pPr>
        <w:spacing w:after="100" w:line="300" w:lineRule="auto"/>
      </w:pPr>
      <w:r>
        <w:t>如果“中国就是滞后N年的日本”成立，那么无论使用什么合理算法、也无论换一个相邻年份窗口，最合适的时间差都应该大致稳定。实际结果并非如此。</w:t>
      </w:r>
    </w:p>
    <w:p>
      <w:pPr>
        <w:jc w:val="center"/>
      </w:pPr>
      <w:r>
        <w:drawing>
          <wp:inline xmlns:a="http://schemas.openxmlformats.org/drawingml/2006/main" xmlns:pic="http://schemas.openxmlformats.org/drawingml/2006/picture">
            <wp:extent cx="5852160" cy="3388266"/>
            <wp:docPr id="1" name="Picture 1"/>
            <wp:cNvGraphicFramePr>
              <a:graphicFrameLocks noChangeAspect="1"/>
            </wp:cNvGraphicFramePr>
            <a:graphic>
              <a:graphicData uri="http://schemas.openxmlformats.org/drawingml/2006/picture">
                <pic:pic>
                  <pic:nvPicPr>
                    <pic:cNvPr id="0" name="fig01_lag_metrics.png"/>
                    <pic:cNvPicPr/>
                  </pic:nvPicPr>
                  <pic:blipFill>
                    <a:blip r:embed="rId9"/>
                    <a:stretch>
                      <a:fillRect/>
                    </a:stretch>
                  </pic:blipFill>
                  <pic:spPr>
                    <a:xfrm>
                      <a:off x="0" y="0"/>
                      <a:ext cx="5852160" cy="3388266"/>
                    </a:xfrm>
                    <a:prstGeom prst="rect"/>
                  </pic:spPr>
                </pic:pic>
              </a:graphicData>
            </a:graphic>
          </wp:inline>
        </w:drawing>
      </w:r>
    </w:p>
    <w:p>
      <w:pPr>
        <w:jc w:val="center"/>
      </w:pPr>
      <w:r>
        <w:rPr>
          <w:i/>
          <w:sz w:val="18"/>
        </w:rPr>
        <w:t>图1｜不同窗口与算法给出的最佳滞后。B窗（2005—2015）高度收敛到22年，但D窗（2015—2025）明显分化。</w:t>
      </w:r>
    </w:p>
    <w:p>
      <w:pPr>
        <w:spacing w:after="100" w:line="300" w:lineRule="auto"/>
      </w:pPr>
      <w:r>
        <w:t>因此，“22年”可以是某些阶段的最佳对应，但不能被当作整个中日关系的固定时间差。</w:t>
      </w:r>
    </w:p>
    <w:p>
      <w:pPr>
        <w:pStyle w:val="Heading2"/>
      </w:pPr>
      <w:r>
        <w:t>相似性本身是不是“总能碰巧找出来”？</w:t>
      </w:r>
    </w:p>
    <w:p>
      <w:pPr>
        <w:spacing w:after="100" w:line="300" w:lineRule="auto"/>
      </w:pPr>
      <w:r>
        <w:t>为了排除“日本历史年份很多，总能挑出一个像的”这个问题，研究将历史对应关系随机打乱10,000次。每一次都允许算法重新寻找最优滞后，再比较随机情况下最高能得到多好的相似度。</w:t>
      </w:r>
    </w:p>
    <w:p>
      <w:pPr>
        <w:jc w:val="center"/>
      </w:pPr>
      <w:r>
        <w:drawing>
          <wp:inline xmlns:a="http://schemas.openxmlformats.org/drawingml/2006/main" xmlns:pic="http://schemas.openxmlformats.org/drawingml/2006/picture">
            <wp:extent cx="5852160" cy="3381175"/>
            <wp:docPr id="2" name="Picture 2"/>
            <wp:cNvGraphicFramePr>
              <a:graphicFrameLocks noChangeAspect="1"/>
            </wp:cNvGraphicFramePr>
            <a:graphic>
              <a:graphicData uri="http://schemas.openxmlformats.org/drawingml/2006/picture">
                <pic:pic>
                  <pic:nvPicPr>
                    <pic:cNvPr id="0" name="fig02_null.png"/>
                    <pic:cNvPicPr/>
                  </pic:nvPicPr>
                  <pic:blipFill>
                    <a:blip r:embed="rId10"/>
                    <a:stretch>
                      <a:fillRect/>
                    </a:stretch>
                  </pic:blipFill>
                  <pic:spPr>
                    <a:xfrm>
                      <a:off x="0" y="0"/>
                      <a:ext cx="5852160" cy="3381175"/>
                    </a:xfrm>
                    <a:prstGeom prst="rect"/>
                  </pic:spPr>
                </pic:pic>
              </a:graphicData>
            </a:graphic>
          </wp:inline>
        </w:drawing>
      </w:r>
    </w:p>
    <w:p>
      <w:pPr>
        <w:jc w:val="center"/>
      </w:pPr>
      <w:r>
        <w:rPr>
          <w:i/>
          <w:sz w:val="18"/>
        </w:rPr>
        <w:t>图2｜10,000次随机检验。真实数据对应的结果位于分布最右端，只有9次随机实验能够达到或超过它。</w:t>
      </w:r>
    </w:p>
    <w:p>
      <w:pPr>
        <w:spacing w:after="100" w:line="300" w:lineRule="auto"/>
      </w:pPr>
      <w:r>
        <w:t>这说明“某些时期确实很像”很难用纯随机解释；但“究竟固定差多少年”仍然不稳定。这两点并不矛盾。</w:t>
      </w:r>
    </w:p>
    <w:p>
      <w:pPr>
        <w:pStyle w:val="Heading1"/>
      </w:pPr>
      <w:r>
        <w:t>三、中国2013—2025最像日本哪些阶段？</w:t>
      </w:r>
    </w:p>
    <w:p>
      <w:pPr>
        <w:spacing w:after="100" w:line="300" w:lineRule="auto"/>
      </w:pPr>
      <w:r>
        <w:t>为避免内部缩写造成误解，下面三个标签只用于本报告叙述，它们不是标准经济学术语。</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DEDED"/>
            <w:vAlign w:val="center"/>
          </w:tcPr>
          <w:p>
            <w:r>
              <w:rPr>
                <w:b/>
              </w:rPr>
              <w:t>标签</w:t>
            </w:r>
          </w:p>
        </w:tc>
        <w:tc>
          <w:tcPr>
            <w:tcW w:type="dxa" w:w="3312"/>
            <w:shd w:fill="EDEDED"/>
            <w:vAlign w:val="center"/>
          </w:tcPr>
          <w:p>
            <w:r>
              <w:rPr>
                <w:b/>
              </w:rPr>
              <w:t>日本年份</w:t>
            </w:r>
          </w:p>
        </w:tc>
        <w:tc>
          <w:tcPr>
            <w:tcW w:type="dxa" w:w="3312"/>
            <w:shd w:fill="EDEDED"/>
            <w:vAlign w:val="center"/>
          </w:tcPr>
          <w:p>
            <w:r>
              <w:rPr>
                <w:b/>
              </w:rPr>
              <w:t>本报告中的含义</w:t>
            </w:r>
          </w:p>
        </w:tc>
      </w:tr>
      <w:tr>
        <w:tc>
          <w:tcPr>
            <w:tcW w:type="dxa" w:w="3312"/>
            <w:vAlign w:val="center"/>
          </w:tcPr>
          <w:p>
            <w:r>
              <w:t>J90</w:t>
            </w:r>
          </w:p>
        </w:tc>
        <w:tc>
          <w:tcPr>
            <w:tcW w:type="dxa" w:w="3312"/>
            <w:vAlign w:val="center"/>
          </w:tcPr>
          <w:p>
            <w:r>
              <w:t>1991—1998</w:t>
            </w:r>
          </w:p>
        </w:tc>
        <w:tc>
          <w:tcPr>
            <w:tcW w:type="dxa" w:w="3312"/>
            <w:vAlign w:val="center"/>
          </w:tcPr>
          <w:p>
            <w:r>
              <w:t>泡沫破裂后的早期调整与停滞；投资仍偏高，通胀总体仍温和</w:t>
            </w:r>
          </w:p>
        </w:tc>
      </w:tr>
      <w:tr>
        <w:tc>
          <w:tcPr>
            <w:tcW w:type="dxa" w:w="3312"/>
            <w:vAlign w:val="center"/>
          </w:tcPr>
          <w:p>
            <w:r>
              <w:t>JGAP</w:t>
            </w:r>
          </w:p>
        </w:tc>
        <w:tc>
          <w:tcPr>
            <w:tcW w:type="dxa" w:w="3312"/>
            <w:vAlign w:val="center"/>
          </w:tcPr>
          <w:p>
            <w:r>
              <w:t>1999—2002</w:t>
            </w:r>
          </w:p>
        </w:tc>
        <w:tc>
          <w:tcPr>
            <w:tcW w:type="dxa" w:w="3312"/>
            <w:vAlign w:val="center"/>
          </w:tcPr>
          <w:p>
            <w:r>
              <w:t>J90向J00过渡的阶段</w:t>
            </w:r>
          </w:p>
        </w:tc>
      </w:tr>
      <w:tr>
        <w:tc>
          <w:tcPr>
            <w:tcW w:type="dxa" w:w="3312"/>
            <w:vAlign w:val="center"/>
          </w:tcPr>
          <w:p>
            <w:r>
              <w:t>J00</w:t>
            </w:r>
          </w:p>
        </w:tc>
        <w:tc>
          <w:tcPr>
            <w:tcW w:type="dxa" w:w="3312"/>
            <w:vAlign w:val="center"/>
          </w:tcPr>
          <w:p>
            <w:r>
              <w:t>2003—2011</w:t>
            </w:r>
          </w:p>
        </w:tc>
        <w:tc>
          <w:tcPr>
            <w:tcW w:type="dxa" w:w="3312"/>
            <w:vAlign w:val="center"/>
          </w:tcPr>
          <w:p>
            <w:r>
              <w:t>更典型的低通胀/通缩、低投资和较弱增长阶段</w:t>
            </w:r>
          </w:p>
        </w:tc>
      </w:tr>
    </w:tbl>
    <w:p>
      <w:pPr>
        <w:spacing w:after="100" w:line="300" w:lineRule="auto"/>
      </w:pPr>
      <w:r>
        <w:t>将中国2013—2025逐年与日本历史比较，13年中有7年最接近J90，4年最接近J00，2年最接近JGAP。</w:t>
      </w:r>
    </w:p>
    <w:p>
      <w:pPr>
        <w:jc w:val="center"/>
      </w:pPr>
      <w:r>
        <w:drawing>
          <wp:inline xmlns:a="http://schemas.openxmlformats.org/drawingml/2006/main" xmlns:pic="http://schemas.openxmlformats.org/drawingml/2006/picture">
            <wp:extent cx="5852160" cy="2755541"/>
            <wp:docPr id="3" name="Picture 3"/>
            <wp:cNvGraphicFramePr>
              <a:graphicFrameLocks noChangeAspect="1"/>
            </wp:cNvGraphicFramePr>
            <a:graphic>
              <a:graphicData uri="http://schemas.openxmlformats.org/drawingml/2006/picture">
                <pic:pic>
                  <pic:nvPicPr>
                    <pic:cNvPr id="0" name="fig03_timeline.png"/>
                    <pic:cNvPicPr/>
                  </pic:nvPicPr>
                  <pic:blipFill>
                    <a:blip r:embed="rId11"/>
                    <a:stretch>
                      <a:fillRect/>
                    </a:stretch>
                  </pic:blipFill>
                  <pic:spPr>
                    <a:xfrm>
                      <a:off x="0" y="0"/>
                      <a:ext cx="5852160" cy="2755541"/>
                    </a:xfrm>
                    <a:prstGeom prst="rect"/>
                  </pic:spPr>
                </pic:pic>
              </a:graphicData>
            </a:graphic>
          </wp:inline>
        </w:drawing>
      </w:r>
    </w:p>
    <w:p>
      <w:pPr>
        <w:jc w:val="center"/>
      </w:pPr>
      <w:r>
        <w:rPr>
          <w:i/>
          <w:sz w:val="18"/>
        </w:rPr>
        <w:t>图3｜中国2013—2025的历史状态映射。真正重要的是来回摆动，而不是7比4的数量差。</w:t>
      </w:r>
    </w:p>
    <w:p>
      <w:pPr>
        <w:spacing w:after="100" w:line="300" w:lineRule="auto"/>
      </w:pPr>
      <w:r>
        <w:t>2017年已经像日本2003年，但2018—2020又回到日本1990年代；2021进入J00，2022返回J90；2023进入J00，2024落到过渡段，2025又回到J00。</w:t>
      </w:r>
    </w:p>
    <w:p>
      <w:pPr>
        <w:spacing w:after="100" w:line="300" w:lineRule="auto"/>
      </w:pPr>
      <w:r>
        <w:t>所以更准确的描述不是“中国正沿日本历史轨迹单向前进”，而是“中国近年会反复进入几个日本曾经经历过的宏观状态”。</w:t>
      </w:r>
    </w:p>
    <w:p>
      <w:pPr>
        <w:pStyle w:val="Heading1"/>
      </w:pPr>
      <w:r>
        <w:t>四、究竟哪些方面相似，哪些方面不像？</w:t>
      </w:r>
    </w:p>
    <w:p>
      <w:pPr>
        <w:jc w:val="center"/>
      </w:pPr>
      <w:r>
        <w:drawing>
          <wp:inline xmlns:a="http://schemas.openxmlformats.org/drawingml/2006/main" xmlns:pic="http://schemas.openxmlformats.org/drawingml/2006/picture">
            <wp:extent cx="5852160" cy="3264922"/>
            <wp:docPr id="4" name="Picture 4"/>
            <wp:cNvGraphicFramePr>
              <a:graphicFrameLocks noChangeAspect="1"/>
            </wp:cNvGraphicFramePr>
            <a:graphic>
              <a:graphicData uri="http://schemas.openxmlformats.org/drawingml/2006/picture">
                <pic:pic>
                  <pic:nvPicPr>
                    <pic:cNvPr id="0" name="fig04_module_distance.png"/>
                    <pic:cNvPicPr/>
                  </pic:nvPicPr>
                  <pic:blipFill>
                    <a:blip r:embed="rId12"/>
                    <a:stretch>
                      <a:fillRect/>
                    </a:stretch>
                  </pic:blipFill>
                  <pic:spPr>
                    <a:xfrm>
                      <a:off x="0" y="0"/>
                      <a:ext cx="5852160" cy="3264922"/>
                    </a:xfrm>
                    <a:prstGeom prst="rect"/>
                  </pic:spPr>
                </pic:pic>
              </a:graphicData>
            </a:graphic>
          </wp:inline>
        </w:drawing>
      </w:r>
    </w:p>
    <w:p>
      <w:pPr>
        <w:jc w:val="center"/>
      </w:pPr>
      <w:r>
        <w:rPr>
          <w:i/>
          <w:sz w:val="18"/>
        </w:rPr>
        <w:t>图4｜五类宏观信息与J90/J00的平均距离。柱子越低表示越接近。</w:t>
      </w:r>
    </w:p>
    <w:p>
      <w:pPr>
        <w:spacing w:after="100" w:line="300" w:lineRule="auto"/>
      </w:pPr>
      <w:r>
        <w:t>货币/信用状态是两类日本历史阶段中最稳定的相似项之一；人口和工资维度则长期表现出较大差异。增长、外部环境和通胀对不同阶段的区分作用更强。</w:t>
      </w:r>
    </w:p>
    <w:p>
      <w:pPr>
        <w:spacing w:after="100" w:line="300" w:lineRule="auto"/>
      </w:pPr>
      <w:r>
        <w:t>这说明“中日相似”不能被理解为全方位复制。一个国家可以在货币、投资和物价上进入相似区域，同时在人口、工资、真实增长和汇率上仍然不同。</w:t>
      </w:r>
    </w:p>
    <w:p>
      <w:pPr>
        <w:pStyle w:val="Heading1"/>
      </w:pPr>
      <w:r>
        <w:t>五、最容易让人误判的变量：CPI</w:t>
      </w:r>
    </w:p>
    <w:p>
      <w:pPr>
        <w:spacing w:after="100" w:line="300" w:lineRule="auto"/>
      </w:pPr>
      <w:r>
        <w:t>一个非常直观的实验是：把某一类信息从判断中拿走，看有多少年份会被重新分到另一个日本阶段。</w:t>
      </w:r>
    </w:p>
    <w:p>
      <w:pPr>
        <w:jc w:val="center"/>
      </w:pPr>
      <w:r>
        <w:drawing>
          <wp:inline xmlns:a="http://schemas.openxmlformats.org/drawingml/2006/main" xmlns:pic="http://schemas.openxmlformats.org/drawingml/2006/picture">
            <wp:extent cx="5852160" cy="3266690"/>
            <wp:docPr id="5" name="Picture 5"/>
            <wp:cNvGraphicFramePr>
              <a:graphicFrameLocks noChangeAspect="1"/>
            </wp:cNvGraphicFramePr>
            <a:graphic>
              <a:graphicData uri="http://schemas.openxmlformats.org/drawingml/2006/picture">
                <pic:pic>
                  <pic:nvPicPr>
                    <pic:cNvPr id="0" name="fig05_flips.png"/>
                    <pic:cNvPicPr/>
                  </pic:nvPicPr>
                  <pic:blipFill>
                    <a:blip r:embed="rId13"/>
                    <a:stretch>
                      <a:fillRect/>
                    </a:stretch>
                  </pic:blipFill>
                  <pic:spPr>
                    <a:xfrm>
                      <a:off x="0" y="0"/>
                      <a:ext cx="5852160" cy="3266690"/>
                    </a:xfrm>
                    <a:prstGeom prst="rect"/>
                  </pic:spPr>
                </pic:pic>
              </a:graphicData>
            </a:graphic>
          </wp:inline>
        </w:drawing>
      </w:r>
    </w:p>
    <w:p>
      <w:pPr>
        <w:jc w:val="center"/>
      </w:pPr>
      <w:r>
        <w:rPr>
          <w:i/>
          <w:sz w:val="18"/>
        </w:rPr>
        <w:t>图5｜去掉或中和不同信息后，2013—2025有多少年份改变历史阶段归属。通胀/CPI的影响最大。</w:t>
      </w:r>
    </w:p>
    <w:p>
      <w:pPr>
        <w:spacing w:after="100" w:line="300" w:lineRule="auto"/>
      </w:pPr>
      <w:r>
        <w:t>去掉或中和通胀信息时，最多有5/13年份改变归属。因此CPI是最强的“分类铰链”。但分类重要，不等于共同机制成立。</w:t>
      </w:r>
    </w:p>
    <w:p>
      <w:pPr>
        <w:pStyle w:val="Heading2"/>
      </w:pPr>
      <w:r>
        <w:t>“拿掉再验证”：区分分类依据和真实机制</w:t>
      </w:r>
    </w:p>
    <w:p>
      <w:pPr>
        <w:spacing w:after="100" w:line="300" w:lineRule="auto"/>
      </w:pPr>
      <w:r>
        <w:t>要验证CPI是否真的代表共同机制，研究先完全不看CPI，只根据其他指标给中国年份分类；分类完成以后再把CPI拿回来，看两组年份是否仍然像日本那样明显不同。对投资率、M2和实际有效汇率也进行了同样测试。</w:t>
      </w:r>
    </w:p>
    <w:p>
      <w:pPr>
        <w:jc w:val="center"/>
      </w:pPr>
      <w:r>
        <w:drawing>
          <wp:inline xmlns:a="http://schemas.openxmlformats.org/drawingml/2006/main" xmlns:pic="http://schemas.openxmlformats.org/drawingml/2006/picture">
            <wp:extent cx="5852160" cy="3349656"/>
            <wp:docPr id="6" name="Picture 6"/>
            <wp:cNvGraphicFramePr>
              <a:graphicFrameLocks noChangeAspect="1"/>
            </wp:cNvGraphicFramePr>
            <a:graphic>
              <a:graphicData uri="http://schemas.openxmlformats.org/drawingml/2006/picture">
                <pic:pic>
                  <pic:nvPicPr>
                    <pic:cNvPr id="0" name="fig06_heldout.png"/>
                    <pic:cNvPicPr/>
                  </pic:nvPicPr>
                  <pic:blipFill>
                    <a:blip r:embed="rId14"/>
                    <a:stretch>
                      <a:fillRect/>
                    </a:stretch>
                  </pic:blipFill>
                  <pic:spPr>
                    <a:xfrm>
                      <a:off x="0" y="0"/>
                      <a:ext cx="5852160" cy="3349656"/>
                    </a:xfrm>
                    <a:prstGeom prst="rect"/>
                  </pic:spPr>
                </pic:pic>
              </a:graphicData>
            </a:graphic>
          </wp:inline>
        </w:drawing>
      </w:r>
    </w:p>
    <w:p>
      <w:pPr>
        <w:jc w:val="center"/>
      </w:pPr>
      <w:r>
        <w:rPr>
          <w:i/>
          <w:sz w:val="18"/>
        </w:rPr>
        <w:t>图6｜Held-out验证。投资率和M2在不参与分类的情况下仍保持与日本同方向的差异；CPI差异几乎归零，REER方向也不再一致。</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DEDED"/>
            <w:vAlign w:val="center"/>
          </w:tcPr>
          <w:p>
            <w:r>
              <w:rPr>
                <w:b/>
              </w:rPr>
              <w:t>通道</w:t>
            </w:r>
          </w:p>
        </w:tc>
        <w:tc>
          <w:tcPr>
            <w:tcW w:type="dxa" w:w="3312"/>
            <w:shd w:fill="EDEDED"/>
            <w:vAlign w:val="center"/>
          </w:tcPr>
          <w:p>
            <w:r>
              <w:rPr>
                <w:b/>
              </w:rPr>
              <w:t>拿掉再验证结果</w:t>
            </w:r>
          </w:p>
        </w:tc>
        <w:tc>
          <w:tcPr>
            <w:tcW w:type="dxa" w:w="3312"/>
            <w:shd w:fill="EDEDED"/>
            <w:vAlign w:val="center"/>
          </w:tcPr>
          <w:p>
            <w:r>
              <w:rPr>
                <w:b/>
              </w:rPr>
              <w:t>应如何解释</w:t>
            </w:r>
          </w:p>
        </w:tc>
      </w:tr>
      <w:tr>
        <w:tc>
          <w:tcPr>
            <w:tcW w:type="dxa" w:w="3312"/>
            <w:vAlign w:val="center"/>
          </w:tcPr>
          <w:p>
            <w:r>
              <w:t>CPI</w:t>
            </w:r>
          </w:p>
        </w:tc>
        <w:tc>
          <w:tcPr>
            <w:tcW w:type="dxa" w:w="3312"/>
            <w:vAlign w:val="center"/>
          </w:tcPr>
          <w:p>
            <w:r>
              <w:t>失败：差异几乎归零</w:t>
            </w:r>
          </w:p>
        </w:tc>
        <w:tc>
          <w:tcPr>
            <w:tcW w:type="dxa" w:w="3312"/>
            <w:vAlign w:val="center"/>
          </w:tcPr>
          <w:p>
            <w:r>
              <w:t>是强分类铰链，但不是独立共同机制</w:t>
            </w:r>
          </w:p>
        </w:tc>
      </w:tr>
      <w:tr>
        <w:tc>
          <w:tcPr>
            <w:tcW w:type="dxa" w:w="3312"/>
            <w:vAlign w:val="center"/>
          </w:tcPr>
          <w:p>
            <w:r>
              <w:t>投资率</w:t>
            </w:r>
          </w:p>
        </w:tc>
        <w:tc>
          <w:tcPr>
            <w:tcW w:type="dxa" w:w="3312"/>
            <w:vAlign w:val="center"/>
          </w:tcPr>
          <w:p>
            <w:r>
              <w:t>通过：仍与日本同向且差异明显</w:t>
            </w:r>
          </w:p>
        </w:tc>
        <w:tc>
          <w:tcPr>
            <w:tcW w:type="dxa" w:w="3312"/>
            <w:vAlign w:val="center"/>
          </w:tcPr>
          <w:p>
            <w:r>
              <w:t>目前最强的独立共同通道</w:t>
            </w:r>
          </w:p>
        </w:tc>
      </w:tr>
      <w:tr>
        <w:tc>
          <w:tcPr>
            <w:tcW w:type="dxa" w:w="3312"/>
            <w:vAlign w:val="center"/>
          </w:tcPr>
          <w:p>
            <w:r>
              <w:t>M2</w:t>
            </w:r>
          </w:p>
        </w:tc>
        <w:tc>
          <w:tcPr>
            <w:tcW w:type="dxa" w:w="3312"/>
            <w:vAlign w:val="center"/>
          </w:tcPr>
          <w:p>
            <w:r>
              <w:t>通过：仍与日本同向</w:t>
            </w:r>
          </w:p>
        </w:tc>
        <w:tc>
          <w:tcPr>
            <w:tcW w:type="dxa" w:w="3312"/>
            <w:vAlign w:val="center"/>
          </w:tcPr>
          <w:p>
            <w:r>
              <w:t>重要补充证据，但不是预先设定的核心Gate</w:t>
            </w:r>
          </w:p>
        </w:tc>
      </w:tr>
      <w:tr>
        <w:tc>
          <w:tcPr>
            <w:tcW w:type="dxa" w:w="3312"/>
            <w:vAlign w:val="center"/>
          </w:tcPr>
          <w:p>
            <w:r>
              <w:t>实际有效汇率</w:t>
            </w:r>
          </w:p>
        </w:tc>
        <w:tc>
          <w:tcPr>
            <w:tcW w:type="dxa" w:w="3312"/>
            <w:vAlign w:val="center"/>
          </w:tcPr>
          <w:p>
            <w:r>
              <w:t>失败：方向不一致且接近零</w:t>
            </w:r>
          </w:p>
        </w:tc>
        <w:tc>
          <w:tcPr>
            <w:tcW w:type="dxa" w:w="3312"/>
            <w:vAlign w:val="center"/>
          </w:tcPr>
          <w:p>
            <w:r>
              <w:t>不能视为稳定共同机制</w:t>
            </w:r>
          </w:p>
        </w:tc>
      </w:tr>
    </w:tbl>
    <w:p>
      <w:pPr>
        <w:spacing w:after="100" w:line="300" w:lineRule="auto"/>
      </w:pPr>
      <w:r>
        <w:t>这个结果非常关键：最容易让人产生“日本化”直觉的近零CPI，恰恰没有通过独立验证。</w:t>
      </w:r>
    </w:p>
    <w:p>
      <w:pPr>
        <w:pStyle w:val="Heading1"/>
      </w:pPr>
      <w:r>
        <w:t>六、低通胀是不是已经意味着“日本式通缩”？</w:t>
      </w:r>
    </w:p>
    <w:p>
      <w:pPr>
        <w:jc w:val="center"/>
      </w:pPr>
      <w:r>
        <w:drawing>
          <wp:inline xmlns:a="http://schemas.openxmlformats.org/drawingml/2006/main" xmlns:pic="http://schemas.openxmlformats.org/drawingml/2006/picture">
            <wp:extent cx="5852160" cy="3346409"/>
            <wp:docPr id="7" name="Picture 7"/>
            <wp:cNvGraphicFramePr>
              <a:graphicFrameLocks noChangeAspect="1"/>
            </wp:cNvGraphicFramePr>
            <a:graphic>
              <a:graphicData uri="http://schemas.openxmlformats.org/drawingml/2006/picture">
                <pic:pic>
                  <pic:nvPicPr>
                    <pic:cNvPr id="0" name="fig07_cpi.png"/>
                    <pic:cNvPicPr/>
                  </pic:nvPicPr>
                  <pic:blipFill>
                    <a:blip r:embed="rId15"/>
                    <a:stretch>
                      <a:fillRect/>
                    </a:stretch>
                  </pic:blipFill>
                  <pic:spPr>
                    <a:xfrm>
                      <a:off x="0" y="0"/>
                      <a:ext cx="5852160" cy="3346409"/>
                    </a:xfrm>
                    <a:prstGeom prst="rect"/>
                  </pic:spPr>
                </pic:pic>
              </a:graphicData>
            </a:graphic>
          </wp:inline>
        </w:drawing>
      </w:r>
    </w:p>
    <w:p>
      <w:pPr>
        <w:jc w:val="center"/>
      </w:pPr>
      <w:r>
        <w:rPr>
          <w:i/>
          <w:sz w:val="18"/>
        </w:rPr>
        <w:t>图7｜日本进入持续通缩前后的CPI路径，与中国2023—2025近零通胀路径。</w:t>
      </w:r>
    </w:p>
    <w:p>
      <w:pPr>
        <w:spacing w:after="100" w:line="300" w:lineRule="auto"/>
      </w:pPr>
      <w:r>
        <w:t>日本从1999年后进入多年负CPI区间，2000—2005多数年份都为负。中国2023—2025为0.2%、0.2%、0.0%，到2025仍未进入持续负值区间。</w:t>
      </w:r>
    </w:p>
    <w:p>
      <w:pPr>
        <w:spacing w:after="100" w:line="300" w:lineRule="auto"/>
      </w:pPr>
      <w:r>
        <w:t>因此更严谨的结论不是“低通胀与日本毫无关系”，而是：近零CPI本身不足以证明日本化，更不足以推出中国已经进入日本式“失去的二十年”。</w:t>
      </w:r>
    </w:p>
    <w:p>
      <w:pPr>
        <w:pStyle w:val="Heading1"/>
      </w:pPr>
      <w:r>
        <w:t>七、真正值得认真对待的共同点：投资率长期下行</w:t>
      </w:r>
    </w:p>
    <w:p>
      <w:pPr>
        <w:spacing w:after="100" w:line="300" w:lineRule="auto"/>
      </w:pPr>
      <w:r>
        <w:t>与CPI不同，投资率通过了“拿掉再验证”。即使分类时不看投资率，中国被分到不同日本历史阶段的年份，投资率仍呈现和日本相同方向的差异。</w:t>
      </w:r>
    </w:p>
    <w:p>
      <w:pPr>
        <w:jc w:val="center"/>
      </w:pPr>
      <w:r>
        <w:drawing>
          <wp:inline xmlns:a="http://schemas.openxmlformats.org/drawingml/2006/main" xmlns:pic="http://schemas.openxmlformats.org/drawingml/2006/picture">
            <wp:extent cx="5852160" cy="3338067"/>
            <wp:docPr id="8" name="Picture 8"/>
            <wp:cNvGraphicFramePr>
              <a:graphicFrameLocks noChangeAspect="1"/>
            </wp:cNvGraphicFramePr>
            <a:graphic>
              <a:graphicData uri="http://schemas.openxmlformats.org/drawingml/2006/picture">
                <pic:pic>
                  <pic:nvPicPr>
                    <pic:cNvPr id="0" name="fig08_investment.png"/>
                    <pic:cNvPicPr/>
                  </pic:nvPicPr>
                  <pic:blipFill>
                    <a:blip r:embed="rId16"/>
                    <a:stretch>
                      <a:fillRect/>
                    </a:stretch>
                  </pic:blipFill>
                  <pic:spPr>
                    <a:xfrm>
                      <a:off x="0" y="0"/>
                      <a:ext cx="5852160" cy="3338067"/>
                    </a:xfrm>
                    <a:prstGeom prst="rect"/>
                  </pic:spPr>
                </pic:pic>
              </a:graphicData>
            </a:graphic>
          </wp:inline>
        </w:drawing>
      </w:r>
    </w:p>
    <w:p>
      <w:pPr>
        <w:jc w:val="center"/>
      </w:pPr>
      <w:r>
        <w:rPr>
          <w:i/>
          <w:sz w:val="18"/>
        </w:rPr>
        <w:t>图8｜将两国各自投资率峰值设为100，比较峰值之后的相对回落。两国都出现长期下行，中国速度更缓。</w:t>
      </w:r>
    </w:p>
    <w:p>
      <w:pPr>
        <w:spacing w:after="100" w:line="300" w:lineRule="auto"/>
      </w:pPr>
      <w:r>
        <w:t>日本投资率从1990年约31.7%下降至2000年约25.6%，十年相对峰值下降约19%；中国从2011年约48.3%下降至2024年约40.5%，十三年相对下降约16%。</w:t>
      </w:r>
    </w:p>
    <w:p>
      <w:pPr>
        <w:spacing w:after="100" w:line="300" w:lineRule="auto"/>
      </w:pPr>
      <w:r>
        <w:t>绝对水平不能直接比较，真正值得关注的是“长期高投资平台—峰值—多年回落”的共同形态。这是目前最值得继续研究的中日共同通道。</w:t>
      </w:r>
    </w:p>
    <w:p>
      <w:pPr>
        <w:spacing w:after="100" w:line="300" w:lineRule="auto"/>
      </w:pPr>
      <w:r>
        <w:t>但要进一步证明日本式“资产负债表衰退”机制，还需要企业债务、企业利润、房地产库存、银行资产质量、居民和企业储蓄等完全没有参与本次分类的新数据。</w:t>
      </w:r>
    </w:p>
    <w:p>
      <w:pPr>
        <w:pStyle w:val="Heading1"/>
      </w:pPr>
      <w:r>
        <w:t>八、研究最终证实了什么，又证伪了什么？</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DEDED"/>
            <w:vAlign w:val="center"/>
          </w:tcPr>
          <w:p>
            <w:r>
              <w:rPr>
                <w:b/>
              </w:rPr>
              <w:t>常见说法或命题</w:t>
            </w:r>
          </w:p>
        </w:tc>
        <w:tc>
          <w:tcPr>
            <w:tcW w:type="dxa" w:w="3312"/>
            <w:shd w:fill="EDEDED"/>
            <w:vAlign w:val="center"/>
          </w:tcPr>
          <w:p>
            <w:r>
              <w:rPr>
                <w:b/>
              </w:rPr>
              <w:t>本研究判断</w:t>
            </w:r>
          </w:p>
        </w:tc>
        <w:tc>
          <w:tcPr>
            <w:tcW w:type="dxa" w:w="3312"/>
            <w:shd w:fill="EDEDED"/>
            <w:vAlign w:val="center"/>
          </w:tcPr>
          <w:p>
            <w:r>
              <w:rPr>
                <w:b/>
              </w:rPr>
              <w:t>主要依据</w:t>
            </w:r>
          </w:p>
        </w:tc>
      </w:tr>
      <w:tr>
        <w:tc>
          <w:tcPr>
            <w:tcW w:type="dxa" w:w="3312"/>
            <w:vAlign w:val="center"/>
          </w:tcPr>
          <w:p>
            <w:r>
              <w:t>中国正在简单复制日本历史</w:t>
            </w:r>
          </w:p>
        </w:tc>
        <w:tc>
          <w:tcPr>
            <w:tcW w:type="dxa" w:w="3312"/>
            <w:vAlign w:val="center"/>
          </w:tcPr>
          <w:p>
            <w:r>
              <w:t>不支持</w:t>
            </w:r>
          </w:p>
        </w:tc>
        <w:tc>
          <w:tcPr>
            <w:tcW w:type="dxa" w:w="3312"/>
            <w:vAlign w:val="center"/>
          </w:tcPr>
          <w:p>
            <w:r>
              <w:t>年份映射在多个日本阶段间反复摆动</w:t>
            </w:r>
          </w:p>
        </w:tc>
      </w:tr>
      <w:tr>
        <w:tc>
          <w:tcPr>
            <w:tcW w:type="dxa" w:w="3312"/>
            <w:vAlign w:val="center"/>
          </w:tcPr>
          <w:p>
            <w:r>
              <w:t>中国固定滞后日本30—40年</w:t>
            </w:r>
          </w:p>
        </w:tc>
        <w:tc>
          <w:tcPr>
            <w:tcW w:type="dxa" w:w="3312"/>
            <w:vAlign w:val="center"/>
          </w:tcPr>
          <w:p>
            <w:r>
              <w:t>不支持</w:t>
            </w:r>
          </w:p>
        </w:tc>
        <w:tc>
          <w:tcPr>
            <w:tcW w:type="dxa" w:w="3312"/>
            <w:vAlign w:val="center"/>
          </w:tcPr>
          <w:p>
            <w:r>
              <w:t>最佳滞后在不同窗口和方法下明显变化</w:t>
            </w:r>
          </w:p>
        </w:tc>
      </w:tr>
      <w:tr>
        <w:tc>
          <w:tcPr>
            <w:tcW w:type="dxa" w:w="3312"/>
            <w:vAlign w:val="center"/>
          </w:tcPr>
          <w:p>
            <w:r>
              <w:t>中国固定滞后日本约22年</w:t>
            </w:r>
          </w:p>
        </w:tc>
        <w:tc>
          <w:tcPr>
            <w:tcW w:type="dxa" w:w="3312"/>
            <w:vAlign w:val="center"/>
          </w:tcPr>
          <w:p>
            <w:r>
              <w:t>不能作为普遍结论</w:t>
            </w:r>
          </w:p>
        </w:tc>
        <w:tc>
          <w:tcPr>
            <w:tcW w:type="dxa" w:w="3312"/>
            <w:vAlign w:val="center"/>
          </w:tcPr>
          <w:p>
            <w:r>
              <w:t>B窗强支持，但最近D窗跨算法分歧</w:t>
            </w:r>
          </w:p>
        </w:tc>
      </w:tr>
      <w:tr>
        <w:tc>
          <w:tcPr>
            <w:tcW w:type="dxa" w:w="3312"/>
            <w:vAlign w:val="center"/>
          </w:tcPr>
          <w:p>
            <w:r>
              <w:t>中日存在可识别的宏观状态相似</w:t>
            </w:r>
          </w:p>
        </w:tc>
        <w:tc>
          <w:tcPr>
            <w:tcW w:type="dxa" w:w="3312"/>
            <w:vAlign w:val="center"/>
          </w:tcPr>
          <w:p>
            <w:r>
              <w:t>支持</w:t>
            </w:r>
          </w:p>
        </w:tc>
        <w:tc>
          <w:tcPr>
            <w:tcW w:type="dxa" w:w="3312"/>
            <w:vAlign w:val="center"/>
          </w:tcPr>
          <w:p>
            <w:r>
              <w:t>跨方法重复识别，随机检验显示并非容易偶然产生</w:t>
            </w:r>
          </w:p>
        </w:tc>
      </w:tr>
      <w:tr>
        <w:tc>
          <w:tcPr>
            <w:tcW w:type="dxa" w:w="3312"/>
            <w:vAlign w:val="center"/>
          </w:tcPr>
          <w:p>
            <w:r>
              <w:t>中国已持续进入日本2000年代状态</w:t>
            </w:r>
          </w:p>
        </w:tc>
        <w:tc>
          <w:tcPr>
            <w:tcW w:type="dxa" w:w="3312"/>
            <w:vAlign w:val="center"/>
          </w:tcPr>
          <w:p>
            <w:r>
              <w:t>不支持</w:t>
            </w:r>
          </w:p>
        </w:tc>
        <w:tc>
          <w:tcPr>
            <w:tcW w:type="dxa" w:w="3312"/>
            <w:vAlign w:val="center"/>
          </w:tcPr>
          <w:p>
            <w:r>
              <w:t>J00不连续，2024为过渡段</w:t>
            </w:r>
          </w:p>
        </w:tc>
      </w:tr>
      <w:tr>
        <w:tc>
          <w:tcPr>
            <w:tcW w:type="dxa" w:w="3312"/>
            <w:vAlign w:val="center"/>
          </w:tcPr>
          <w:p>
            <w:r>
              <w:t>低通胀/近零CPI意味着日本化</w:t>
            </w:r>
          </w:p>
        </w:tc>
        <w:tc>
          <w:tcPr>
            <w:tcW w:type="dxa" w:w="3312"/>
            <w:vAlign w:val="center"/>
          </w:tcPr>
          <w:p>
            <w:r>
              <w:t>不支持</w:t>
            </w:r>
          </w:p>
        </w:tc>
        <w:tc>
          <w:tcPr>
            <w:tcW w:type="dxa" w:w="3312"/>
            <w:vAlign w:val="center"/>
          </w:tcPr>
          <w:p>
            <w:r>
              <w:t>CPI held-out后效应坍缩；中国尚未持续负CPI</w:t>
            </w:r>
          </w:p>
        </w:tc>
      </w:tr>
      <w:tr>
        <w:tc>
          <w:tcPr>
            <w:tcW w:type="dxa" w:w="3312"/>
            <w:vAlign w:val="center"/>
          </w:tcPr>
          <w:p>
            <w:r>
              <w:t>投资下行具有共同特征</w:t>
            </w:r>
          </w:p>
        </w:tc>
        <w:tc>
          <w:tcPr>
            <w:tcW w:type="dxa" w:w="3312"/>
            <w:vAlign w:val="center"/>
          </w:tcPr>
          <w:p>
            <w:r>
              <w:t>目前支持度最高</w:t>
            </w:r>
          </w:p>
        </w:tc>
        <w:tc>
          <w:tcPr>
            <w:tcW w:type="dxa" w:w="3312"/>
            <w:vAlign w:val="center"/>
          </w:tcPr>
          <w:p>
            <w:r>
              <w:t>held-out后仍同向；峰值后长期回落形态相似</w:t>
            </w:r>
          </w:p>
        </w:tc>
      </w:tr>
      <w:tr>
        <w:tc>
          <w:tcPr>
            <w:tcW w:type="dxa" w:w="3312"/>
            <w:vAlign w:val="center"/>
          </w:tcPr>
          <w:p>
            <w:r>
              <w:t>货币增速状态存在共同特征</w:t>
            </w:r>
          </w:p>
        </w:tc>
        <w:tc>
          <w:tcPr>
            <w:tcW w:type="dxa" w:w="3312"/>
            <w:vAlign w:val="center"/>
          </w:tcPr>
          <w:p>
            <w:r>
              <w:t>有补充支持</w:t>
            </w:r>
          </w:p>
        </w:tc>
        <w:tc>
          <w:tcPr>
            <w:tcW w:type="dxa" w:w="3312"/>
            <w:vAlign w:val="center"/>
          </w:tcPr>
          <w:p>
            <w:r>
              <w:t>M2 held-out后仍同向</w:t>
            </w:r>
          </w:p>
        </w:tc>
      </w:tr>
      <w:tr>
        <w:tc>
          <w:tcPr>
            <w:tcW w:type="dxa" w:w="3312"/>
            <w:vAlign w:val="center"/>
          </w:tcPr>
          <w:p>
            <w:r>
              <w:t>中日背后的整体经济机制相同</w:t>
            </w:r>
          </w:p>
        </w:tc>
        <w:tc>
          <w:tcPr>
            <w:tcW w:type="dxa" w:w="3312"/>
            <w:vAlign w:val="center"/>
          </w:tcPr>
          <w:p>
            <w:r>
              <w:t>没有得到验证</w:t>
            </w:r>
          </w:p>
        </w:tc>
        <w:tc>
          <w:tcPr>
            <w:tcW w:type="dxa" w:w="3312"/>
            <w:vAlign w:val="center"/>
          </w:tcPr>
          <w:p>
            <w:r>
              <w:t>核心机制Gate仅投资通过，多项变量不一致</w:t>
            </w:r>
          </w:p>
        </w:tc>
      </w:tr>
    </w:tbl>
    <w:p>
      <w:pPr>
        <w:pStyle w:val="Heading1"/>
      </w:pPr>
      <w:r>
        <w:t>九、这对理解今天的中国意味着什么？</w:t>
      </w:r>
    </w:p>
    <w:p>
      <w:pPr>
        <w:pStyle w:val="Heading2"/>
      </w:pPr>
      <w:r>
        <w:t>1. “日本化”不是一个开关，而是一组不同状态</w:t>
      </w:r>
    </w:p>
    <w:p>
      <w:pPr>
        <w:spacing w:after="100" w:line="300" w:lineRule="auto"/>
      </w:pPr>
      <w:r>
        <w:t>中国可能同时拥有“日本90年代式”的投资和实体特征、“日本2000年代式”的低物价特征，以及明显不同于日本的人口、工资和汇率环境。“混合状态”比单一标签更接近现实。</w:t>
      </w:r>
    </w:p>
    <w:p>
      <w:pPr>
        <w:pStyle w:val="Heading2"/>
      </w:pPr>
      <w:r>
        <w:t>2. 低通胀本身不够，关键要看实体和资产负债表是否一起变化</w:t>
      </w:r>
    </w:p>
    <w:p>
      <w:pPr>
        <w:spacing w:after="100" w:line="300" w:lineRule="auto"/>
      </w:pPr>
      <w:r>
        <w:t>如果只看CPI，2023和2025很容易被判断为接近日本2000年代；一旦把CPI拿掉，这种归属明显动摇。未来更值得观察的是投资率、企业杠杆与资本开支、房地产调整、银行资产质量，以及M2和信用低增长是否变成长期结构。</w:t>
      </w:r>
    </w:p>
    <w:p>
      <w:pPr>
        <w:pStyle w:val="Heading2"/>
      </w:pPr>
      <w:r>
        <w:t>3. 日本历史可以作为参照系，但不能作为时间表</w:t>
      </w:r>
    </w:p>
    <w:p>
      <w:pPr>
        <w:spacing w:after="100" w:line="300" w:lineRule="auto"/>
      </w:pPr>
      <w:r>
        <w:t>日本历史最合适的用途，是提供一组“如果若干条件同时出现，可能会发生什么”的参照情景，而不是告诉我们“中国现在等于日本某一年，因此若干年后必然发生什么”。</w:t>
      </w:r>
    </w:p>
    <w:p>
      <w:pPr>
        <w:pStyle w:val="Heading1"/>
      </w:pPr>
      <w:r>
        <w:t>十、下一步最值得继续验证的是什么？</w:t>
      </w:r>
    </w:p>
    <w:p>
      <w:pPr>
        <w:spacing w:after="100" w:line="300" w:lineRule="auto"/>
      </w:pPr>
      <w:r>
        <w:t>如果研究继续深入，最有价值的不是继续添加GDP、CPI或M2的更多变体，而是使用完全没有参与本次分类的新变量，独立检验“投资下行背后是否真有类似日本的资产负债表机制”。</w:t>
      </w:r>
    </w:p>
    <w:p>
      <w:pPr>
        <w:pStyle w:val="ListBullet"/>
        <w:spacing w:after="40"/>
      </w:pPr>
      <w:r>
        <w:t>非金融企业债务、去杠杆和债务偿付负担；</w:t>
      </w:r>
    </w:p>
    <w:p>
      <w:pPr>
        <w:pStyle w:val="ListBullet"/>
        <w:spacing w:after="40"/>
      </w:pPr>
      <w:r>
        <w:t>企业利润率、ROA、现金流与资本开支；</w:t>
      </w:r>
    </w:p>
    <w:p>
      <w:pPr>
        <w:pStyle w:val="ListBullet"/>
        <w:spacing w:after="40"/>
      </w:pPr>
      <w:r>
        <w:t>房地产销售、库存、新开工和价格；</w:t>
      </w:r>
    </w:p>
    <w:p>
      <w:pPr>
        <w:pStyle w:val="ListBullet"/>
        <w:spacing w:after="40"/>
      </w:pPr>
      <w:r>
        <w:t>银行不良贷款率、信贷投向和风险处置；</w:t>
      </w:r>
    </w:p>
    <w:p>
      <w:pPr>
        <w:pStyle w:val="ListBullet"/>
        <w:spacing w:after="40"/>
      </w:pPr>
      <w:r>
        <w:t>居民债务、居民和企业储蓄；</w:t>
      </w:r>
    </w:p>
    <w:p>
      <w:pPr>
        <w:pStyle w:val="ListBullet"/>
        <w:spacing w:after="40"/>
      </w:pPr>
      <w:r>
        <w:t>实际利率和财政政策反应。</w:t>
      </w:r>
    </w:p>
    <w:p>
      <w:pPr>
        <w:spacing w:after="100" w:line="300" w:lineRule="auto"/>
      </w:pPr>
      <w:r>
        <w:t>如果这些新变量也独立显示与日本类似的顺序和路径，才能更有力地谈“共同机制”；如果不相似，则会进一步支持当前结论：中日会进入某些相似宏观状态，但不一定通过同一套经济机制到达那里。</w:t>
      </w:r>
    </w:p>
    <w:p>
      <w:pPr>
        <w:pStyle w:val="Heading1"/>
      </w:pPr>
      <w:r>
        <w:t>十一、结论</w:t>
      </w:r>
    </w:p>
    <w:p>
      <w:pPr>
        <w:spacing w:after="100" w:line="300" w:lineRule="auto"/>
      </w:pPr>
      <w:r>
        <w:t>这项研究最初想回答一个非常大众化的问题：中国是否正在变成“另一个日本”？</w:t>
      </w:r>
    </w:p>
    <w:p>
      <w:pPr>
        <w:spacing w:after="100" w:line="300" w:lineRule="auto"/>
      </w:pPr>
      <w:r>
        <w:t>最终答案是：两国确实存在可重复识别的历史相似状态，这一点有数据支持；在某些时期，两国甚至呈现约20多年时间差的强对应。但时间差并不稳定，无法形成“固定滞后”的历史规律。2013—2025年的中国也不是沿日本90年代到2000年代的时间轴单向前进，而是在几个日本历史状态之间反复摆动。</w:t>
      </w:r>
    </w:p>
    <w:p>
      <w:pPr>
        <w:spacing w:after="100" w:line="300" w:lineRule="auto"/>
      </w:pPr>
      <w:r>
        <w:t>更重要的是，独立机制验证把“状态相似”和“机制相同”分开了：CPI虽然最容易改变分类，却不能独立复现日本机制；投资率则是目前最扎实的共同通道，M2提供补充支持；多个其他维度并不一致。</w:t>
      </w:r>
    </w:p>
    <w:p>
      <w:pPr>
        <w:jc w:val="center"/>
      </w:pPr>
      <w:r>
        <w:rPr>
          <w:b/>
          <w:sz w:val="24"/>
        </w:rPr>
        <w:t>一句话总结：存在部分“日本式宏观状态”，但没有证据表明中国正按一个固定时间表整体复制日本；真正值得继续验证的是高投资平台后的长期回落及其背后的资产负债表机制，而不是把近零通胀本身等同于“日本化”。</w:t>
      </w:r>
    </w:p>
    <w:p>
      <w:r>
        <w:br w:type="page"/>
      </w:r>
    </w:p>
    <w:p>
      <w:pPr>
        <w:pStyle w:val="Heading1"/>
      </w:pPr>
      <w:r>
        <w:t>附录A：数据来自哪里？</w:t>
      </w:r>
    </w:p>
    <w:p>
      <w:pPr>
        <w:spacing w:after="100" w:line="300" w:lineRule="auto"/>
      </w:pPr>
      <w:r>
        <w:t>本研究使用专门构建的中日长期宏观数据库。正文不展开数据工程细节，这里只说明为什么数字可追溯。</w:t>
      </w:r>
    </w:p>
    <w:p>
      <w:pPr>
        <w:spacing w:after="100" w:line="300" w:lineRule="auto"/>
      </w:pPr>
      <w:r>
        <w:t>中国主要来源包括国家统计局《中国统计年鉴》和年度统计公报、官方人口/GDP/工业/投资/贸易数据，以及世界银行等用于个别年份的桥接数据。</w:t>
      </w:r>
    </w:p>
    <w:p>
      <w:pPr>
        <w:spacing w:after="100" w:line="300" w:lineRule="auto"/>
      </w:pPr>
      <w:r>
        <w:t>日本主要来源包括日本银行、内阁府ESRI、总务省统计局、财务省、国土交通省、厚生劳动省/e-Stat、人口问题研究机构，以及BIS、OECD、FRED等国际数据库。</w:t>
      </w:r>
    </w:p>
    <w:p>
      <w:pPr>
        <w:spacing w:after="100" w:line="300" w:lineRule="auto"/>
      </w:pPr>
      <w:r>
        <w:t>原始文件保留来源链接、下载时间、文件大小和SHA256校验值。少量市场行情或桥接数据被单独标注，不会在无说明情况下替代官方来源。</w:t>
      </w:r>
    </w:p>
    <w:p>
      <w:r>
        <w:br w:type="page"/>
      </w:r>
    </w:p>
    <w:p>
      <w:pPr>
        <w:pStyle w:val="Heading1"/>
      </w:pPr>
      <w:r>
        <w:t>附录B：指标怎样变成“宏观指纹”？</w:t>
      </w:r>
    </w:p>
    <w:p>
      <w:pPr>
        <w:spacing w:after="100" w:line="300" w:lineRule="auto"/>
      </w:pPr>
      <w:r>
        <w:t>研究把指标分为增长、通胀、货币/信用、外部环境、人口/劳动力五大类。</w:t>
      </w:r>
    </w:p>
    <w:p>
      <w:pPr>
        <w:spacing w:after="100" w:line="300" w:lineRule="auto"/>
      </w:pPr>
      <w:r>
        <w:t>由于两国绝对规模不同，各项指标先转换为其在本国历史中的相对位置，再比较两国多维组合。可以把它理解为比较“在各自同龄人中处于什么位置”，而不是直接比较绝对值。</w:t>
      </w:r>
    </w:p>
    <w:p>
      <w:pPr>
        <w:spacing w:after="100" w:line="300" w:lineRule="auto"/>
      </w:pPr>
      <w:r>
        <w:t>遇到统计口径变化、不同SNA版本或来源切换时，数据不会静默拼接，而是记录定义变化和必要的转换。</w:t>
      </w:r>
    </w:p>
    <w:p>
      <w:r>
        <w:br w:type="page"/>
      </w:r>
    </w:p>
    <w:p>
      <w:pPr>
        <w:pStyle w:val="Heading1"/>
      </w:pPr>
      <w:r>
        <w:t>附录C：相似度、固定滞后与独立验证怎样计算？</w:t>
      </w:r>
    </w:p>
    <w:p>
      <w:pPr>
        <w:spacing w:after="100" w:line="300" w:lineRule="auto"/>
      </w:pPr>
      <w:r>
        <w:t>年度相似度：对每个中国年份，在允许的日本年份范围内比较五类宏观信息的距离，距离越小表示越相似。</w:t>
      </w:r>
    </w:p>
    <w:p>
      <w:pPr>
        <w:spacing w:after="100" w:line="300" w:lineRule="auto"/>
      </w:pPr>
      <w:r>
        <w:t>固定滞后：假设中国t年对应日本t−L年；如果固定L真实且稳定，多种算法和多个年份窗口应得到相近结果。本研究没有观察到全局稳定性。</w:t>
      </w:r>
    </w:p>
    <w:p>
      <w:pPr>
        <w:spacing w:after="100" w:line="300" w:lineRule="auto"/>
      </w:pPr>
      <w:r>
        <w:t>随机检验：随机打乱历史对应10,000次，每次重新寻找最优结果，用来排除“总能碰巧挑到一个像的年份”。</w:t>
      </w:r>
    </w:p>
    <w:p>
      <w:pPr>
        <w:spacing w:after="100" w:line="300" w:lineRule="auto"/>
      </w:pPr>
      <w:r>
        <w:t>Held-out验证：要验证某变量是否代表共同机制，就先让它不参与分类，分类完成后再拿回来检验。这一设计用于避免循环论证。</w:t>
      </w:r>
    </w:p>
    <w:p>
      <w:r>
        <w:br w:type="page"/>
      </w:r>
    </w:p>
    <w:p>
      <w:pPr>
        <w:pStyle w:val="Heading1"/>
      </w:pPr>
      <w:r>
        <w:t>附录D：数据与程序怎样保证可靠？</w:t>
      </w:r>
    </w:p>
    <w:p>
      <w:pPr>
        <w:spacing w:after="100" w:line="300" w:lineRule="auto"/>
      </w:pPr>
      <w:r>
        <w:t>研究过程中发现过会显著改变结果的错误，包括中国贸易表列错位、日本投资率单位错误、排序型相似度算法符号错误。</w:t>
      </w:r>
    </w:p>
    <w:p>
      <w:pPr>
        <w:spacing w:after="100" w:line="300" w:lineRule="auto"/>
      </w:pPr>
      <w:r>
        <w:t>所有错误都被记录、修正并重新运行相关分析。修正以后，一些原先更“漂亮”的结论被主动撤回或降级。</w:t>
      </w:r>
    </w:p>
    <w:p>
      <w:pPr>
        <w:spacing w:after="100" w:line="300" w:lineRule="auto"/>
      </w:pPr>
      <w:r>
        <w:t>数据处理阶段保留原始文件、派生文件、来源清单、SHA256校验、父子文件关系、定义变化记录和错误修订登记。这些材料只用于证明数据可追溯，不作为经济结论本身的证据。</w:t>
      </w:r>
    </w:p>
    <w:p>
      <w:r>
        <w:br w:type="page"/>
      </w:r>
    </w:p>
    <w:p>
      <w:pPr>
        <w:pStyle w:val="Heading1"/>
      </w:pPr>
      <w:r>
        <w:t>附录E：名词解释</w:t>
      </w:r>
    </w:p>
    <w:p>
      <w:pPr>
        <w:spacing w:after="100" w:line="300" w:lineRule="auto"/>
      </w:pPr>
      <w:r>
        <w:t>J90：本研究内部简写，指日本1991—1998年，并非标准学术名称。</w:t>
      </w:r>
    </w:p>
    <w:p>
      <w:pPr>
        <w:spacing w:after="100" w:line="300" w:lineRule="auto"/>
      </w:pPr>
      <w:r>
        <w:t>JGAP：日本1999—2002年的过渡段，仅用于辅助解释。</w:t>
      </w:r>
    </w:p>
    <w:p>
      <w:pPr>
        <w:spacing w:after="100" w:line="300" w:lineRule="auto"/>
      </w:pPr>
      <w:r>
        <w:t>J00：本研究内部简写，指日本2003—2011年，不等于“所有2000年代”。</w:t>
      </w:r>
    </w:p>
    <w:p>
      <w:pPr>
        <w:spacing w:after="100" w:line="300" w:lineRule="auto"/>
      </w:pPr>
      <w:r>
        <w:t>宏观状态：增长、物价、投资、货币、外贸、人口等多项指标共同构成的一年经济特征。</w:t>
      </w:r>
    </w:p>
    <w:p>
      <w:pPr>
        <w:spacing w:after="100" w:line="300" w:lineRule="auto"/>
      </w:pPr>
      <w:r>
        <w:t>固定滞后：假设中国始终对应日本N年前，例如“固定滞后22年”。</w:t>
      </w:r>
    </w:p>
    <w:p>
      <w:pPr>
        <w:spacing w:after="100" w:line="300" w:lineRule="auto"/>
      </w:pPr>
      <w:r>
        <w:t>分类铰链：某变量一旦拿掉，会使较多年份改变历史阶段归属；它对分类重要，但不等于已证明是共同机制。</w:t>
      </w:r>
    </w:p>
    <w:p>
      <w:pPr>
        <w:spacing w:after="100" w:line="300" w:lineRule="auto"/>
      </w:pPr>
      <w:r>
        <w:t>Held-out验证：先把变量从分类依据中拿掉，分类后再用它独立检验。</w:t>
      </w:r>
    </w:p>
    <w:sectPr w:rsidR="00FC693F" w:rsidRPr="0006063C" w:rsidSect="00034616">
      <w:footerReference w:type="default" r:id="rId17"/>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JP-HIST 中日宏观结构相似性深度研究｜大众阅读版</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4F81BD" w:themeColor="accent1"/>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eastAsia="Noto Sans CJK SC"/>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SC" w:hAnsi="Noto Sans CJK SC" w:eastAsia="Noto Sans CJK SC"/>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