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Lesson 2: Systems and Stakeholders</w:t>
      </w:r>
    </w:p>
    <w:p>
      <w:pPr>
        <w:jc w:val="center"/>
      </w:pPr>
      <w:r>
        <w:rPr>
          <w:b/>
          <w:sz w:val="28"/>
        </w:rPr>
        <w:t>Lab 2: Cyber Incident Impact Mapping — Answers</w:t>
      </w:r>
    </w:p>
    <w:p>
      <w:r>
        <w:t>Scenario: A fictional attacker gains unauthorized access to Nugaal University's student information system through a compromised staff account. The attacker views student records and disrupts access to the university's online registration portal.</w:t>
      </w:r>
    </w:p>
    <w:p>
      <w:pPr>
        <w:pStyle w:val="Heading2"/>
      </w:pPr>
      <w:r>
        <w:t>1. Immediate and Secondary Consequences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Immediate consequences</w:t>
            </w:r>
          </w:p>
        </w:tc>
        <w:tc>
          <w:tcPr>
            <w:tcW w:type="dxa" w:w="5112"/>
          </w:tcPr>
          <w:p>
            <w:r>
              <w:rPr>
                <w:b/>
              </w:rPr>
              <w:t>Secondary consequences</w:t>
            </w:r>
          </w:p>
        </w:tc>
      </w:tr>
      <w:tr>
        <w:tc>
          <w:tcPr>
            <w:tcW w:type="dxa" w:w="5112"/>
          </w:tcPr>
          <w:p>
            <w:r>
              <w:t>Unauthorized access to student records.</w:t>
            </w:r>
          </w:p>
        </w:tc>
        <w:tc>
          <w:tcPr>
            <w:tcW w:type="dxa" w:w="5112"/>
          </w:tcPr>
          <w:p>
            <w:r>
              <w:t>Loss of student and staff trust in university systems.</w:t>
            </w:r>
          </w:p>
        </w:tc>
      </w:tr>
      <w:tr>
        <w:tc>
          <w:tcPr>
            <w:tcW w:type="dxa" w:w="5112"/>
          </w:tcPr>
          <w:p>
            <w:r>
              <w:t>Online registration becomes unavailable.</w:t>
            </w:r>
          </w:p>
        </w:tc>
        <w:tc>
          <w:tcPr>
            <w:tcW w:type="dxa" w:w="5112"/>
          </w:tcPr>
          <w:p>
            <w:r>
              <w:t>Delayed course registration and possible missed deadlines.</w:t>
            </w:r>
          </w:p>
        </w:tc>
      </w:tr>
      <w:tr>
        <w:tc>
          <w:tcPr>
            <w:tcW w:type="dxa" w:w="5112"/>
          </w:tcPr>
          <w:p>
            <w:r>
              <w:t>Sensitive information may be exposed.</w:t>
            </w:r>
          </w:p>
        </w:tc>
        <w:tc>
          <w:tcPr>
            <w:tcW w:type="dxa" w:w="5112"/>
          </w:tcPr>
          <w:p>
            <w:r>
              <w:t>Privacy complaints, legal or regulatory consequences, and reputational damage.</w:t>
            </w:r>
          </w:p>
        </w:tc>
      </w:tr>
      <w:tr>
        <w:tc>
          <w:tcPr>
            <w:tcW w:type="dxa" w:w="5112"/>
          </w:tcPr>
          <w:p>
            <w:r>
              <w:t>IT staff must suspend affected accounts and systems.</w:t>
            </w:r>
          </w:p>
        </w:tc>
        <w:tc>
          <w:tcPr>
            <w:tcW w:type="dxa" w:w="5112"/>
          </w:tcPr>
          <w:p>
            <w:r>
              <w:t>Increased recovery costs and reduced staff productivity.</w:t>
            </w:r>
          </w:p>
        </w:tc>
      </w:tr>
      <w:tr>
        <w:tc>
          <w:tcPr>
            <w:tcW w:type="dxa" w:w="5112"/>
          </w:tcPr>
          <w:p>
            <w:r>
              <w:t>Possible alteration or deletion of records.</w:t>
            </w:r>
          </w:p>
        </w:tc>
        <w:tc>
          <w:tcPr>
            <w:tcW w:type="dxa" w:w="5112"/>
          </w:tcPr>
          <w:p>
            <w:r>
              <w:t>Incorrect academic or administrative decisions if data integrity is not verified.</w:t>
            </w:r>
          </w:p>
        </w:tc>
      </w:tr>
    </w:tbl>
    <w:p>
      <w:pPr>
        <w:pStyle w:val="Heading2"/>
      </w:pPr>
      <w:r>
        <w:t>2. Affected Users and Stakeholders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Stakeholder</w:t>
            </w:r>
          </w:p>
        </w:tc>
        <w:tc>
          <w:tcPr>
            <w:tcW w:type="dxa" w:w="5112"/>
          </w:tcPr>
          <w:p>
            <w:r>
              <w:rPr>
                <w:b/>
              </w:rPr>
              <w:t>Potential effect</w:t>
            </w:r>
          </w:p>
        </w:tc>
      </w:tr>
      <w:tr>
        <w:tc>
          <w:tcPr>
            <w:tcW w:type="dxa" w:w="5112"/>
          </w:tcPr>
          <w:p>
            <w:r>
              <w:t>Students</w:t>
            </w:r>
          </w:p>
        </w:tc>
        <w:tc>
          <w:tcPr>
            <w:tcW w:type="dxa" w:w="5112"/>
          </w:tcPr>
          <w:p>
            <w:r>
              <w:t>May be unable to register for courses and may have personal information exposed.</w:t>
            </w:r>
          </w:p>
        </w:tc>
      </w:tr>
      <w:tr>
        <w:tc>
          <w:tcPr>
            <w:tcW w:type="dxa" w:w="5112"/>
          </w:tcPr>
          <w:p>
            <w:r>
              <w:t>Teaching staff</w:t>
            </w:r>
          </w:p>
        </w:tc>
        <w:tc>
          <w:tcPr>
            <w:tcW w:type="dxa" w:w="5112"/>
          </w:tcPr>
          <w:p>
            <w:r>
              <w:t>May be unable to access student information or update academic records.</w:t>
            </w:r>
          </w:p>
        </w:tc>
      </w:tr>
      <w:tr>
        <w:tc>
          <w:tcPr>
            <w:tcW w:type="dxa" w:w="5112"/>
          </w:tcPr>
          <w:p>
            <w:r>
              <w:t>Administrative staff</w:t>
            </w:r>
          </w:p>
        </w:tc>
        <w:tc>
          <w:tcPr>
            <w:tcW w:type="dxa" w:w="5112"/>
          </w:tcPr>
          <w:p>
            <w:r>
              <w:t>May be unable to process registration, admissions, and student services.</w:t>
            </w:r>
          </w:p>
        </w:tc>
      </w:tr>
      <w:tr>
        <w:tc>
          <w:tcPr>
            <w:tcW w:type="dxa" w:w="5112"/>
          </w:tcPr>
          <w:p>
            <w:r>
              <w:t>IT and security team</w:t>
            </w:r>
          </w:p>
        </w:tc>
        <w:tc>
          <w:tcPr>
            <w:tcW w:type="dxa" w:w="5112"/>
          </w:tcPr>
          <w:p>
            <w:r>
              <w:t>Must investigate, contain, recover, and monitor the incident.</w:t>
            </w:r>
          </w:p>
        </w:tc>
      </w:tr>
      <w:tr>
        <w:tc>
          <w:tcPr>
            <w:tcW w:type="dxa" w:w="5112"/>
          </w:tcPr>
          <w:p>
            <w:r>
              <w:t>University management</w:t>
            </w:r>
          </w:p>
        </w:tc>
        <w:tc>
          <w:tcPr>
            <w:tcW w:type="dxa" w:w="5112"/>
          </w:tcPr>
          <w:p>
            <w:r>
              <w:t>Must coordinate decisions, communication, and business continuity.</w:t>
            </w:r>
          </w:p>
        </w:tc>
      </w:tr>
      <w:tr>
        <w:tc>
          <w:tcPr>
            <w:tcW w:type="dxa" w:w="5112"/>
          </w:tcPr>
          <w:p>
            <w:r>
              <w:t>Parents or sponsors</w:t>
            </w:r>
          </w:p>
        </w:tc>
        <w:tc>
          <w:tcPr>
            <w:tcW w:type="dxa" w:w="5112"/>
          </w:tcPr>
          <w:p>
            <w:r>
              <w:t>May be affected indirectly if student services or personal information are disrupted.</w:t>
            </w:r>
          </w:p>
        </w:tc>
      </w:tr>
    </w:tbl>
    <w:p>
      <w:pPr>
        <w:pStyle w:val="Heading2"/>
      </w:pPr>
      <w:r>
        <w:t>3. Affected Business Functions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Business function</w:t>
            </w:r>
          </w:p>
        </w:tc>
        <w:tc>
          <w:tcPr>
            <w:tcW w:type="dxa" w:w="5112"/>
          </w:tcPr>
          <w:p>
            <w:r>
              <w:rPr>
                <w:b/>
              </w:rPr>
              <w:t>Impact</w:t>
            </w:r>
          </w:p>
        </w:tc>
      </w:tr>
      <w:tr>
        <w:tc>
          <w:tcPr>
            <w:tcW w:type="dxa" w:w="5112"/>
          </w:tcPr>
          <w:p>
            <w:r>
              <w:t>Student registration</w:t>
            </w:r>
          </w:p>
        </w:tc>
        <w:tc>
          <w:tcPr>
            <w:tcW w:type="dxa" w:w="5112"/>
          </w:tcPr>
          <w:p>
            <w:r>
              <w:t>Students cannot register for courses or confirm their schedules.</w:t>
            </w:r>
          </w:p>
        </w:tc>
      </w:tr>
      <w:tr>
        <w:tc>
          <w:tcPr>
            <w:tcW w:type="dxa" w:w="5112"/>
          </w:tcPr>
          <w:p>
            <w:r>
              <w:t>Academic records management</w:t>
            </w:r>
          </w:p>
        </w:tc>
        <w:tc>
          <w:tcPr>
            <w:tcW w:type="dxa" w:w="5112"/>
          </w:tcPr>
          <w:p>
            <w:r>
              <w:t>Staff may be unable to safely access or update grades and student records.</w:t>
            </w:r>
          </w:p>
        </w:tc>
      </w:tr>
      <w:tr>
        <w:tc>
          <w:tcPr>
            <w:tcW w:type="dxa" w:w="5112"/>
          </w:tcPr>
          <w:p>
            <w:r>
              <w:t>Admissions and student services</w:t>
            </w:r>
          </w:p>
        </w:tc>
        <w:tc>
          <w:tcPr>
            <w:tcW w:type="dxa" w:w="5112"/>
          </w:tcPr>
          <w:p>
            <w:r>
              <w:t>Applications, requests, and support activities may be delayed.</w:t>
            </w:r>
          </w:p>
        </w:tc>
      </w:tr>
      <w:tr>
        <w:tc>
          <w:tcPr>
            <w:tcW w:type="dxa" w:w="5112"/>
          </w:tcPr>
          <w:p>
            <w:r>
              <w:t>University communications</w:t>
            </w:r>
          </w:p>
        </w:tc>
        <w:tc>
          <w:tcPr>
            <w:tcW w:type="dxa" w:w="5112"/>
          </w:tcPr>
          <w:p>
            <w:r>
              <w:t>Incident notifications and normal administrative communication may be interrupted.</w:t>
            </w:r>
          </w:p>
        </w:tc>
      </w:tr>
      <w:tr>
        <w:tc>
          <w:tcPr>
            <w:tcW w:type="dxa" w:w="5112"/>
          </w:tcPr>
          <w:p>
            <w:r>
              <w:t>IT operations and security</w:t>
            </w:r>
          </w:p>
        </w:tc>
        <w:tc>
          <w:tcPr>
            <w:tcW w:type="dxa" w:w="5112"/>
          </w:tcPr>
          <w:p>
            <w:r>
              <w:t>Technical staff must divert resources to incident response and recovery.</w:t>
            </w:r>
          </w:p>
        </w:tc>
      </w:tr>
      <w:tr>
        <w:tc>
          <w:tcPr>
            <w:tcW w:type="dxa" w:w="5112"/>
          </w:tcPr>
          <w:p>
            <w:r>
              <w:t>Compliance and governance</w:t>
            </w:r>
          </w:p>
        </w:tc>
        <w:tc>
          <w:tcPr>
            <w:tcW w:type="dxa" w:w="5112"/>
          </w:tcPr>
          <w:p>
            <w:r>
              <w:t>The university may need to assess reporting, privacy, and policy obligations.</w:t>
            </w:r>
          </w:p>
        </w:tc>
      </w:tr>
    </w:tbl>
    <w:p>
      <w:pPr>
        <w:pStyle w:val="Heading2"/>
      </w:pPr>
      <w:r>
        <w:t>4. Three Containment Actions</w:t>
      </w:r>
    </w:p>
    <w:p>
      <w:pPr>
        <w:pStyle w:val="ListNumber"/>
      </w:pPr>
      <w:r>
        <w:t>Disable or isolate the compromised staff account and any affected systems to prevent further unauthorized access.</w:t>
      </w:r>
    </w:p>
    <w:p>
      <w:pPr>
        <w:pStyle w:val="ListNumber"/>
      </w:pPr>
      <w:r>
        <w:t>Segment or temporarily restrict access to the student information system and registration portal while preserving essential services where safe.</w:t>
      </w:r>
    </w:p>
    <w:p>
      <w:pPr>
        <w:pStyle w:val="ListNumber"/>
      </w:pPr>
      <w:r>
        <w:t>Block known malicious connections, reset affected credentials, and increase monitoring of relevant accounts, endpoints, and network traffic.</w:t>
      </w:r>
    </w:p>
    <w:p>
      <w:pPr>
        <w:pStyle w:val="Heading2"/>
      </w:pPr>
      <w:r>
        <w:t>5. What Information Is Sensitive?</w:t>
      </w:r>
    </w:p>
    <w:p>
      <w:r>
        <w:t>Sensitive information includes student identification details, national identification numbers or other identity documents, contact information, academic records, examination results, financial or payment information, account usernames and password-related data, and any confidential staff or university records.</w:t>
      </w:r>
    </w:p>
    <w:p>
      <w:pPr>
        <w:pStyle w:val="Heading2"/>
      </w:pPr>
      <w:r>
        <w:t>6. What Service Should Be Restored First?</w:t>
      </w:r>
    </w:p>
    <w:p>
      <w:r>
        <w:t>The student information and registration service should be restored first, provided that it has been secured and its data integrity has been verified. This service is essential for course registration and academic administration. If the identity system is required for secure access, it should be recovered or stabilized first as a supporting dependency.</w:t>
      </w:r>
    </w:p>
    <w:p>
      <w:pPr>
        <w:pStyle w:val="Heading2"/>
      </w:pPr>
      <w:r>
        <w:t>7. What Evidence Should Be Preserved?</w:t>
      </w:r>
    </w:p>
    <w:p>
      <w:pPr>
        <w:pStyle w:val="ListBullet"/>
      </w:pPr>
      <w:r>
        <w:t>Authentication and access logs from the compromised staff account.</w:t>
      </w:r>
    </w:p>
    <w:p>
      <w:pPr>
        <w:pStyle w:val="ListBullet"/>
      </w:pPr>
      <w:r>
        <w:t>System, database, web server, firewall, and network logs.</w:t>
      </w:r>
    </w:p>
    <w:p>
      <w:pPr>
        <w:pStyle w:val="ListBullet"/>
      </w:pPr>
      <w:r>
        <w:t>Relevant endpoint or virtual machine disk images and memory captures, where authorized.</w:t>
      </w:r>
    </w:p>
    <w:p>
      <w:pPr>
        <w:pStyle w:val="ListBullet"/>
      </w:pPr>
      <w:r>
        <w:t>Suspicious emails, phishing messages, attachments, and malicious files.</w:t>
      </w:r>
    </w:p>
    <w:p>
      <w:pPr>
        <w:pStyle w:val="ListBullet"/>
      </w:pPr>
      <w:r>
        <w:t>Records of unauthorized changes, deleted data, or unusual database activity.</w:t>
      </w:r>
    </w:p>
    <w:p>
      <w:pPr>
        <w:pStyle w:val="ListBullet"/>
      </w:pPr>
      <w:r>
        <w:t>Timestamps, alerts, IP addresses, affected accounts, and incident response actions.</w:t>
      </w:r>
    </w:p>
    <w:p>
      <w:pPr>
        <w:pStyle w:val="ListBullet"/>
      </w:pPr>
      <w:r>
        <w:t>Copies of relevant configurations and backups, preserving originals where possible.</w:t>
      </w:r>
    </w:p>
    <w:p>
      <w:pPr>
        <w:pStyle w:val="Heading2"/>
      </w:pPr>
      <w:r>
        <w:t>Short Incident Summary</w:t>
      </w:r>
    </w:p>
    <w:p>
      <w:r>
        <w:t>Nugaal University experienced a fictional cyber incident in which an attacker used a compromised staff account to gain unauthorized access to the student information system. Student records may have been exposed, and the online registration portal became unavailable. The incident affected students, teaching staff, administrative staff, university management, and the IT security team. The main affected functions were student registration, academic records management, and student services. The university should contain the incident by isolating compromised accounts and systems, restricting suspicious access, and increasing monitoring. Before restoring services, the university should verify that systems are secure and that academic records have not been altered. Relevant logs, system images, suspicious messages, and incident timelines should be preserved for investigation.</w:t>
      </w:r>
    </w:p>
    <w:p>
      <w:pPr>
        <w:pStyle w:val="Heading2"/>
      </w:pPr>
      <w:r>
        <w:t>Conclusion</w:t>
      </w:r>
    </w:p>
    <w:p>
      <w:r>
        <w:t>The incident demonstrates how a compromise of one account can affect systems, users, business functions, and the university's reputation. Effective incident response requires rapid containment, careful evidence preservation, secure recovery, and clear communication with affected stakeholders.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