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Curriculum Manual: Space Science, Hybrid Rocketry, and Picosatellite Engineering (RHUMI Twin 2026 Program)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of the Curriculum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progressive democratization of outer space has driven an unprecedented demand for agile, low-cost, and rapid-turnaround launch solutions. In response to this shifting landscape, the curriculum of the RHUMI Twin 2026 educational space program establishes a structured methodology designed to transform academic learning into certified technical competence. Mentored by leading space scientists, including former ISRO Satellite Centre Director Dr. Mylswamy Annadurai, and spearheaded by the founder of India's private rocketry ecosystem, Anand Megalingam, the program integrates advanced concepts in spacecraft engineering,(</w:t>
      </w:r>
      <w:hyperlink r:id="rId6">
        <w:r w:rsidDel="00000000" w:rsidR="00000000" w:rsidRPr="00000000">
          <w:rPr>
            <w:color w:val="0000ee"/>
            <w:u w:val="single"/>
            <w:rtl w:val="0"/>
          </w:rPr>
          <w:t xml:space="preserve">https://en.wikipedia.org/wiki/Space_science</w:t>
        </w:r>
      </w:hyperlink>
      <w:r w:rsidDel="00000000" w:rsidR="00000000" w:rsidRPr="00000000">
        <w:rPr>
          <w:rtl w:val="0"/>
        </w:rPr>
        <w:t xml:space="preserve">), and hybrid sounding rocket propulsion.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master curriculum manual provides a highly structured, 12-chapter textbook-level syllabus distributed across exactly four distinct thematic sections. Each section represents a critical phase of professional development, bridging the gap between theoretical calculations and practical, mission-critical execution. By aligning learning modules with industrial standards—specifically the IPC Class 3 printed circuit board design rules and the standardized PocketQube (1P) picosatellite standard—the curriculum ensures that participants develop directly transferable engineering capabilities. The ultimate milestone of this educational journey is the active integration, verification, and flight validation of student-built picosatellites aboard the twin RHUMI reusable hybrid sounding rockets, scheduled for simultaneous launch in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RHUMI TWIN 2026 CURRICULUM                  |</w:t>
        <w:br w:type="textWrapping"/>
        <w:t xml:space="preserve">                  +-----------------------------------------------------------+</w:t>
        <w:br w:type="textWrapping"/>
        <w:t xml:space="preserve">                                                |</w:t>
        <w:br w:type="textWrapping"/>
        <w:t xml:space="preserve">         +--------------------------------------+--------------------------------------+</w:t>
        <w:br w:type="textWrapping"/>
        <w:t xml:space="preserve">         |                                                                             |</w:t>
        <w:br w:type="textWrapping"/>
        <w:t xml:space="preserve">+----------------------------------+                                          +----------------------------------+</w:t>
        <w:br w:type="textWrapping"/>
        <w:t xml:space="preserve">| SECTION 1: SPACE &amp; PROPULSION    |                                          | SECTION 2: PICOSAT ARCHITECTURE  |</w:t>
        <w:br w:type="textWrapping"/>
        <w:t xml:space="preserve">+----------------------------------+                                          +----------------------------------+</w:t>
        <w:br w:type="textWrapping"/>
        <w:t xml:space="preserve">| Ch. 1: Near-Space &amp; Sounding     |                                          | Ch. 4: Miniaturized Taxonomy     |</w:t>
        <w:br w:type="textWrapping"/>
        <w:t xml:space="preserve">| Ch. 2: Celestial &amp; Orbital Mech  |                                          | Ch. 5: Mechanical &amp; Structural   |</w:t>
        <w:br w:type="textWrapping"/>
        <w:t xml:space="preserve">| Ch. 3: Hybrid Propulsion Physics |                                          | Ch. 6: Electrical &amp; PQ-9 Standard|</w:t>
        <w:br w:type="textWrapping"/>
        <w:t xml:space="preserve">+----------------------------------+                                          +----------------------------------+</w:t>
        <w:br w:type="textWrapping"/>
        <w:t xml:space="preserve">         |                                                                             |</w:t>
        <w:br w:type="textWrapping"/>
        <w:t xml:space="preserve">         +--------------------------------------+--------------------------------------+</w:t>
        <w:br w:type="textWrapping"/>
        <w:t xml:space="preserve">                                                |</w:t>
        <w:br w:type="textWrapping"/>
        <w:t xml:space="preserve">         +--------------------------------------+--------------------------------------+</w:t>
        <w:br w:type="textWrapping"/>
        <w:t xml:space="preserve">         |                                                                             |</w:t>
        <w:br w:type="textWrapping"/>
        <w:t xml:space="preserve">+----------------------------------+                                          +----------------------------------+</w:t>
        <w:br w:type="textWrapping"/>
        <w:t xml:space="preserve">| SECTION 3: AEROSPACE PCB DESIGN  |                                          | SECTION 4: SOLDER, SIM, &amp; OPS    |</w:t>
        <w:br w:type="textWrapping"/>
        <w:t xml:space="preserve">+----------------------------------+                                          +----------------------------------+</w:t>
        <w:br w:type="textWrapping"/>
        <w:t xml:space="preserve">| Ch. 7: Fundamentals of PCB       |                                          | Ch. 10: Aerospace Soldering      |</w:t>
        <w:br w:type="textWrapping"/>
        <w:t xml:space="preserve">| Ch. 8: High-Rel Stack-up &amp; Fab   |                                          | Ch. 11: Structural Mechanics     |</w:t>
        <w:br w:type="textWrapping"/>
        <w:t xml:space="preserve">| Ch. 9: Avionic Sensors &amp; OBC     |                                          | Ch. 12: Launch &amp; Operations      |</w:t>
        <w:br w:type="textWrapping"/>
        <w:t xml:space="preserve">+----------------------------------+                                          +----------------------------------+</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Curriculum Metric</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 Specification /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Program Value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educational space program with merit-based scholarship evaluations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Ages / Experience Target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for young innovators aged 10+ with progressive learning levels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Theoretical Lectures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Hours of structured classroom instruction spanning space physics, mechanics, and design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Practical Hands-On Lab</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Hours of component identification, tool handling, and structural assembly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Interactive Modules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Hours of 3D concept videos detailing deployment mechanics and system internals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Immersive Simulations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Minutes of VR-based launch and satellite ejection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Hardware Exposure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Augmented Reality (AR) flashcards, soldering exercises, structural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Advanced Design Portfolios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1 Structural Simulation and Level 1 PCB Design using ECAD 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Milestone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In-person or remote access to witness the RHUMI Twin Sounding Rocket Launch</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1: Principles of Space Science, Orbital Dynamics, and Rocket Propulsion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Foundations of Space Science and Atmospheric Physics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aerospace systems begins with a precise characterization of the physical environments through which launch vehicles traverse and in which satellites operate.</w:t>
      </w:r>
      <w:hyperlink r:id="rId7">
        <w:r w:rsidDel="00000000" w:rsidR="00000000" w:rsidRPr="00000000">
          <w:rPr>
            <w:color w:val="0000ee"/>
            <w:u w:val="single"/>
            <w:rtl w:val="0"/>
          </w:rPr>
          <w:t xml:space="preserve">Outer space</w:t>
        </w:r>
      </w:hyperlink>
      <w:r w:rsidDel="00000000" w:rsidR="00000000" w:rsidRPr="00000000">
        <w:rPr>
          <w:rtl w:val="0"/>
        </w:rPr>
        <w:t xml:space="preserve"> is not a benign void but a dynamic, challenging environment characterized by a near-perfect vacuum, extreme thermal gradients, and ionizing cosmic radiation. The transition from the terrestrial biosphere to this environment occurs through </w:t>
      </w:r>
      <w:hyperlink r:id="rId8">
        <w:r w:rsidDel="00000000" w:rsidR="00000000" w:rsidRPr="00000000">
          <w:rPr>
            <w:color w:val="0000ee"/>
            <w:u w:val="single"/>
            <w:rtl w:val="0"/>
          </w:rPr>
          <w:t xml:space="preserve">Earth's atmosphere</w:t>
        </w:r>
      </w:hyperlink>
      <w:r w:rsidDel="00000000" w:rsidR="00000000" w:rsidRPr="00000000">
        <w:rPr>
          <w:rtl w:val="0"/>
        </w:rPr>
        <w:t xml:space="preserve">, which is divided into distinct thermal layers: the troposphere, stratosphere, mesosphere, thermosphere, and exosphere.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 extending from approximately 20 km to 100 km above sea level is defined as </w:t>
      </w:r>
      <w:hyperlink r:id="rId9">
        <w:r w:rsidDel="00000000" w:rsidR="00000000" w:rsidRPr="00000000">
          <w:rPr>
            <w:color w:val="0000ee"/>
            <w:u w:val="single"/>
            <w:rtl w:val="0"/>
          </w:rPr>
          <w:t xml:space="preserve">Near-space</w:t>
        </w:r>
      </w:hyperlink>
      <w:r w:rsidDel="00000000" w:rsidR="00000000" w:rsidRPr="00000000">
        <w:rPr>
          <w:rtl w:val="0"/>
        </w:rPr>
        <w:t xml:space="preserve">. This critical band lies directly above the operational ceiling of commercial jet aircraft and weather balloons, yet below the minimum altitude required for stable orbital satellites, which suffer from rapid orbital decay due to atmospheric drag in LEO. Sounding rockets are the primary vehicles used to study this mesospheric boundary. These vehicles follow a suborbital trajectory, climbing through the stratosphere and mesosphere to collect transient atmospheric data before descending back to Earth. Payloads designed for this environment must survive rapid pressure drops, where ambient pressure plummets from 101.3 kPa at sea level to less than 5 kPa, as well as severe thermal gradients and intense solar ultraviolet (UV) radiation.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Atmospheric Thermal and Operational Strata</w:t>
        <w:br w:type="textWrapping"/>
        <w:t xml:space="preserve">Altitude (km)</w:t>
        <w:br w:type="textWrapping"/>
        <w:t xml:space="preserve"> ^</w:t>
        <w:br w:type="textWrapping"/>
        <w:t xml:space="preserve"> |  [100 km]----------------- Kármán Line (Orbital Boundary) -----------------</w:t>
        <w:br w:type="textWrapping"/>
        <w:t xml:space="preserve"> |           Thermosphere: Ionizing radiation, extreme solar UV exposure</w:t>
        <w:br w:type="textWrapping"/>
        <w:t xml:space="preserve"> |  [85 km]----------------- Mesopause (Coldest atmospheric boundary) --------</w:t>
        <w:br w:type="textWrapping"/>
        <w:t xml:space="preserve"> |           Mesosphere: Sounding rocket flight ceiling, near-space environment </w:t>
        <w:br w:type="textWrapping"/>
        <w:t xml:space="preserve"> |  [50 km]---[span_29](start_span)[span_29](end_span)[span_31](start_span)[span_31](end_span)-------------- Stratopause ------------------------------------</w:t>
        <w:br w:type="textWrapping"/>
        <w:t xml:space="preserve"> |           Stratosphere: Ozone layer concentration, temperature inversion</w:t>
        <w:br w:type="textWrapping"/>
        <w:t xml:space="preserve"> |  [12 km]----------------- Tropopause -------------------------------------</w:t>
        <w:br w:type="textWrapping"/>
        <w:t xml:space="preserve"> |           Troposphere: Dense meteorological activity, maximum aerodynamic drag</w:t>
        <w:br w:type="textWrapping"/>
        <w:t xml:space="preserve"> |  [0 km]------------------ Earth's Surface (Ambient Launch Pad) -------------</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emergence of private aerospace entities, particularly in the Indian subcontinent, has transformed access to near-space research. Following the national space sector reforms of 2020, which opened the industry to private companies, startups such as Space Zone India have developed highly efficient launch and satellite platforms. Under the leadership of Anand Megalingam, these organizations have established educational pathways to demystify satellite manufacturing and rocket science. By introducing students to(https://en.wikipedia.org/wiki/Space_exploration) technologies, the program cultivates foundational aerospace literacy and prepares researchers to utilize suborbital sounding rockets as reliable pipelines for technology validation and upper atmospheric monitoring.</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2: Classification of Satellite Platforms and Scaling Laws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spacecraft are categorized by their physical mass and dimensional envelopes, a system that highlights the profound impact of </w:t>
      </w:r>
      <w:hyperlink r:id="rId10">
        <w:r w:rsidDel="00000000" w:rsidR="00000000" w:rsidRPr="00000000">
          <w:rPr>
            <w:color w:val="0000ee"/>
            <w:u w:val="single"/>
            <w:rtl w:val="0"/>
          </w:rPr>
          <w:t xml:space="preserve">Miniaturization</w:t>
        </w:r>
      </w:hyperlink>
      <w:r w:rsidDel="00000000" w:rsidR="00000000" w:rsidRPr="00000000">
        <w:rPr>
          <w:rtl w:val="0"/>
        </w:rPr>
        <w:t xml:space="preserve"> on space systems. Picosatellites represent a highly optimized class of miniaturized spacecraft, with masses ranging from 0.1 kg to 1.0 kg. The standardized PocketQube standard, proposed in 2009 by Professor Bob Twiggs, represents a modular unit architecture where the basic unit—designated as a 1P unit—measures exactly 50 \times 50 \times 50\text{ mm} and is limited to a maximum mass of 250 grams.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CubeSat 1U Form Factor                 PocketQube 1P Form Factor</w:t>
        <w:br w:type="textWrapping"/>
        <w:t xml:space="preserve">            +--------------------+                      +--------+</w:t>
        <w:br w:type="textWrapping"/>
        <w:t xml:space="preserve">            |                    |                      |        |  50 mm (1P)</w:t>
        <w:br w:type="textWrapping"/>
        <w:t xml:space="preserve">            |                    |                      |        | [span_57](start_span)[span_57](end_span)</w:t>
        <w:br w:type="textWrapping"/>
        <w:t xml:space="preserve">            |    100x100x100 mm  |                      +--------+</w:t>
        <w:br w:type="textWrapping"/>
        <w:t xml:space="preserve">            |      ~2.0 kg       |                        50 mm</w:t>
        <w:br w:type="textWrapping"/>
        <w:t xml:space="preserve">            |  [span_65](start_span)[span_65](end_span)[span_66](start_span)[span_66](end_span)     |</w:t>
        <w:br w:type="textWrapping"/>
        <w:t xml:space="preserve">            +--------------------+</w:t>
        <w:br w:type="textWrapping"/>
        <w:t xml:space="preserve">                   100 mm</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the engineering trade-offs of this miniaturization, one must analyze the physical scaling laws that govern the transition from a standard 1U(</w:t>
      </w:r>
      <w:hyperlink r:id="rId11">
        <w:r w:rsidDel="00000000" w:rsidR="00000000" w:rsidRPr="00000000">
          <w:rPr>
            <w:color w:val="0000ee"/>
            <w:u w:val="single"/>
            <w:rtl w:val="0"/>
          </w:rPr>
          <w:t xml:space="preserve">https://en.wikipedia.org/wiki/CubeSat</w:t>
        </w:r>
      </w:hyperlink>
      <w:r w:rsidDel="00000000" w:rsidR="00000000" w:rsidRPr="00000000">
        <w:rPr>
          <w:rtl w:val="0"/>
        </w:rPr>
        <w:t xml:space="preserve">) (with a characteristic side length L = 10\text{ cm}) to a 1P PocketQube (with side length \frac{1}{2} L = 5\text{ cm}). Assuming a uniform material density (D) and equal solar cell conversion efficiency (\eta), these scaling relationships dictate critical resource constraints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Linear Dimension:</w:t>
      </w:r>
      <w:r w:rsidDel="00000000" w:rsidR="00000000" w:rsidRPr="00000000">
        <w:rPr>
          <w:rtl w:val="0"/>
        </w:rPr>
        <w:t xml:space="preserve"> Scales by a factor of \frac{1}{2}, reducing the structural envelope.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Surface Area (A \propto L^2):</w:t>
      </w:r>
      <w:r w:rsidDel="00000000" w:rsidR="00000000" w:rsidRPr="00000000">
        <w:rPr>
          <w:rtl w:val="0"/>
        </w:rPr>
        <w:t xml:space="preserve"> Scales by a factor of \frac{1}{4}. The total surface area drops from 600\text{ cm}^2 to 150\text{ cm}^2, which directly limits the mounting area for photovoltaic solar panels.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 (V \propto L^3):</w:t>
      </w:r>
      <w:r w:rsidDel="00000000" w:rsidR="00000000" w:rsidRPr="00000000">
        <w:rPr>
          <w:rtl w:val="0"/>
        </w:rPr>
        <w:t xml:space="preserve"> Scales by a factor of \frac{1}{8}. The maximum internal volume drops from 1000\text{ cm}^3 to 125\text{ cm}^3, forcing designers to integrate highly condensed, single-board avionic stacks.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Mass (m \propto D L^3):</w:t>
      </w:r>
      <w:r w:rsidDel="00000000" w:rsidR="00000000" w:rsidRPr="00000000">
        <w:rPr>
          <w:rtl w:val="0"/>
        </w:rPr>
        <w:t xml:space="preserve"> Scales by a factor of \frac{1}{8}. The maximum allowable mass drops from 2000 grams to 250 grams, requiring lightweight composite polymers or thin-walled aluminum structures.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Solar Power Generation (P \propto \eta L^2):</w:t>
      </w:r>
      <w:r w:rsidDel="00000000" w:rsidR="00000000" w:rsidRPr="00000000">
        <w:rPr>
          <w:rtl w:val="0"/>
        </w:rPr>
        <w:t xml:space="preserve"> Scales by a factor of \frac{1}{4}. Available power is severely restricted, reducing typical continuous system power budgets to between 100 mW and 800 mW.</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Mass Moment of Inertia (I \propto D L^5):</w:t>
      </w:r>
      <w:r w:rsidDel="00000000" w:rsidR="00000000" w:rsidRPr="00000000">
        <w:rPr>
          <w:rtl w:val="0"/>
        </w:rPr>
        <w:t xml:space="preserve"> Scales by a factor of \frac{1}{32}. This dramatic drop in rotational inertia makes the picosatellite highly sensitive to angular disturbances, such as those caused by solar radiation pressure or magnetic torque.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Satellite Class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 Range (kg)</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Dimensions (mm)</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Applications &amp; Launch Vehicles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Minisatellite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500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(1000^3)</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High-resolution Earth observation, commercial communications, multi-payload buses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Microsatellite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100</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(500^3)</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 demonstration, localized imaging constellations, scientific sensor suites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Nanosatellite (CubeSat)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10.0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\times 100 \times 100\text{ per 1U}</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IoT, global AIS tracking, university research, rideshare launches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Picosatellite (PocketQube)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1.0</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\times 50 \times 50\text{ per 1P}</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Magnetospheric research, amateur radio, low-power sensor arrays, academic sounding rockets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Femtosatellite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0.1</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(Single-board chip)</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Large-scale swarms, planetary atmospheric entry probes, ultra-low-cost sensor research</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Principles of Analytical Orbital Mechanics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Calculating the trajectories of sounding rockets and satellites requires a rigorous mathematical treatment of orbital paths. </w:t>
      </w:r>
      <w:hyperlink r:id="rId12">
        <w:r w:rsidDel="00000000" w:rsidR="00000000" w:rsidRPr="00000000">
          <w:rPr>
            <w:color w:val="0000ee"/>
            <w:u w:val="single"/>
            <w:rtl w:val="0"/>
          </w:rPr>
          <w:t xml:space="preserve">Orbital mechanics</w:t>
        </w:r>
      </w:hyperlink>
      <w:r w:rsidDel="00000000" w:rsidR="00000000" w:rsidRPr="00000000">
        <w:rPr>
          <w:rtl w:val="0"/>
        </w:rPr>
        <w:t xml:space="preserve"> is governed by </w:t>
      </w:r>
      <w:hyperlink r:id="rId13">
        <w:r w:rsidDel="00000000" w:rsidR="00000000" w:rsidRPr="00000000">
          <w:rPr>
            <w:color w:val="0000ee"/>
            <w:u w:val="single"/>
            <w:rtl w:val="0"/>
          </w:rPr>
          <w:t xml:space="preserve">Kepler's laws of planetary motion</w:t>
        </w:r>
      </w:hyperlink>
      <w:r w:rsidDel="00000000" w:rsidR="00000000" w:rsidRPr="00000000">
        <w:rPr>
          <w:rtl w:val="0"/>
        </w:rPr>
        <w:t xml:space="preserve">, which derive directly from Newton’s laws of motion and universal gravitation. Kepler's first law states that the orbit of a satellite is an ellipse with the center of the central body located at one of the two foci. Kepler's second law dictates that a line segment joining the satellite and the central attractor sweeps out equal areas during equal intervals of time, a physical manifestation of the conservation of angular momentum. Kepler's third law states that the square of the orbital period (T) of a satellite is directly proportional to the cube of the semi-major axis (a) of its orbit.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derive Kepler's third law for a circular orbit, the gravitational force must balance the centripetal force acting on the satellite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\frac{G \cdot M[span_119](start_span)[span_119](end_span)[span_126](start_span)[span_126](end_span)_{E} \cdot m_{s}}{r^2} = \frac{m_{s} \cdot v^2}{r}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 is the universal gravitational constant (6.6743 \times 10^{-11}\text{ m}^3\text{kg}^{-1}\text{s}^{-2}), M_{E} is the mass of the Earth (5.972 \times 10^{24}\text{ kg}), m_{s} is the mass of the satellite, r is the orbital radius measured from the Earth's center, and v is the orbital velocity. Solving for the orbital velocity (v) yields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 \sqrt{\frac{G \cdot M_{[span_120](start_span)[span_120](end_span)[span_127](start_span)[span_127](end_span)E}}{r}}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that the orbital period (T) represents the time required to complete a single circular path of circumference 2 \pi r, the velocity can also be written as v = \frac{2 \pi r}{T}. Substituting this relation into the velocity equation yields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\frac{2 \pi r}{T} = \sqrt{\[span_122](start_span)[span_122](end_span)[span_129](start_span)[span_129](end_span)frac{G \cdot M_{E}}{r}} \implies \frac{4 \pi^2 r^2}{T^2} = \frac{G \cdot M_{E}}{r}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Isolating the square of the orbital period (T^2) yields the mathematical formulation of Kepler's third law for circular trajectories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 = \left( \frac{4 \pi^2}{G \cdot M_{E}} \right) r^3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general elliptical orbits, the radius (r) is replaced by the semi-major axis (a). The total mechanical energy per unit mass, known as(</w:t>
      </w:r>
      <w:hyperlink r:id="rId14">
        <w:r w:rsidDel="00000000" w:rsidR="00000000" w:rsidRPr="00000000">
          <w:rPr>
            <w:color w:val="0000ee"/>
            <w:u w:val="single"/>
            <w:rtl w:val="0"/>
          </w:rPr>
          <w:t xml:space="preserve">https://en.wikipedia.org/wiki/Specific_orbital_energy</w:t>
        </w:r>
      </w:hyperlink>
      <w:r w:rsidDel="00000000" w:rsidR="00000000" w:rsidRPr="00000000">
        <w:rPr>
          <w:rtl w:val="0"/>
        </w:rPr>
        <w:t xml:space="preserve">) (\varepsilon), remains constant and is expressed as the sum of kinetic and potential energy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\varepsilon = \frac{v^2}{2} - \frac{\mu}{r} = -\frac{\mu}{2a}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\mu = G \cdot M_{E} is the standard gravitational parameter of the Earth (3.986 \times 10^{14}\text{ m}^3\text{s}^{-2}). The local velocity (v) at any position (r) in an elliptical orbit can then be determined using the vis-viva equation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 \sqrt{\mu \left( \frac{2}{r} - \frac{1}{a} \right)}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orbital geometry is defined by the radius of periapsis (R_{p}), the closest point to the Earth’s center, and the radius of apoapsis (R_{a}), the farthest point, which are related to the eccentricity (e) and semi-major axis (a) by the equations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R_{p} = a(1 - e) R_{a} = a(1 + e) e = \frac{R_{a} - R_{p}}{R_{a} + R_{p}}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Orbit / Trajectory Class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Eccentricity (e)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Orbital Energy (\varepsilon)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Interpretation &amp; Boundary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Circular Orbit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 0</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\varepsilon &lt; 0</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Closed orbit with a constant radius; velocity vector is always perpendicular to the position vector.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Elliptical Orbit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&lt; e &lt; 1</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\varepsilon &lt; 0</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Closed, stable orbit with variable velocity; maximum velocity occurs at perigee, minimum velocity at apogee.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Parabolic Trajectory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 1</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\varepsilon = 0</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escape trajectory; velocity at any point is exactly equal to local escape velocity (v_{esc} = \sqrt{\frac{2\mu}{r}}).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Hyperbolic Trajectory</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&gt; 1</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\varepsilon &gt; 0</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escape trajectory typical of interplanetary probes; retains excess hyperbolic speed (v_{\infty}) at infinite distance.</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2: Spacecraft Subsystems, Hybrid Propulsion, and Digital Modeling</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Fundamentals of Satellite Subsystems and the PQ-9 Interface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functional picosatellite operates as a collection of specialized electrical and mechanical subsystems, together forming the(</w:t>
      </w:r>
      <w:hyperlink r:id="rId15">
        <w:r w:rsidDel="00000000" w:rsidR="00000000" w:rsidRPr="00000000">
          <w:rPr>
            <w:color w:val="0000ee"/>
            <w:u w:val="single"/>
            <w:rtl w:val="0"/>
          </w:rPr>
          <w:t xml:space="preserve">https://en.wikipedia.org/wiki/Spacecraft_bus</w:t>
        </w:r>
      </w:hyperlink>
      <w:r w:rsidDel="00000000" w:rsidR="00000000" w:rsidRPr="00000000">
        <w:rPr>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Electrical Power (EPS)   |</w:t>
        <w:br w:type="textWrapping"/>
        <w:t xml:space="preserve">                     +---------------------------+</w:t>
        <w:br w:type="textWrapping"/>
        <w:t xml:space="preserve">                                   |</w:t>
        <w:br w:type="textWrapping"/>
        <w:t xml:space="preserve">                                   | Switched Power</w:t>
        <w:br w:type="textWrapping"/>
        <w:t xml:space="preserve">                                   v</w:t>
        <w:br w:type="textWrapping"/>
        <w:t xml:space="preserve">+------------+       +---------------------------+       +------------+</w:t>
        <w:br w:type="textWrapping"/>
        <w:t xml:space="preserve">| ADCS &amp;     | &lt;===&gt; | On-Board Computer (OBC)   | &lt;===&gt; | RF COMMS   |</w:t>
        <w:br w:type="textWrapping"/>
        <w:t xml:space="preserve">| Payloads   |  I2C  | (MCU &amp; Software Control)  | RS-485| Transceiver|</w:t>
        <w:br w:type="textWrapping"/>
        <w:t xml:space="preserve">+------------+       +---------------------------+       +------------+</w:t>
        <w:br w:type="textWrapping"/>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On-Board Computer (OBC):</w:t>
      </w:r>
      <w:r w:rsidDel="00000000" w:rsidR="00000000" w:rsidRPr="00000000">
        <w:rPr>
          <w:rtl w:val="0"/>
        </w:rPr>
        <w:t xml:space="preserve"> The primary processing unit of the spacecraft. The OBC manages software execution, executes control algorithms, handles tasks, and formats system health telemetry for transmission.</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Electrical Power Subsystem (EPS):</w:t>
      </w:r>
      <w:r w:rsidDel="00000000" w:rsidR="00000000" w:rsidRPr="00000000">
        <w:rPr>
          <w:rtl w:val="0"/>
        </w:rPr>
        <w:t xml:space="preserve"> Manages the collection, storage, and distribution of electrical power. The EPS consists of body-mounted solar panels, lithium-ion battery cells, and step-up/step-down DC-DC converters designed to prevent battery overcharging or excessive discharging.</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Communication Subsystem (COMMS):</w:t>
      </w:r>
      <w:r w:rsidDel="00000000" w:rsidR="00000000" w:rsidRPr="00000000">
        <w:rPr>
          <w:rtl w:val="0"/>
        </w:rPr>
        <w:t xml:space="preserve"> Handles radio communication with ground stations. It integrates radio-frequency transceivers and antennas (often deployable dipoles) operating on amateur or scientific bands to downlink telemetry and receive uplink commands.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Attitude Determination and Control Subsystem (ADCS):</w:t>
      </w:r>
      <w:r w:rsidDel="00000000" w:rsidR="00000000" w:rsidRPr="00000000">
        <w:rPr>
          <w:rtl w:val="0"/>
        </w:rPr>
        <w:t xml:space="preserve"> Determines and controls the orientation of the satellite in space. The ADCS uses sensors (such as magnetometers and sun sensors) and actuators (such as magnetorquers) to stabilize the satellite and point antennas or payloads.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electrical integration of these subsystems is governed by the PQ-9 standard. This framework defines a compact, 9-pin stackable connector that provides standardized interfaces for power, data, and system-level control.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Number</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 Name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Functional Category</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Engineering Interface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1</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SCL</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Communication Bus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\text{I}^2\text{C} clock signal line, providing synchronized clocking for localized inter-board sensor communications.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2</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Level Hardware Control</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system reset; pulling this line to active-low resets the OBC and all peripheral microcontrollers in the stack.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3</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SDA</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Communication Bus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\text{I}^2\text{C} data line; used to transmit packetized commands and sensor readings among adjacent PCBs.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4</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GND</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Electrical Ground Reference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system electrical ground (0\text{ V}) for power return.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5</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V_BUS1</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Distribution Bus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switched power rail dedicated to the OBC and COMMS modules; connected directly to ensure baseline system startup.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6</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V_BUS2</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Distribution Bus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switched power rail; distributes unregulated battery voltage to advanced subsystems like ADCS and active magnetorquers.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7</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V_BUS3</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Distribution Bus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Tertiary switched power rail; supplies regulated or unregulated voltage to onboard scientific payloads.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8</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V_BUS4</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Distribution Bus</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Switched auxiliary power rail; reserved for secondary payloads or specialized actuators like micro-propulsion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 9</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GND</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Electrical Ground Reference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Redundant ground pin; paired with Pin 4 to prevent ground loop offsets and support higher return currents.</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PQ-9 standard utilizes an unregulated power bus architecture where the bus voltage tracks the battery voltage, typically varying from 3.0\text{ V} to 8.2\text{ V}. This design simplifies the power distribution network, but requires each subsystem board to integrate localized linear or switching regulators to supply stable operating voltages (such as 3.3\text{ V} or 1.8\text[span_84](start_span)[span_84](end_span)[span_99](start_span)[span_99](end_span){ V}) for sensitive components. System-level communication on PQ-9 is built around(</w:t>
      </w:r>
      <w:hyperlink r:id="rId16">
        <w:r w:rsidDel="00000000" w:rsidR="00000000" w:rsidRPr="00000000">
          <w:rPr>
            <w:color w:val="0000ee"/>
            <w:u w:val="single"/>
            <w:rtl w:val="0"/>
          </w:rPr>
          <w:t xml:space="preserve">https://en.wikipedia.org/wiki/RS-485</w:t>
        </w:r>
      </w:hyperlink>
      <w:r w:rsidDel="00000000" w:rsidR="00000000" w:rsidRPr="00000000">
        <w:rPr>
          <w:rtl w:val="0"/>
        </w:rPr>
        <w:t xml:space="preserve">) differential signaling, which offers high noise immunity in electromagnetically active environments.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Rocket Launch Mechanisms and Reusable Hybrid soundings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deployment of picosatellites into suborbital trajectories requires high-performance sounding rockets. A(https://en.wikipedia.org/wiki/Sounding_rocket) is a research rocket designed to carry instruments and payloads into the upper atmosphere or near-space, providing brief windows of microgravity and vacuum exposure without entering orbit. Sounding rockets have historically used solid propellant motors, but modern designs increasingly utilize [Hybrid-propellant rocket](https://en.wikipedia.org/wiki/Hybrid-propellant_rocket) propulsion due to its safety, environmental benefits, and low operational costs.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Hybrid Rocket Engine Schematic Architecture</w:t>
        <w:br w:type="textWrapping"/>
        <w:t xml:space="preserve">+------------------+      Main Oxidizer Valve      +------------------------+</w:t>
        <w:br w:type="textWrapping"/>
        <w:t xml:space="preserve">| Liquid Oxidizer  |==========[  |  ]==============&gt;| Injector Dome          |</w:t>
        <w:br w:type="textWrapping"/>
        <w:t xml:space="preserve">| Tank (e.g. N2O)  |                                +------------------------+</w:t>
        <w:br w:type="textWrapping"/>
        <w:t xml:space="preserve">+------------------+                                | Solid Fu[span_33](start_span)[span_33](end_span)[span_35](start_span)[span_35](end_span)el Grain       |</w:t>
        <w:br w:type="textWrapping"/>
        <w:t xml:space="preserve">                                                    | (e.g. Paraffin / HTPB)  | ===&gt; Exhaust</w:t>
        <w:br w:type="textWrapping"/>
        <w:t xml:space="preserve">                                                    | Diffusion Flame Zone   |      Nozzle</w:t>
        <w:br w:type="textWrapping"/>
        <w:t xml:space="preserve">                                                    +------------------------+</w:t>
        <w:br w:type="textWrapping"/>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hybrid rocket motor utilizes propellants stored in two different states of matter: a liquid or gaseous oxidizer and a solid fuel grain. When thrust is required, the oxidizer is vaporized and injected into the combustion chamber, where it reacts with the solid fuel grain. Combustion occurs within a boundary-layer diffusion flame adjacent to the fuel surface. The solid fuel regression rate (\dot{r}), which is the speed at which the solid fuel surface recedes perpendicular to the grain axis, is calculated using the empirical equation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\dot{r} = a \cdot G_{ox}^n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 is the empirical ballistic coefficient, n is the flux exponent, and G_{ox} is the oxidizer mass flux rate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G_{ox} = \frac{\dot{m}_{ox}}{A_{p}}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\dot{m}_{ox} is the oxidizer mass flow rate and A_{p} is the cross-sectional area of the fuel grain port. The total mass flow rate of the propellants is \dot{m} = \dot{m}_{ox} + \dot{m}_{f}, where \dot{m}_{f} = \rho_{f} \cdot A_{b} \cdot \dot{r}, with \rho_{f} representing the solid fuel density and A_{b} representing the burning surface area. The(</w:t>
      </w:r>
      <w:hyperlink r:id="rId17">
        <w:r w:rsidDel="00000000" w:rsidR="00000000" w:rsidRPr="00000000">
          <w:rPr>
            <w:color w:val="0000ee"/>
            <w:u w:val="single"/>
            <w:rtl w:val="0"/>
          </w:rPr>
          <w:t xml:space="preserve">https://en.wikipedia.org/wiki/Specific_impulse</w:t>
        </w:r>
      </w:hyperlink>
      <w:r w:rsidDel="00000000" w:rsidR="00000000" w:rsidRPr="00000000">
        <w:rPr>
          <w:rtl w:val="0"/>
        </w:rPr>
        <w:t xml:space="preserve">) (I_{sp}) measures the propellant efficiency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I_{sp} = \frac{F}{\dot{m} \cdot g_{0}}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F is the thrust and g_{0} is the acceleration due to gravity at sea level (9.80665\text{ m/s}^2).</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Rocket System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Solid Propellant Motors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 Bipropellant Engines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 Sounding Motors (RHUMI-1 Class)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Low (No valves, single chamber)</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(Dual turbopumps, complex piping)</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(Single control valve, self-pressurized tank)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Throttling &amp; Restart</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Impossible (Burns to exhaustion)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(Dual-valve active throttle control)</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(Throttled by controlling oxidizer 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Safety</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(Grain cracks can cause explosion)</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(Premixed hypergolic compounds)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(Fuel and oxidizer stored in separate phases)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Environmental Impact</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(Chlorinated, toxic exhaust gases)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(Kerosene produces carbon deposits)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Low (Non-toxic exhaust, green propellants)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Recovery &amp; Reusability</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Rare (Single-use metal casings)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High-cost (Requires complex cleaning)</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(Simple washing of structural components)</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RHUMI-1 sounding rocket, developed by Space Zone India in collaboration with the Martin Group, is India's first reusable hybrid rocket. Weighing 80 kg and standing 3.5 meters tall, the vehicle uses a hybrid motor that combines a generic solid fuel with a liquid nitrous oxide oxidizer. Operating with zero pyrotechnics and 0% TNT, the rocket uses an electrically triggered parachute recovery system that ensures a gentle touchdown, minimizing environmental impact and allowing the airframe to be refurbished for future missions.</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6: Spatial Visualization and Virtual Reality Deployment Modeling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Translating structural drawings into integrated hardware requires spatial visualization tools. Sounding rocket launches subject payloads to severe static and dynamic forces, including peak accelerations exceeding 10g and high-frequency vibrational profiles. To ensure picosatellites survive these launch environments, designers use digital twins and 3D animated concepts to model stress distribution, ejection dynamics, and subsystem interactions prior to manufacturing.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Digital Modeling and Validation Pipeline</w:t>
        <w:br w:type="textWrapping"/>
        <w:t xml:space="preserve">+--------------------+      Finite Element Method      +-------------------------+</w:t>
        <w:br w:type="textWrapping"/>
        <w:t xml:space="preserve">| SolidWorks CAD     |================================&gt;| Level 1 Simulation      |</w:t>
        <w:br w:type="textWrapping"/>
        <w:t xml:space="preserve">| Part Modeling      |                                 | (Deformation &amp; Stress)  |</w:t>
        <w:br w:type="textWrapping"/>
        <w:t xml:space="preserve">+--------------------+                                 +-------------------------+</w:t>
        <w:br w:type="textWrapping"/>
        <w:t xml:space="preserve">                                                                    |</w:t>
        <w:br w:type="textWrapping"/>
        <w:t xml:space="preserve">                                                                    v</w:t>
        <w:br w:type="textWrapping"/>
        <w:t xml:space="preserve">+--------------------+      Ejection Animation         +-------------------------+</w:t>
        <w:br w:type="textWrapping"/>
        <w:t xml:space="preserve">| VR Deployment      |&lt;================================| 3D Digital Animation    |</w:t>
        <w:br w:type="textWrapping"/>
        <w:t xml:space="preserve">| Immersive Training |                                 | (Modularity Analysis)   |</w:t>
        <w:br w:type="textWrapping"/>
        <w:t xml:space="preserve">+--------------------+                                 +-------------------------+</w:t>
        <w:br w:type="textWrapping"/>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Digital learning modules use 3D concept videos to explain satellite deployment kinetics, structural modularity, and ejector mechanisms. Additionally, Virtual Reality (VR) environments allow students to experience suborbital sounding rocket launches and payload deployments in an immersive environment. This interactive modeling helps students visualize key launch dynamics, such as the rapid transition from high-acceleration ascent to microgravity coasting, and the mechanical forces acting on kill switches during ejection from deployment pods.</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3: Hands-On Hardware Familiarization, Assembly, and Spatial Verification</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7: Hardware Component Identification and Tool Familiarization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assembly of aerospace-grade electronics begins with identifying specialized hardware components and mastering the tools used in aerospace manufacturing. Picosatellite avionics utilize high-density, surface-mount devices (SMD) to meet strict mass and volume constraints.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[span_269](start_span)[span_269](end_span)[span_271](start_span)[span_271](end_span)               SMD Flat-Lipped Resistor Component</w:t>
        <w:br w:type="textWrapping"/>
        <w:t xml:space="preserve">                   Termination       Ceramic Substrate</w:t>
        <w:br w:type="textWrapping"/>
        <w:t xml:space="preserve">                      +---+-----------------+---+</w:t>
        <w:br w:type="textWrapping"/>
        <w:t xml:space="preserve">                      |   |  Resistive Film |   |</w:t>
        <w:br w:type="textWrapping"/>
        <w:t xml:space="preserve">                      +---+-----------------+---+</w:t>
        <w:br w:type="textWrapping"/>
        <w:t xml:space="preserve">                     [Pad]                     [Pad]</w:t>
        <w:br w:type="textWrapping"/>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Microcontrollers:</w:t>
      </w:r>
      <w:r w:rsidDel="00000000" w:rsidR="00000000" w:rsidRPr="00000000">
        <w:rPr>
          <w:rtl w:val="0"/>
        </w:rPr>
        <w:t xml:space="preserve"> Serve as the primary processing units; modern designs often use dual-core processors (such as the ESP32-S3) to run task scheduling and handle background sensor acquisition.</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Sensor Modules:</w:t>
      </w:r>
      <w:r w:rsidDel="00000000" w:rsidR="00000000" w:rsidRPr="00000000">
        <w:rPr>
          <w:rtl w:val="0"/>
        </w:rPr>
        <w:t xml:space="preserve"> High-resolution digital altimeters (such as the MS5611) and 6-axis inertial measurement units (such as the MPU6050) are integrated using \text{I}^2\text{C} digital interfaces.</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Passive Components:</w:t>
      </w:r>
      <w:r w:rsidDel="00000000" w:rsidR="00000000" w:rsidRPr="00000000">
        <w:rPr>
          <w:rtl w:val="0"/>
        </w:rPr>
        <w:t xml:space="preserve"> Surface-mount resistors (such as 0805 or 0603 footprints) are used for signal termination, while ceramic decoupling capacitors are placed near active ICs to filter high-frequency noise.</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Decoupling Capacitors:</w:t>
      </w:r>
      <w:r w:rsidDel="00000000" w:rsidR="00000000" w:rsidRPr="00000000">
        <w:rPr>
          <w:rtl w:val="0"/>
        </w:rPr>
        <w:t xml:space="preserve"> Placed directly adjacent to active integrated circuits to filter high-frequency noise on power rails.</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Transceivers and Antennas:</w:t>
      </w:r>
      <w:r w:rsidDel="00000000" w:rsidR="00000000" w:rsidRPr="00000000">
        <w:rPr>
          <w:rtl w:val="0"/>
        </w:rPr>
        <w:t xml:space="preserve"> Convert digital telemetry packets into radio frequency signals, which are radiated using deployable antennas.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Assembling these components requires specialized aerospace tools, including digital multimeters for electrical verification, oscilloscopes for analyzing communications signals, and ESD-safe hand tools. Workstations must enforce strict Electrostatic discharge (ESD) protocols, using grounded wrist straps, dissipative table mats, and ionized air blowers. Because integrated circuits can suffer micro-insulation breakdown at low static voltages, ESD control is critical to preventing latent component failures in orbit.</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8: Structural Integration and Model Assembly of 1P Picosatellites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mechanical assembly of a 1P picosatellite must satisfy precise dimensional tolerances to prevent launch and deployment failures. The structural model is built around a standardized skeletal frame, which serves as a load-bearing chassis that protects internal PCBs.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Sliding Rail Clamping and Dimension Interfaces</w:t>
        <w:br w:type="textWrapping"/>
        <w:t xml:space="preserve">               </w:t>
        <w:br w:type="textWrapping"/>
        <w:t xml:space="preserve">                      |&lt;------------ 50.0 mm ------------&gt;|</w:t>
        <w:br w:type="textWrapping"/>
        <w:t xml:space="preserve">                      +-----------------------------------+  ---</w:t>
        <w:br w:type="textWrapping"/>
        <w:t xml:space="preserve">                      |                     |   ^</w:t>
        <w:br w:type="textWrapping"/>
        <w:t xml:space="preserve">        [span_201](start_span)[span_201](end_span)[span_208](start_span)[span_208](end_span)              |   ||                         ||   |   |</w:t>
        <w:br w:type="textWrapping"/>
        <w:t xml:space="preserve">                      |   ||                         ||   |   |</w:t>
        <w:br w:type="textWrapping"/>
        <w:t xml:space="preserve">                      |   ||                         ||   | 50.0 mm</w:t>
        <w:br w:type="textWrapping"/>
        <w:t xml:space="preserve">                      |   ||                         ||   |   |</w:t>
        <w:br w:type="textWrapping"/>
        <w:t xml:space="preserve">                      |   ||                         ||   |   |</w:t>
        <w:br w:type="textWrapping"/>
        <w:t xml:space="preserve">                      |                     |   v</w:t>
        <w:br w:type="textWrapping"/>
        <w:t xml:space="preserve">                      +-----------------------------------+  ---</w:t>
        <w:br w:type="textWrapping"/>
        <w:t xml:space="preserve">                           \                             /</w:t>
        <w:br w:type="textWrapping"/>
        <w:t xml:space="preserve">                     Sliding Backplate: 58.0 x 64.0 x 1.6 mm [span_277](start_span)[span_277](end_span)[span_282](start_span)[span_282](end_span)</w:t>
        <w:br w:type="textWrapping"/>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standardized PocketQube specification, the structural assembly must satisfy precise mechanical requirements :</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Dimensional Tolerances:</w:t>
      </w:r>
      <w:r w:rsidDel="00000000" w:rsidR="00000000" w:rsidRPr="00000000">
        <w:rPr>
          <w:rtl w:val="0"/>
        </w:rPr>
        <w:t xml:space="preserve"> Component dimensions must be held to a tight tolerance of \pm 0.1\text{ mm}.</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Protrusion Constraints:</w:t>
      </w:r>
      <w:r w:rsidDel="00000000" w:rsidR="00000000" w:rsidRPr="00000000">
        <w:rPr>
          <w:rtl w:val="0"/>
        </w:rPr>
        <w:t xml:space="preserve"> External components (such as antennas, solar cells, or deployable switches) are restricted to a maximum protrusion of 7 mm from the structural face, or up to 10 mm with approval, to prevent interference with deployment canisters.</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Sliding Rail Clamping:</w:t>
      </w:r>
      <w:r w:rsidDel="00000000" w:rsidR="00000000" w:rsidRPr="00000000">
        <w:rPr>
          <w:rtl w:val="0"/>
        </w:rPr>
        <w:t xml:space="preserve"> The picosatellite frame must integrate a 2 mm rail clamping system on opposing sides. This mechanism interfaces with a sliding backplate (measuring 58 \times 64 \times 1.6\text{ mm}) to ensure smooth, linear separation from the deployment pod.</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Kill Switch Integration:</w:t>
      </w:r>
      <w:r w:rsidDel="00000000" w:rsidR="00000000" w:rsidRPr="00000000">
        <w:rPr>
          <w:rtl w:val="0"/>
        </w:rPr>
        <w:t xml:space="preserve"> A minimum of two physical kill switches must be integrated on the Z-axis rails. These switches are mechanically depressed while inside the deployment canister, keeping the power subsystem inactive, and release upon deployment to power up the picosatellite.</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Outgassing Compliance:</w:t>
      </w:r>
      <w:r w:rsidDel="00000000" w:rsidR="00000000" w:rsidRPr="00000000">
        <w:rPr>
          <w:rtl w:val="0"/>
        </w:rPr>
        <w:t xml:space="preserve"> Structural materials must comply with low-outgassing requirements, satisfying limits of \le 1.0\% Total Mass Loss (TML) and \le 0.1\% Collected Volatile Condensable Material (CVCM) under thermal-vacuum testing to prevent outgassing products from condensing on solar arrays or optical payloads.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9: Augmented Reality Subsystem Visualization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complement physical assembly, the curriculum integrates Augmented Reality (AR) visualization to help students understand the spatial layout of internal subsystems. This module uses 25 specialized AR flashcards to project interactive, 3D digital overlays of picosatellite components.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Augmented Reality Spatial Mapping Pipeline</w:t>
        <w:br w:type="textWrapping"/>
        <w:t xml:space="preserve">+--------------------+      Spatial Mapping En[span_163](start_span)[span_163](end_span)[span_166](start_span)[span_166](end_span)gine     +-------------------------+</w:t>
        <w:br w:type="textWrapping"/>
        <w:t xml:space="preserve">| Printed Flashcard  |================================&gt;| 3D Digital Twin Overlay |</w:t>
        <w:br w:type="textWrapping"/>
        <w:t xml:space="preserve">| (AR Optical Target)|                                 | (Solar Array/OBC Board) |</w:t>
        <w:br w:type="textWrapping"/>
        <w:t xml:space="preserve">+--------------------+                                 +-------------------------+</w:t>
        <w:br w:type="textWrapping"/>
        <w:t xml:space="preserve">                                                                    |</w:t>
        <w:br w:type="textWrapping"/>
        <w:t xml:space="preserve">                                                                    v</w:t>
        <w:br w:type="textWrapping"/>
        <w:t xml:space="preserve">+--------------------+      Interactive Diagnostics    +-------------------------+</w:t>
        <w:br w:type="textWrapping"/>
        <w:t xml:space="preserve">| Pin Mapping        |&lt;================================| Real-Time Spatial Path  |</w:t>
        <w:br w:type="textWrapping"/>
        <w:t xml:space="preserve">| Verification       |                                 | (Electrical Integrity)  |</w:t>
        <w:br w:type="textWrapping"/>
        <w:t xml:space="preserve">+--------------------+                                 +-------------------------+</w:t>
        <w:br w:type="textWrapping"/>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Each flashcard represents a specific optical target for a spatial rendering application. When scanned, the application projects a detailed 3D digital twin of a picosatellite subsystem (such as the solar array panels, the EPS control unit, or deployable antennas). This interactive model allows students to analyze trace paths, verify component pinouts, and inspect structural layouts before proceeding with physical integration, reducing the risk of wiring errors and mechanical interference in the final assembly.</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4: Advanced Workmanship, Microelectronics Design, and Numerical Simulation</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10: Industrial-Grade Soldering and Workmanship Standards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electrical reliability of aerospace systems depends on the quality of their solder connections. Under extreme launch vibration and thermal-vacuum cycling, minor workmanship defects can quickly lead to fatigue failure and catastrophic open circuits. The design and visual verification of solder joints are governed by the IPC-A-610 Class 3 standard and J-STD-001 Space Addendum.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SMD Fillet Wetting Angle and Concavity Profile</w:t>
        <w:br w:type="textWrapping"/>
        <w:t xml:space="preserve">                </w:t>
        <w:br w:type="textWrapping"/>
        <w:t xml:space="preserve">                     Resistor Metal End Cap</w:t>
        <w:br w:type="textWrapping"/>
        <w:t xml:space="preserve">                     +-----+</w:t>
        <w:br w:type="textWrapping"/>
        <w:t xml:space="preserve">                     |     |======+ &lt;--- Intermetallic Contact Zone [span_295](start_span)[span_295](end_span)</w:t>
        <w:br w:type="textWrapping"/>
        <w:t xml:space="preserve">                     |     |      | \ Concave Solder Fillet (Height &gt;= 75% H) [span_296](start_span)[span_296](end_span)[span_298](start_span)[span_298](end_span)</w:t>
        <w:br w:type="textWrapping"/>
        <w:t xml:space="preserve">                     +-----+------+--\__________________ Solder Mask</w:t>
        <w:br w:type="textWrapping"/>
        <w:t xml:space="preserve">                     ################################### PCB Pad</w:t>
        <w:br w:type="textWrapping"/>
        <w:t xml:space="preserve">                     |&lt;- Wetting Angle (theta &lt;= 90 deg) [span_300](start_span)[span_300](end_span)[span_302](start_span)[span_302](end_span)</w:t>
        <w:br w:type="textWrapping"/>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assembly and soldering of aerospace-grade hardware must satisfy strict workmanship criteria :</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Wetting Angle (\theta):</w:t>
      </w:r>
      <w:r w:rsidDel="00000000" w:rsidR="00000000" w:rsidRPr="00000000">
        <w:rPr>
          <w:rtl w:val="0"/>
        </w:rPr>
        <w:t xml:space="preserve"> Solder fillets must form a smooth, concave surface with a wetting angle of \le 90^\circ, indicating complete alloy reflow and a strong intermetallic bond.</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Fillet Height:</w:t>
      </w:r>
      <w:r w:rsidDel="00000000" w:rsidR="00000000" w:rsidRPr="00000000">
        <w:rPr>
          <w:rtl w:val="0"/>
        </w:rPr>
        <w:t xml:space="preserve"> The solder fillet must rise to at least 75\% of the component termination height to provide sufficient mechanical strength under vibration.</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Maximum Solder Voiding:</w:t>
      </w:r>
      <w:r w:rsidDel="00000000" w:rsidR="00000000" w:rsidRPr="00000000">
        <w:rPr>
          <w:rtl w:val="0"/>
        </w:rPr>
        <w:t xml:space="preserve"> Total voiding within critical solder joints (such as BGA balls) is limited to \le 25\% of the total solder ball area; excess voiding reduces thermal conductivity and accelerates crack propagation.</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Protrusion:</w:t>
      </w:r>
      <w:r w:rsidDel="00000000" w:rsidR="00000000" w:rsidRPr="00000000">
        <w:rPr>
          <w:rtl w:val="0"/>
        </w:rPr>
        <w:t xml:space="preserve"> For through-hole components, leads must project past the solder joint, with protrusion lengths restricted to between 0.5\text{ mm} and 1.5\text{ mm} to prevent short circuits.</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Lead-Free Tin Prohibition:</w:t>
      </w:r>
      <w:r w:rsidDel="00000000" w:rsidR="00000000" w:rsidRPr="00000000">
        <w:rPr>
          <w:rtl w:val="0"/>
        </w:rPr>
        <w:t xml:space="preserve"> Alloys with less than 3\% lead (Pb) by weight are prohibited to prevent the growth of conductive tin whiskers in vacuum environments.</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 Plague Prevention:</w:t>
      </w:r>
      <w:r w:rsidDel="00000000" w:rsidR="00000000" w:rsidRPr="00000000">
        <w:rPr>
          <w:rtl w:val="0"/>
        </w:rPr>
        <w:t xml:space="preserve"> Silver-coated copper wires must be managed under a certified Red Plague Control Plan to prevent cuprous oxide corrosion in humid environments.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Soldering Defect Class</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Root Cause</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Class 3 Rejection Boundary</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Mitigation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Cold Solder Joint</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Insufficient heat transfer during reflow, causing incomplete alloy bonding</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visible lack of wetting, granular surface finish, or micro-fractures.</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optimized thermal profiles and implement copper thermal relief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Excessive Solder Voiding</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Entrapped outgassing volatiles or flux gases during reflow</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void area exceeding 25\% of the joint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 pre-heat soak duration and utilize vacuum reflow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Solder Whisker Growth</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mechanical stress in pure, lead-free tin coatings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of lead-free tin with &lt;3\% Pb by weight is prohibited.</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Utilize tin-lead alloys (such as Sn63Pb37) and apply conformal coatings.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 Plague Corrosion</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Galvanic corrosion of copper base metal through silver plating in the presence of moisture and oxygen</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reddish-brown discoloration on silver-coated copper wires.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strictly controlled relative humidity during storage and assembly.</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11: Introduction to Printed Circuit Board Design (Level 1)</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Printed circuit boards designed for aerospace applications must withstand severe physical and electrical stresses. This module covers Level 1 PCB design, focusing on trace width calculations, stack-up design, and material selection.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Asymmetric Layer Stackup with Reference Planes</w:t>
        <w:br w:type="textWrapping"/>
        <w:t xml:space="preserve">                 </w:t>
        <w:br w:type="textWrapping"/>
        <w:t xml:space="preserve">              +-----------------------------------------------+</w:t>
        <w:br w:type="textWrapping"/>
        <w:t xml:space="preserve">              | Layer 1: High-Speed RF and Control Traces     |</w:t>
        <w:br w:type="textWrapping"/>
        <w:t xml:space="preserve">              +-----------------------------------------------+</w:t>
        <w:br w:type="textWrapping"/>
        <w:t xml:space="preserve">              | Dielectric Prepreg Core (90 um Min Thickness) [span_331](start_span)[span_331](end_span)</w:t>
        <w:br w:type="textWrapping"/>
        <w:t xml:space="preserve">              +-----------------------------------------------+</w:t>
        <w:br w:type="textWrapping"/>
        <w:t xml:space="preserve">              | Layer 2: Solid Copper Ground plane (Return Path) [span_332](start_span)[span_332](end_span)</w:t>
        <w:br w:type="textWrapping"/>
        <w:t xml:space="preserve">              +-----------------------------------------------+</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geometry of copper traces directly impacts thermal management and signal integrity. When current flows through a trace, resistance causes Joule heating (I^2R power loss). To limit temperature rise to safe levels, trace widths must be calculated using the empirical equations defined in the IPC-2221 standard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required cross-sectional area (A) is calculated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 \left( \frac{I}{k \cdot \Delta T^b} \right)^{\frac{1}{c}}</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 is the cross-sectional area in square mils (\text{mils}^2), I is the continuous operating current in amperes, \Delta T is the allowable temperature rise above ambient in degrees Celsius, and k, b, c are constants derived from IPC-2221 curve-fitting models.</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external layers (exposed to air): k = 0.048, b = 0.44, c = 0.725.</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internal layers (insulated within the substrate): k = 0.024, b = 0.44, c = 0.725.</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area is determined, the physical trace width (W) is calculated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 = \frac{A}{t \cdot 1.378}</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 is the trace width in mils, and t is the copper foil thickness in ounces per square foot (\text{oz/ft}^2), where 1\text{ oz} equates to approximately 1.378\text{ mils} or 35\text{ }\mu\text{m} of thickness.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PCB Performance Parameter</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Class 2 Baseline</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3 Space Mission Standard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Glass Transition Temperature (T_g)</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substrate materials (T_g \approx 130^\circ\text{C})</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High-temperature, high-stability substrates (T_g &gt; 170^\circ\text{C}).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Prepreg Layer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Single-ply prepreg insulation is acceptable</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Double-ply prepreg configuration required to prevent insulation breakdown.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Minimum Dielectric Thickness</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based on electrical load</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90\text{ }\mu\text{m} (3.54\text{ mils}) minimum thickness.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Via Hole Fill Ratio</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minimum fill acceptable</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minimum barrel copper fill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Via Drilling Registration</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Slight breakout allowed on external pads</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breakout permitted; internal annular ring must be \ge 7\text{ mils}.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Etch Back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Optional; standard chemical desmear</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Positive plasma etch back required to ensure robust layer connection.</w:t>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vacuum environments, convective heat dissipation is absent, meaning that external layers must be designed using internal layer equations to prevent overheating. Class 3 designs use solid ground planes adjacent to signal layers to provide low-impedance return paths and minimize EMI. High-reliability boards also require high-T_g substrates (T_g &gt; 170^\circ\text{C}), double-ply prepreg configurations, and positive plasma etch back to ensure robust multilayer interconnects.</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12: Finite Element Modeling and Level 1 Structural Simulation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integration and launch, structural designs must be analyzed using computational methods to verify they can withstand launch loads. This module introduces Level 1 simulation using the </w:t>
      </w:r>
      <w:hyperlink r:id="rId18">
        <w:r w:rsidDel="00000000" w:rsidR="00000000" w:rsidRPr="00000000">
          <w:rPr>
            <w:color w:val="0000ee"/>
            <w:u w:val="single"/>
            <w:rtl w:val="0"/>
          </w:rPr>
          <w:t xml:space="preserve">Finite element method</w:t>
        </w:r>
      </w:hyperlink>
      <w:r w:rsidDel="00000000" w:rsidR="00000000" w:rsidRPr="00000000">
        <w:rPr>
          <w:rtl w:val="0"/>
        </w:rPr>
        <w:t xml:space="preserve"> (FEM).</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Continuous Assembly to Finite Elements</w:t>
        <w:br w:type="textWrapping"/>
        <w:t xml:space="preserve">+--------------------+      Finite Element Partition   +-------------------------+</w:t>
        <w:br w:type="textWrapping"/>
        <w:t xml:space="preserve">| Continuous CAD Shell|================================&gt;| Connected Node Mesh     |</w:t>
        <w:br w:type="textWrapping"/>
        <w:t xml:space="preserve">| (3D Printed PLA) [span_267](start_span)[span_267](end_span)  |                                 | (TET/HEX solid elements)|</w:t>
        <w:br w:type="textWrapping"/>
        <w:t xml:space="preserve">+--------------------+                                 +-------------------------+</w:t>
        <w:br w:type="textWrapping"/>
        <w:t xml:space="preserve">                                                                    |</w:t>
        <w:br w:type="textWrapping"/>
        <w:t xml:space="preserve">                                                                    v</w:t>
        <w:br w:type="textWrapping"/>
        <w:t xml:space="preserve">+--------------------+      Boundary Restraints        +-------------------------+</w:t>
        <w:br w:type="textWrapping"/>
        <w:t xml:space="preserve">| Output Solution    |&lt;================================| Stiffness Assembly      |</w:t>
        <w:br w:type="textWrapping"/>
        <w:t xml:space="preserve">| (Deform &amp; Stress)  |                                 | ([K]{u} = {F} Solver)   |</w:t>
        <w:br w:type="textWrapping"/>
        <w:t xml:space="preserve">+--------------------+                                 +-------------------------+</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response of a continuous structural system subjected to mechanical loading is governed by partial differential equations. FEM simplifies this analysis by dividing the continuous geometry into small, discrete finite elements. For a structural analysis, the fundamental governing equation is formulated as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 [K] \{u\}</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\{F\} is the global nodal force vector, \{u\} is the nodal displacement vector, and [K] is the assembled global stiffness matrix.</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simple one-dimensional, axially loaded elastic bar element of length L, Young's modulus E, and cross-sectional area A, the equivalent stiffness (k) can be derived from </w:t>
      </w:r>
      <w:hyperlink r:id="rId19">
        <w:r w:rsidDel="00000000" w:rsidR="00000000" w:rsidRPr="00000000">
          <w:rPr>
            <w:color w:val="0000ee"/>
            <w:u w:val="single"/>
            <w:rtl w:val="0"/>
          </w:rPr>
          <w:t xml:space="preserve">Hooke's law</w:t>
        </w:r>
      </w:hyperlink>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 \frac{E \cdot A}{L}</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single bar element with two nodes (i and j), the element-level stiffness relationship is defined as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\begin{bmatrix} K^{(e)} \end{bmatrix} \{u\} = \{F\} \implies \frac{E \cdot A}{L} \begin{bmatrix} 1 &amp; -1 \\ -1 &amp; 1 \end{bmatrix} \begin{bmatrix} u_{i} \\ u_{j} \end{bmatrix} = \begin{bmatrix} F_{i} \\ F_{j} \end{bmatrix}</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element matrix is symmetric and singular, meaning it cannot be inverted until boundary conditions are applied to prevent rigid-body translation.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multi-element system, the element matrices are assembled into a global stiffness matrix based on nodal connectivity. For a two-element spring system in series with stiffnesses k_1 and k_2 connecting three sequential nodes, the global stiffness matrix is assembled as follows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\begin{bmatrix} k_1 &amp; -k_1 &amp; 0 \\ -k_1 &amp; k_1 + k_2 &amp; -k_2 \\ 0 &amp; -k_2 &amp; k_2 \end{bmatrix} \begin{bmatrix} u_1 \\ u_2 \\ u_3 \end{bmatrix} = \begin{bmatrix} F_1 \\ F_2 \\ F_3 \end{bmatrix}</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boundary conditions are applied (such as constraining Node 1 to a rigid support, u_1 = 0), the matrix becomes non-singular and can be solved to determine the nodal displacements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[span_377](start_span)[span_377](end_span)[span_380](start_span)[span_380](end_span){u} = [K]^{-1} {F}$$</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Using these displacements, engineers can calculate local mechanical strain, stress concentrations, and safety margins. This numerical analysis ensures that structural components, such as a 3D-printed picosatellite shell, can survive peak accelerations (&gt;10g) and vibrational stresses during sounding rocket launch.</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Practical Engineering Recommendations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RHUMI Twin 2026 curriculum establishes a rigorous, comprehensive pathway that prepares students for the technical challenges of the modern space sector. By integrating academic theory with hands-on labs and simulations, the program equips participants with directly applicable, professional engineering skills.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systems engineering and workmanship standards detailed in this curriculum, three core recommendations are proposed for engineering programs and educational institutions:</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Integrate Professional Standards into Academic Training:</w:t>
      </w:r>
      <w:r w:rsidDel="00000000" w:rsidR="00000000" w:rsidRPr="00000000">
        <w:rPr>
          <w:rtl w:val="0"/>
        </w:rPr>
        <w:t xml:space="preserve"> Engineering curricula should prioritize compliance with recognized industrial standards, such as IPC Class 3 design rules and J-STD-001 Space Addendum workmanship criteria. Training students to satisfy these rigorous requirements ensures that physical assemblies are compatible with professional aerospace standards.</w:t>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 Modular, Standardized Hardware Platforms:</w:t>
      </w:r>
      <w:r w:rsidDel="00000000" w:rsidR="00000000" w:rsidRPr="00000000">
        <w:rPr>
          <w:rtl w:val="0"/>
        </w:rPr>
        <w:t xml:space="preserve"> Utilizing standardized platforms, such as the 1P PocketQube standard and the PQ-9 electrical interface, simplifies structural integration and reduces development costs. This modularity enables rapid prototyping and allows student-built subsystems to integrate seamlessly with commercial launch services.</w:t>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Validate Designs through Practical Flight Campaigns:</w:t>
      </w:r>
      <w:r w:rsidDel="00000000" w:rsidR="00000000" w:rsidRPr="00000000">
        <w:rPr>
          <w:rtl w:val="0"/>
        </w:rPr>
        <w:t xml:space="preserve"> Hands-on satellite and rocketry programs should culminate in real flight validation. Participating in suborbital flight operations, such as the RHUMI Twin 2026 launch campaign, exposes students to real launch dynamics, range safety procedures, and telemetry tracking operations, providing critical experience for the next generation of space systems engineers.</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Reusable Launch Vehicle, RHUMI-1 - Drishti IAS, https://www.drishtiias.com/daily-updates/daily-news-analysis/reusable-launch-vehicle-rhumi-1 2. Alba Orbital and its PocketQube missions - eoPortal, https://www.eoportal.org/ftp/satellite-missions/a/AlbaOrbital_160222/AlbaOrbital.html 3. Mission Rhumi Twin 2026 - Space Zone India, https://www.spacezoneindia.com/register/index.php 4. Which Tamil Nadu-based startup has developed India's first reusable hybrid rocket, RHUMI-1? - Testbook, https://testbook.com/question-answer/which-tamil-nadu-based-startup-has-developed-india--69a02243defccd1a2dcc27d4 5. Mission Rhumi 2024 - News Details, https://samsamayikghatnachakra.com/current_news/9869?language=all 6. From village roads to rocket labs: The remarkable story of Dr. Anand Megalingam who built one of India's rising space-tech cos - The Economic Times, https://m.economictimes.com/news/new-updates/rejected-by-us-visa-welcomed-by-nasa-meet-dr-anand-megalingam-a-tractor-drivers-son-who-built-one-of-indias-rising-space-tech-cos/articleshow/131149862.cms 7. Meet Dr Anand Megalingam: From a tractor driver's son walking 6 kilometres to school to building a NASA-linked space-tech company | - The Times of India, https://timesofindia.indiatimes.com/science/meet-dr-anand-megalingam-from-a-tractor-drivers-son-walking-6-kilometres-to-school-to-building-a-nasa-linked-space-tech-company/articleshow/131060554.cms 8. IPC-2221 PCB Design Standards - Ultra Librarian, https://www.ultralibrarian.com/2026/03/19/ipc-2221-pcb-design-standards-ulc 9. PocketQube - Grokipedia, https://grokipedia.com/page/PocketQube 10. Class 3 PCB Design and Manufacturing Standards | Sierra Circuits, https://www.protoexpress.com/kb/ipc-class-3-pcb-design-and-manufacturing-standards/ 11. From a Tractor Driver's Hut to the Halls of NASA: The Extraordinary Rise of India's Rocket Scientist - Business Standard, https://www.business-standard.com/content/press-releases-ani/from-a-tractor-driver-s-hut-to-the-halls-of-nasa-the-extraordinary-rise-of-india-s-rocket-scientist-126051200006_1.html 12. Journey of Dr. Anand Megalingam | India's First Hybrid Rocket Mission Director, https://www.indianeagle.com/traveldiary/dr-anand-megalingam-from-us-visa-rejection-to-nasa-selected-innovator/ 13. (PDF) Technical Overview and Comparative Assessment of the ..., https://www.researchgate.net/publication/398688983_Technical_Overview_and_Comparative_Assessment_of_the_AkSat_U2_and_ViskanSat_Sub-Orbital_Picosatellite_Demonstrators_for_Flight_Aboard_the_Rhumi-1_Sounding_Rocket 14. A Modular, Efficient, Low Cost Power System for Pico-Satellite Applications - ResearchGate, https://www.researchgate.net/publication/324028845_A_Modular_Efficient_Low_Cost_Power_System_for_Pico-Satellite_Applications 15. Space Tech + Defence - ForumIAS, https://forumias.com/blog/wp-content/uploads/2025/05/Space-Tech-Defence-1.pdf 16. Near Space Technologies Gaining Momentum - Defence Research and Studies, https://dras.in/near-space-technologies-gaining-momentum/ 17. Day 5 Prelims 20+: Space Tech + Defence - ForumIAS Blog, https://forumias.com/blog/day-5-prelims-20-space-tech-defence/ 18. [Solved] Which of the following is the best description of RHUMI-1, w - Testbook, https://testbook.com/question-answer/which-of-the-following-is-the-best-description-of--69a5520ea5467425d2a83135 19. Delft University of Technology Cubesats to pocketqubes Opportunities and challenges - SciSpace, https://scispace.com/pdf/cubesats-to-pocketqubes-opportunities-and-challenges-3y9k3twe6x.pdf 20. Introduction to the IEEE Open PocketQube Kit - NanoSat Lab Wiki, https://wiki.nanosatlab.space/books/cat-introduction-requirements-qtC/page/introduction-to-the-ieee-open-pocketqube-kit 21. (PDF) CubeSats to PocketQubes: Opportunities and Challenges, https://www.researchgate.net/publication/308777632_CubeSats_to_PocketQubes_Opportunities_and_Challenges 22. Delft University of Technology Document Version Final published version Licence Dutch Copyright Act (Article 25fa) Citation (APA - TU Delft Research Portal, https://pure.tudelft.nl/ws/portalfiles/portal/265327575/Uludag_M.S._-_IAC2025.pdf 23. ALBAPOD - Alba Orbital, https://tom-walkinshaw-wmb4.squarespace.com/s/icd-alba-orbital-ltd-pocketqube-launch-vmnrsg.pdf 24. PocketQube picosatellites: survey of missions and technologies - ResearchGate, https://www.researchgate.net/publication/389153211_PocketQube_picosatellites_survey_of_missions_and_technologies 25. Kepler's Third Law Interactive Calculator - Firgelli Automations, https://www.firgelliauto.com/blogs/engineering-calculators/kepler-third-law-calculator 26. Orbital mechanics - Wikipedia, https://en.wikipedia.org/wiki/Orbital_mechanics 27. Deriving Kepler's Laws | Brilliant Math &amp; Science Wiki, https://brilliant.org/wiki/deriving-keplers-laws/ 28. Kepler's Laws of Planetary Motion - Physics - HSCprep, https://hscprep.com.au/hsc-physics/keplers-laws-of-planetary-motion/ 29. Chapter 2 – Orbit Geometry – Introduction to Orbital Mechanics - Pressbooks OER, https://oer.pressbooks.pub/lynnanegeorge/chapter/chapter-2-copy/ 30. Development and Verification of an Imaging System for PocketQube Satellites - WebThesis, https://webthesis.biblio.polito.it/31276/1/tesi.pdf 31. Democratizing Space: A Beginner's Guide to Open Source PocketQubes - Alba Orbital, https://www.albaorbital.com/open-source-pocketqube 32. Hybrid-propellant rocket - Wikipedia, https://en.wikipedia.org/wiki/Hybrid-propellant_rocket 33. Regression Rate Considerations in Hybrid Rocket Propulsion Max Kandula, Ph.D. Technical Fellow, KBR Space Coast Engineering &amp;, https://www.kbr.com/en/document/4266 34. Characterization of Advanced Hybrid Rocket Engines - eucass, https://www.eucass.eu/component/docindexer/?task=download&amp;id=3666 35. Basics of Space Flight: Rocket Propellants, http://www.braeunig.us/space/propel.htm 36. India launches its 1st reusable hybrid rocket 'RHUMI-1' - The Economic Times, https://m.economictimes.com/news/science/india-launches-its-1st-reusable-hybrid-rocket-rhumi-1/articleshow/112754548.cms 37. Electronics Inspection in Shenzhen: A Complete 15-Point Checklist for Importers - Reddit, https://www.reddit.com/r/AmazonFBATips/comments/1tgp3xs/electronics_inspection_in_shenzhen_a_complete/ 38. Mastering Solder Joint Quality: An IPC A 610 Guide to Acceptable Fillets - ALLPCB, https://www.allpcb.com/allelectrohub/mastering-solder-joint-quality-an-ipc-a-610-guide-to-acceptable-fillets 39. IPC‑A‑610 Classes in PCB Assembly: What OEMs Need to Know | Foxtronics EMS, https://foxtronicsems.com/industry-insights/ipc-a-610-classes-explained-for-oems/ 40. IPC-A-610 Solder Void Standards: A Compliance Guide for SMT - HVT, https://www.hvttec.com/ipc-a-610-smt-solder-void-standards.html 41. IPC-J-STD-001 Space Addendum (CIS) 20-FEB-2026 - smcba, https://smcba.asn.au/training-courses/smcba-seminar/ipc/ipc-j-std-001/ipc-j-std-001-space-addendum-20-feb-2026 42. Addendum | electronics.org, https://shop.electronics.org/standards/addendum 43. PCB Inspection Standards: Understanding IPC A 610 and Beyond - ALLPCB, https://www.allpcb.com/allelectrohub/pcb-inspection-standards-understanding-ipc-a-610-and-beyond 44. IPC-A-610 Standard: A Guide to Electronics Assembly Quality, https://www.a2zems.com/post/ipc-a-610-standard 45. Space and Military Applications Electronic Hardware Addendum to IPC J-STD-001G Requirements for Solder - ANSI Webstore, https://webstore.ansi.org/preview-pages/ipc/preview_ipc-j-std-001gs.pdf 46. Simplify PCB Design with Our Trace Width Calculator - AdvancedPCB, https://www.advancedpcb.com/en-us/tools/trace-width-calculator/ 47. Trace Width vs Current in PCB Design - Wevolver, https://www.wevolver.com/article/trace-width-vs-current-in-pcb-design 48. PCB Trace Width Guide: Calculator, IPC-2221 Tables, and Design Rules (2025), https://www.schemalyzer.com/en/blog/pcb-design/basics/pcb-trace-width-guide 49. Easy PCB Trace Width Calculation: A Step by Step Guide for Hobbyists - ALLPCB, https://www.allpcb.com/allelectrohub/easy-pcb-trace-width-calculation-a-step-by-step-guide-for-hobbyists 50. Introduction to the Finite Element Method (FEM) Lecture 1 The Direct Stiffness Method and the Global StiffnessMatrix, https://www.ccg.msm.cam.ac.uk/system/files/documents/FEMOR_Lecture_1.pdf 51. Understanding the Finite Element Method | The Efficient Engineer, https://efficientengineer.com/finite-element-method/ 52. 17. An introduction to the finite element method, https://www.purdue.edu/freeform/me323/wp-content/uploads/sites/2/2022/04/Week11.pdf 53. Introduction to Finite Element Analysis (FEA) or Finite Element Method (FEM) - Engineering and Computer Science, https://www.engr.uvic.ca/~mech410/lectures/FEA_Theory.pdf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CubeSat" TargetMode="External"/><Relationship Id="rId10" Type="http://schemas.openxmlformats.org/officeDocument/2006/relationships/hyperlink" Target="https://en.wikipedia.org/wiki/Miniaturization" TargetMode="External"/><Relationship Id="rId13" Type="http://schemas.openxmlformats.org/officeDocument/2006/relationships/hyperlink" Target="https://en.wikipedia.org/wiki/Kepler%27s_laws_of_planetary_motion" TargetMode="External"/><Relationship Id="rId12" Type="http://schemas.openxmlformats.org/officeDocument/2006/relationships/hyperlink" Target="https://en.wikipedia.org/wiki/Orbital_mechan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Near-space" TargetMode="External"/><Relationship Id="rId15" Type="http://schemas.openxmlformats.org/officeDocument/2006/relationships/hyperlink" Target="https://en.wikipedia.org/wiki/Spacecraft_bus" TargetMode="External"/><Relationship Id="rId14" Type="http://schemas.openxmlformats.org/officeDocument/2006/relationships/hyperlink" Target="https://en.wikipedia.org/wiki/Specific_orbital_energy" TargetMode="External"/><Relationship Id="rId17" Type="http://schemas.openxmlformats.org/officeDocument/2006/relationships/hyperlink" Target="https://en.wikipedia.org/wiki/Specific_impulse" TargetMode="External"/><Relationship Id="rId16" Type="http://schemas.openxmlformats.org/officeDocument/2006/relationships/hyperlink" Target="https://en.wikipedia.org/wiki/RS-485" TargetMode="External"/><Relationship Id="rId5" Type="http://schemas.openxmlformats.org/officeDocument/2006/relationships/styles" Target="styles.xml"/><Relationship Id="rId19" Type="http://schemas.openxmlformats.org/officeDocument/2006/relationships/hyperlink" Target="https://en.wikipedia.org/wiki/Hooke%27s_law" TargetMode="External"/><Relationship Id="rId6" Type="http://schemas.openxmlformats.org/officeDocument/2006/relationships/hyperlink" Target="https://en.wikipedia.org/wiki/Space_science" TargetMode="External"/><Relationship Id="rId18" Type="http://schemas.openxmlformats.org/officeDocument/2006/relationships/hyperlink" Target="https://en.wikipedia.org/wiki/Finite_element_method" TargetMode="External"/><Relationship Id="rId7" Type="http://schemas.openxmlformats.org/officeDocument/2006/relationships/hyperlink" Target="https://en.wikipedia.org/wiki/Outer_space" TargetMode="External"/><Relationship Id="rId8" Type="http://schemas.openxmlformats.org/officeDocument/2006/relationships/hyperlink" Target="https://en.wikipedia.org/wiki/Atmosphere_of_Ea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