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2.Resourcen/-Ablaufplan</w:t>
      </w:r>
    </w:p>
    <w:p w:rsidR="005D6DEC" w:rsidRPr="00FE2BA1" w:rsidRDefault="005D6DEC">
      <w:pPr>
        <w:rPr>
          <w:color w:val="92D050"/>
          <w:lang w:val="de-DE"/>
        </w:rPr>
      </w:pPr>
      <w:r w:rsidRPr="00FE2BA1">
        <w:rPr>
          <w:color w:val="92D050"/>
          <w:lang w:val="de-DE"/>
        </w:rPr>
        <w:t>2.1 Projektmanagement, Terminplanung, Ablaufplan (inkl. Meilensteine)</w:t>
      </w:r>
    </w:p>
    <w:p w:rsidR="005D6DEC" w:rsidRPr="00461CB3" w:rsidRDefault="005D6DEC">
      <w:pPr>
        <w:rPr>
          <w:color w:val="92D050"/>
          <w:lang w:val="de-DE"/>
        </w:rPr>
      </w:pPr>
      <w:r w:rsidRPr="00461CB3">
        <w:rPr>
          <w:color w:val="92D05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Zum Entwicklen wurde ein Desktop-PC Verwendet, die Spezifikationen der Hardware befinden sich im Tabelle [erstellen]. Die verwendeten Software Rersourcen sind in Tabelle [erstellen]</w:t>
      </w:r>
      <w:r w:rsidR="00A66309">
        <w:rPr>
          <w:lang w:val="de-DE"/>
        </w:rPr>
        <w:t xml:space="preserve"> dargestellt.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F04417">
      <w:pPr>
        <w:rPr>
          <w:sz w:val="32"/>
          <w:szCs w:val="32"/>
          <w:lang w:val="de-DE"/>
        </w:rPr>
      </w:pPr>
      <w:r>
        <w:rPr>
          <w:sz w:val="40"/>
          <w:szCs w:val="40"/>
          <w:lang w:val="de-DE"/>
        </w:rPr>
        <w:t>2</w:t>
      </w:r>
      <w:r w:rsidR="009D4022" w:rsidRPr="00C70009">
        <w:rPr>
          <w:sz w:val="40"/>
          <w:szCs w:val="40"/>
          <w:lang w:val="de-DE"/>
        </w:rPr>
        <w:t>.</w:t>
      </w:r>
      <w:r w:rsidR="00B1021D" w:rsidRPr="00B1021D">
        <w:rPr>
          <w:sz w:val="32"/>
          <w:szCs w:val="32"/>
          <w:lang w:val="de-DE"/>
        </w:rPr>
        <w:t xml:space="preserve"> </w:t>
      </w:r>
      <w:r w:rsidR="001E2529">
        <w:rPr>
          <w:sz w:val="32"/>
          <w:szCs w:val="32"/>
          <w:lang w:val="de-DE"/>
        </w:rPr>
        <w:t>Projektplaung</w:t>
      </w:r>
    </w:p>
    <w:p w:rsidR="006B467F" w:rsidRDefault="00F04417" w:rsidP="00FF01C4">
      <w:pPr>
        <w:rPr>
          <w:sz w:val="28"/>
          <w:szCs w:val="28"/>
          <w:lang w:val="de-DE"/>
        </w:rPr>
      </w:pPr>
      <w:r>
        <w:rPr>
          <w:sz w:val="28"/>
          <w:szCs w:val="28"/>
          <w:lang w:val="de-DE"/>
        </w:rPr>
        <w:t>2</w:t>
      </w:r>
      <w:r w:rsidR="006B467F" w:rsidRPr="006B467F">
        <w:rPr>
          <w:sz w:val="28"/>
          <w:szCs w:val="28"/>
          <w:lang w:val="de-DE"/>
        </w:rPr>
        <w:t>.1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p>
    <w:p w:rsidR="00D241C4" w:rsidRPr="00D241C4" w:rsidRDefault="00D241C4">
      <w:pPr>
        <w:rPr>
          <w:lang w:val="de-DE"/>
        </w:rPr>
      </w:pPr>
      <w:r w:rsidRPr="00D241C4">
        <w:rPr>
          <w:lang w:val="de-DE"/>
        </w:rPr>
        <w:lastRenderedPageBreak/>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D241C4" w:rsidRPr="00D241C4" w:rsidRDefault="00D241C4">
      <w:pPr>
        <w:rPr>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lastRenderedPageBreak/>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 xml:space="preserve">CLI der Installationsguide </w:t>
      </w:r>
      <w:r w:rsidR="00E30EBE">
        <w:rPr>
          <w:lang w:val="de-DE"/>
        </w:rPr>
        <w:lastRenderedPageBreak/>
        <w:t>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w:t>
      </w:r>
      <w:bookmarkStart w:id="0" w:name="_GoBack"/>
      <w:bookmarkEnd w:id="0"/>
      <w:r w:rsidR="003F5E85" w:rsidRPr="003F5E85">
        <w:rPr>
          <w:sz w:val="28"/>
          <w:szCs w:val="28"/>
          <w:lang w:val="de-DE"/>
        </w:rPr>
        <w:t>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lastRenderedPageBreak/>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lastRenderedPageBreak/>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Default="00461CB3" w:rsidP="00415BA4">
      <w:pPr>
        <w:spacing w:after="0"/>
        <w:rPr>
          <w:sz w:val="24"/>
          <w:szCs w:val="24"/>
          <w:lang w:val="de-DE"/>
        </w:rPr>
      </w:pPr>
      <w:r>
        <w:rPr>
          <w:sz w:val="24"/>
          <w:szCs w:val="24"/>
          <w:lang w:val="de-DE"/>
        </w:rPr>
        <w:t>5.3.6</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870" w:rsidRDefault="00886870" w:rsidP="00B1021D">
      <w:pPr>
        <w:spacing w:after="0" w:line="240" w:lineRule="auto"/>
      </w:pPr>
      <w:r>
        <w:separator/>
      </w:r>
    </w:p>
  </w:endnote>
  <w:endnote w:type="continuationSeparator" w:id="0">
    <w:p w:rsidR="00886870" w:rsidRDefault="0088687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870" w:rsidRDefault="00886870" w:rsidP="00B1021D">
      <w:pPr>
        <w:spacing w:after="0" w:line="240" w:lineRule="auto"/>
      </w:pPr>
      <w:r>
        <w:separator/>
      </w:r>
    </w:p>
  </w:footnote>
  <w:footnote w:type="continuationSeparator" w:id="0">
    <w:p w:rsidR="00886870" w:rsidRDefault="0088687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E1B33"/>
    <w:rsid w:val="003F5E85"/>
    <w:rsid w:val="00402D97"/>
    <w:rsid w:val="00415BA4"/>
    <w:rsid w:val="00440C4F"/>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5F04C9"/>
    <w:rsid w:val="00600642"/>
    <w:rsid w:val="0062503B"/>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09B1"/>
    <w:rsid w:val="008053CC"/>
    <w:rsid w:val="00807A5E"/>
    <w:rsid w:val="008541E4"/>
    <w:rsid w:val="00886870"/>
    <w:rsid w:val="008B55E0"/>
    <w:rsid w:val="008D30B8"/>
    <w:rsid w:val="008F1B78"/>
    <w:rsid w:val="00914751"/>
    <w:rsid w:val="00936D32"/>
    <w:rsid w:val="00953EF7"/>
    <w:rsid w:val="0099073D"/>
    <w:rsid w:val="00996199"/>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D86C"/>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01EF3-BC78-441A-A9FC-09A565C7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9</cp:revision>
  <dcterms:created xsi:type="dcterms:W3CDTF">2023-04-13T19:46:00Z</dcterms:created>
  <dcterms:modified xsi:type="dcterms:W3CDTF">2023-04-13T20:05:00Z</dcterms:modified>
</cp:coreProperties>
</file>