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CS 330 Final Project: Airfield Scene — Design Decisions</w:t>
      </w:r>
    </w:p>
    <w:p>
      <w:r>
        <w:t>I selected an airfield because its recognizable objects can be approximated using a small set of reusable primitive meshes. The airplane is the focal point, with a runway, cargo crate, and safety cones providing context. The airplane combines a cylinder fuselage, cone nose, and transformed box meshes for the wings, tail, and canopy. The runway is a plane, the cargo crate is a box, and the safety markers reuse cone geometry. These choices keep the models simple and help organize the scene around the original proposal.</w:t>
      </w:r>
    </w:p>
    <w:p>
      <w:r>
        <w:t>I used scaling, rotation, and translation to place the parts in a common coordinate system. The airplane is raised above the runway, with the crate beside it and cones along the edge. Reusing a mesh instead of building separate geometry for every object reduces duplicated code and makes the arrangement easier to change. Textures distinguish the airfield, aircraft metal, red-painted surfaces, and canopy. Material settings control shininess and specular highlights so that surfaces do not all respond to light identically.</w:t>
      </w:r>
    </w:p>
    <w:p>
      <w:r>
        <w:t>The scene uses the Phong lighting model with ambient, diffuse, and specular contributions. A directional light provides broad daylight, while a cooler point light adds fill illumination to darker areas. This combination makes the aircraft easier to inspect from multiple camera angles. Lighting values and material properties are configured separately from object transformations, allowing them to be adjusted without changing the scene geometry.</w:t>
      </w:r>
    </w:p>
    <w:p>
      <w:r>
        <w:t>Users move the camera with W and S for forward and backward, A and D for left and right, and Q and E for vertical movement. Mouse movement changes the viewing direction through yaw and pitch. The mouse scroll wheel changes movement speed. Pressing P selects perspective projection and O selects orthographic projection, allowing users to compare depth-based and parallel views while retaining the camera orientation.</w:t>
      </w:r>
    </w:p>
    <w:p>
      <w:r>
        <w:t>The code is organized into functions with distinct responsibilities. PrepareScene loads textures, defines materials, configures lights, and initializes reusable primitive meshes. RenderScene positions and draws the individual objects. SetTransformations builds each object’s model matrix; SetShaderTexture and SetShaderMaterial apply the appropriate surface appearance. This modular approach makes it easier to add or reposition objects and to maintain consistent rendering behavior. The final Windows executable should be built and checked in Visual Studio before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