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Issue Resolution Process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Issue Resolution Process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document defines the end-to-end process for reporting, triaging, resolving, and closing data issues at [Organization Name]. A consistent process ensures issues are addressed by the right owner, within an appropriate timeframe, and with traceability for governance reporting.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Purpose and Scope</w:t>
      </w:r>
    </w:p>
    <w:p>
      <w:pPr>
        <w:pStyle w:val="Heading3"/>
      </w:pPr>
      <w:r>
        <w:t xml:space="preserve">1.1 Purpose</w:t>
      </w:r>
    </w:p>
    <w:p>
      <w:pPr>
        <w:spacing w:after="160"/>
      </w:pPr>
      <w:r>
        <w:t xml:space="preserve">This process ensures that:</w:t>
      </w:r>
    </w:p>
    <w:p>
      <w:pPr>
        <w:pStyle w:val="ListParagraph"/>
        <w:numPr>
          <w:ilvl w:val="0"/>
          <w:numId w:val="2"/>
        </w:numPr>
      </w:pPr>
      <w:r>
        <w:t xml:space="preserve">Data issues are captured consistently regardless of source or reporter</w:t>
      </w:r>
    </w:p>
    <w:p>
      <w:pPr>
        <w:pStyle w:val="ListParagraph"/>
        <w:numPr>
          <w:ilvl w:val="0"/>
          <w:numId w:val="2"/>
        </w:numPr>
      </w:pPr>
      <w:r>
        <w:t xml:space="preserve">Issues are routed to the accountable Data Steward without delay</w:t>
      </w:r>
    </w:p>
    <w:p>
      <w:pPr>
        <w:pStyle w:val="ListParagraph"/>
        <w:numPr>
          <w:ilvl w:val="0"/>
          <w:numId w:val="2"/>
        </w:numPr>
      </w:pPr>
      <w:r>
        <w:t xml:space="preserve">Resolution follows a repeatable, auditable workflow</w:t>
      </w:r>
    </w:p>
    <w:p>
      <w:pPr>
        <w:pStyle w:val="ListParagraph"/>
        <w:numPr>
          <w:ilvl w:val="0"/>
          <w:numId w:val="2"/>
        </w:numPr>
      </w:pPr>
      <w:r>
        <w:t xml:space="preserve">Recurring issues are identified and addressed at the root cause</w:t>
      </w:r>
    </w:p>
    <w:p>
      <w:pPr>
        <w:pStyle w:val="Heading3"/>
      </w:pPr>
      <w:r>
        <w:t xml:space="preserve">1.2 Scope</w:t>
      </w:r>
    </w:p>
    <w:p>
      <w:pPr>
        <w:spacing w:after="160"/>
      </w:pPr>
      <w:r>
        <w:t xml:space="preserve">Applies to all data quality, access, lineage, or classification issues identified in any system, report, or dataset governed under the Data Governance Program.</w:t>
      </w:r>
    </w:p>
    <w:p>
      <w:pPr>
        <w:pStyle w:val="Heading3"/>
      </w:pPr>
      <w:r>
        <w:t xml:space="preserve">1.3 What Qualifies as a Data Issue</w:t>
      </w:r>
    </w:p>
    <w:p>
      <w:pPr>
        <w:pStyle w:val="ListParagraph"/>
        <w:numPr>
          <w:ilvl w:val="0"/>
          <w:numId w:val="2"/>
        </w:numPr>
      </w:pPr>
      <w:r>
        <w:t xml:space="preserve">Incorrect, missing, or inconsistent data values</w:t>
      </w:r>
    </w:p>
    <w:p>
      <w:pPr>
        <w:pStyle w:val="ListParagraph"/>
        <w:numPr>
          <w:ilvl w:val="0"/>
          <w:numId w:val="2"/>
        </w:numPr>
      </w:pPr>
      <w:r>
        <w:t xml:space="preserve">Duplicate records</w:t>
      </w:r>
    </w:p>
    <w:p>
      <w:pPr>
        <w:pStyle w:val="ListParagraph"/>
        <w:numPr>
          <w:ilvl w:val="0"/>
          <w:numId w:val="2"/>
        </w:numPr>
      </w:pPr>
      <w:r>
        <w:t xml:space="preserve">Broken or unclear data lineage</w:t>
      </w:r>
    </w:p>
    <w:p>
      <w:pPr>
        <w:pStyle w:val="ListParagraph"/>
        <w:numPr>
          <w:ilvl w:val="0"/>
          <w:numId w:val="2"/>
        </w:numPr>
      </w:pPr>
      <w:r>
        <w:t xml:space="preserve">Unauthorized or incorrect access to data</w:t>
      </w:r>
    </w:p>
    <w:p>
      <w:pPr>
        <w:pStyle w:val="ListParagraph"/>
        <w:numPr>
          <w:ilvl w:val="0"/>
          <w:numId w:val="2"/>
        </w:numPr>
      </w:pPr>
      <w:r>
        <w:t xml:space="preserve">Misclassified or mislabeled data</w:t>
      </w:r>
    </w:p>
    <w:p>
      <w:pPr>
        <w:pStyle w:val="ListParagraph"/>
        <w:numPr>
          <w:ilvl w:val="0"/>
          <w:numId w:val="2"/>
        </w:numPr>
      </w:pPr>
      <w:r>
        <w:t xml:space="preserve">Data not meeting defined quality rules (see Data Quality Standards)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Issue Severity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Response Time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Resolution Time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blocks a business-critical process, regulatory report, or affects regulated data (e.g., PII exposure)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hour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significantly impacts decision-making or a business process, no safe workaround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business hours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business days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affects data quality or usability but a workaround exists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business days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Minor/cosmetic issue with limited business impact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business days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scheduled maintenance cycle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Process Workflow</w:t>
      </w:r>
    </w:p>
    <w:p>
      <w:pPr>
        <w:pStyle w:val="Heading3"/>
      </w:pPr>
      <w:r>
        <w:t xml:space="preserve">Step 1: Report</w:t>
      </w:r>
    </w:p>
    <w:p>
      <w:pPr>
        <w:spacing w:after="160"/>
      </w:pPr>
      <w:r>
        <w:t xml:space="preserve">Anyone who identifies a data issue submits it through the data issue tracker, including:</w:t>
      </w:r>
    </w:p>
    <w:p>
      <w:pPr>
        <w:pStyle w:val="ListParagraph"/>
        <w:numPr>
          <w:ilvl w:val="0"/>
          <w:numId w:val="2"/>
        </w:numPr>
      </w:pPr>
      <w:r>
        <w:t xml:space="preserve">Description of the issue</w:t>
      </w:r>
    </w:p>
    <w:p>
      <w:pPr>
        <w:pStyle w:val="ListParagraph"/>
        <w:numPr>
          <w:ilvl w:val="0"/>
          <w:numId w:val="2"/>
        </w:numPr>
      </w:pPr>
      <w:r>
        <w:t xml:space="preserve">Affected asset/system</w:t>
      </w:r>
    </w:p>
    <w:p>
      <w:pPr>
        <w:pStyle w:val="ListParagraph"/>
        <w:numPr>
          <w:ilvl w:val="0"/>
          <w:numId w:val="2"/>
        </w:numPr>
      </w:pPr>
      <w:r>
        <w:t xml:space="preserve">Business impact</w:t>
      </w:r>
    </w:p>
    <w:p>
      <w:pPr>
        <w:pStyle w:val="ListParagraph"/>
        <w:numPr>
          <w:ilvl w:val="0"/>
          <w:numId w:val="2"/>
        </w:numPr>
      </w:pPr>
      <w:r>
        <w:t xml:space="preserve">Steps to reproduce (if applicable)</w:t>
      </w:r>
    </w:p>
    <w:p>
      <w:pPr>
        <w:pStyle w:val="Heading3"/>
      </w:pPr>
      <w:r>
        <w:t xml:space="preserve">Step 2: Triage</w:t>
      </w:r>
    </w:p>
    <w:p>
      <w:pPr>
        <w:spacing w:after="160"/>
      </w:pPr>
      <w:r>
        <w:t xml:space="preserve">The Data Governance Office (or assigned Technical Data Steward) reviews new issues within the response time SLA to:</w:t>
      </w:r>
    </w:p>
    <w:p>
      <w:pPr>
        <w:pStyle w:val="ListParagraph"/>
        <w:numPr>
          <w:ilvl w:val="0"/>
          <w:numId w:val="2"/>
        </w:numPr>
      </w:pPr>
      <w:r>
        <w:t xml:space="preserve">Validate the issue is genuine and not a duplicate</w:t>
      </w:r>
    </w:p>
    <w:p>
      <w:pPr>
        <w:pStyle w:val="ListParagraph"/>
        <w:numPr>
          <w:ilvl w:val="0"/>
          <w:numId w:val="2"/>
        </w:numPr>
      </w:pPr>
      <w:r>
        <w:t xml:space="preserve">Assign severity per Section 2</w:t>
      </w:r>
    </w:p>
    <w:p>
      <w:pPr>
        <w:pStyle w:val="ListParagraph"/>
        <w:numPr>
          <w:ilvl w:val="0"/>
          <w:numId w:val="2"/>
        </w:numPr>
      </w:pPr>
      <w:r>
        <w:t xml:space="preserve">Route to the accountable Business or Technical Data Steward</w:t>
      </w:r>
    </w:p>
    <w:p>
      <w:pPr>
        <w:pStyle w:val="Heading3"/>
      </w:pPr>
      <w:r>
        <w:t xml:space="preserve">Step 3: Investigation</w:t>
      </w:r>
    </w:p>
    <w:p>
      <w:pPr>
        <w:spacing w:after="160"/>
      </w:pPr>
      <w:r>
        <w:t xml:space="preserve">The assigned Data Steward investigates to determine:</w:t>
      </w:r>
    </w:p>
    <w:p>
      <w:pPr>
        <w:pStyle w:val="ListParagraph"/>
        <w:numPr>
          <w:ilvl w:val="0"/>
          <w:numId w:val="2"/>
        </w:numPr>
      </w:pPr>
      <w:r>
        <w:t xml:space="preserve">Root cause (source system, transformation logic, manual entry error, etc.)</w:t>
      </w:r>
    </w:p>
    <w:p>
      <w:pPr>
        <w:pStyle w:val="ListParagraph"/>
        <w:numPr>
          <w:ilvl w:val="0"/>
          <w:numId w:val="2"/>
        </w:numPr>
      </w:pPr>
      <w:r>
        <w:t xml:space="preserve">Scope of impact (which downstream reports/processes are affected)</w:t>
      </w:r>
    </w:p>
    <w:p>
      <w:pPr>
        <w:pStyle w:val="ListParagraph"/>
        <w:numPr>
          <w:ilvl w:val="0"/>
          <w:numId w:val="2"/>
        </w:numPr>
      </w:pPr>
      <w:r>
        <w:t xml:space="preserve">Whether immediate containment action is needed (e.g., flag a report as unreliable)</w:t>
      </w:r>
    </w:p>
    <w:p>
      <w:pPr>
        <w:pStyle w:val="Heading3"/>
      </w:pPr>
      <w:r>
        <w:t xml:space="preserve">Step 4: Resolution</w:t>
      </w:r>
    </w:p>
    <w:p>
      <w:pPr>
        <w:spacing w:after="160"/>
      </w:pPr>
      <w:r>
        <w:t xml:space="preserve">The Data Steward (with Technical Implementation support as needed) resolves the issue by:</w:t>
      </w:r>
    </w:p>
    <w:p>
      <w:pPr>
        <w:pStyle w:val="ListParagraph"/>
        <w:numPr>
          <w:ilvl w:val="0"/>
          <w:numId w:val="2"/>
        </w:numPr>
      </w:pPr>
      <w:r>
        <w:t xml:space="preserve">Correcting the data at the source where possible</w:t>
      </w:r>
    </w:p>
    <w:p>
      <w:pPr>
        <w:pStyle w:val="ListParagraph"/>
        <w:numPr>
          <w:ilvl w:val="0"/>
          <w:numId w:val="2"/>
        </w:numPr>
      </w:pPr>
      <w:r>
        <w:t xml:space="preserve">Updating transformation logic, rules, or mappings</w:t>
      </w:r>
    </w:p>
    <w:p>
      <w:pPr>
        <w:pStyle w:val="ListParagraph"/>
        <w:numPr>
          <w:ilvl w:val="0"/>
          <w:numId w:val="2"/>
        </w:numPr>
      </w:pPr>
      <w:r>
        <w:t xml:space="preserve">Documenting the fix and verifying downstream propagation</w:t>
      </w:r>
    </w:p>
    <w:p>
      <w:pPr>
        <w:pStyle w:val="Heading3"/>
      </w:pPr>
      <w:r>
        <w:t xml:space="preserve">Step 5: Verification</w:t>
      </w:r>
    </w:p>
    <w:p>
      <w:pPr>
        <w:spacing w:after="160"/>
      </w:pPr>
      <w:r>
        <w:t xml:space="preserve">The original reporter (or a designated reviewer) confirms the issue is resolved before closure.</w:t>
      </w:r>
    </w:p>
    <w:p>
      <w:pPr>
        <w:pStyle w:val="Heading3"/>
      </w:pPr>
      <w:r>
        <w:t xml:space="preserve">Step 6: Closure and Documentation</w:t>
      </w:r>
    </w:p>
    <w:p>
      <w:pPr>
        <w:spacing w:after="160"/>
      </w:pPr>
      <w:r>
        <w:t xml:space="preserve">The issue is marked closed in the tracker with:</w:t>
      </w:r>
    </w:p>
    <w:p>
      <w:pPr>
        <w:pStyle w:val="ListParagraph"/>
        <w:numPr>
          <w:ilvl w:val="0"/>
          <w:numId w:val="2"/>
        </w:numPr>
      </w:pPr>
      <w:r>
        <w:t xml:space="preserve">Root cause summary</w:t>
      </w:r>
    </w:p>
    <w:p>
      <w:pPr>
        <w:pStyle w:val="ListParagraph"/>
        <w:numPr>
          <w:ilvl w:val="0"/>
          <w:numId w:val="2"/>
        </w:numPr>
      </w:pPr>
      <w:r>
        <w:t xml:space="preserve">Resolution summary</w:t>
      </w:r>
    </w:p>
    <w:p>
      <w:pPr>
        <w:pStyle w:val="ListParagraph"/>
        <w:numPr>
          <w:ilvl w:val="0"/>
          <w:numId w:val="2"/>
        </w:numPr>
      </w:pPr>
      <w:r>
        <w:t xml:space="preserve">Preventive action (if applicable)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Submits clear, complete issue reports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Triages, assigns severity, monitors SLA compliance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Data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Validates business impact, approves resolution approach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Data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Investigates and implements technical fixes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Council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 recurring/systemic issue trends quarterly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Escalation</w:t>
      </w:r>
    </w:p>
    <w:p>
      <w:pPr>
        <w:spacing w:after="160"/>
      </w:pPr>
      <w:r>
        <w:t xml:space="preserve">Issues are escalated when:</w:t>
      </w:r>
    </w:p>
    <w:p>
      <w:pPr>
        <w:pStyle w:val="ListParagraph"/>
        <w:numPr>
          <w:ilvl w:val="0"/>
          <w:numId w:val="2"/>
        </w:numPr>
      </w:pPr>
      <w:r>
        <w:t xml:space="preserve">SLA response or resolution time is at risk of being missed</w:t>
      </w:r>
    </w:p>
    <w:p>
      <w:pPr>
        <w:pStyle w:val="ListParagraph"/>
        <w:numPr>
          <w:ilvl w:val="0"/>
          <w:numId w:val="2"/>
        </w:numPr>
      </w:pPr>
      <w:r>
        <w:t xml:space="preserve">Root cause requires cross-domain coordination</w:t>
      </w:r>
    </w:p>
    <w:p>
      <w:pPr>
        <w:pStyle w:val="ListParagraph"/>
        <w:numPr>
          <w:ilvl w:val="0"/>
          <w:numId w:val="2"/>
        </w:numPr>
      </w:pPr>
      <w:r>
        <w:t xml:space="preserve">Resolution requires budget, tooling, or policy change beyond steward authority</w:t>
      </w:r>
    </w:p>
    <w:p>
      <w:pPr>
        <w:spacing w:after="160"/>
      </w:pPr>
      <w:r>
        <w:rPr>
          <w:b/>
          <w:bCs/>
        </w:rPr>
        <w:t xml:space="preserve">Escalation Path:</w:t>
      </w:r>
      <w:r>
        <w:t xml:space="preserve"> Data Steward → Data Governance Office → Data Governance Council → Executive Sponsor (see Escalation Procedures for full detail).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Preventing Recurrence</w:t>
      </w:r>
    </w:p>
    <w:p>
      <w:pPr>
        <w:pStyle w:val="ListParagraph"/>
        <w:numPr>
          <w:ilvl w:val="0"/>
          <w:numId w:val="2"/>
        </w:numPr>
      </w:pPr>
      <w:r>
        <w:t xml:space="preserve">Issues with the same root cause occurring 3+ times within a quarter are flagged for root-cause remediation, not just symptom fixes</w:t>
      </w:r>
    </w:p>
    <w:p>
      <w:pPr>
        <w:pStyle w:val="ListParagraph"/>
        <w:numPr>
          <w:ilvl w:val="0"/>
          <w:numId w:val="2"/>
        </w:numPr>
      </w:pPr>
      <w:r>
        <w:t xml:space="preserve">Recurring issue themes are reviewed in the monthly governance report</w:t>
      </w:r>
    </w:p>
    <w:p>
      <w:pPr>
        <w:pStyle w:val="ListParagraph"/>
        <w:numPr>
          <w:ilvl w:val="0"/>
          <w:numId w:val="2"/>
        </w:numPr>
      </w:pPr>
      <w:r>
        <w:t xml:space="preserve">Where appropriate, new automated data quality rules are added (see Data Quality Rules Library) to catch the issue earlier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Reporting and Metrics</w:t>
      </w:r>
    </w:p>
    <w:p>
      <w:pPr>
        <w:pStyle w:val="ListParagraph"/>
        <w:numPr>
          <w:ilvl w:val="0"/>
          <w:numId w:val="2"/>
        </w:numPr>
      </w:pPr>
      <w:r>
        <w:t xml:space="preserve">Open issues by severity and age</w:t>
      </w:r>
    </w:p>
    <w:p>
      <w:pPr>
        <w:pStyle w:val="ListParagraph"/>
        <w:numPr>
          <w:ilvl w:val="0"/>
          <w:numId w:val="2"/>
        </w:numPr>
      </w:pPr>
      <w:r>
        <w:t xml:space="preserve">Average time to resolution by severity</w:t>
      </w:r>
    </w:p>
    <w:p>
      <w:pPr>
        <w:pStyle w:val="ListParagraph"/>
        <w:numPr>
          <w:ilvl w:val="0"/>
          <w:numId w:val="2"/>
        </w:numPr>
      </w:pPr>
      <w:r>
        <w:t xml:space="preserve">SLA compliance rate</w:t>
      </w:r>
    </w:p>
    <w:p>
      <w:pPr>
        <w:pStyle w:val="ListParagraph"/>
        <w:numPr>
          <w:ilvl w:val="0"/>
          <w:numId w:val="2"/>
        </w:numPr>
      </w:pPr>
      <w:r>
        <w:t xml:space="preserve">Top recurring issue categories</w:t>
      </w:r>
    </w:p>
    <w:p>
      <w:pPr>
        <w:pStyle w:val="ListParagraph"/>
        <w:numPr>
          <w:ilvl w:val="0"/>
          <w:numId w:val="2"/>
        </w:numPr>
      </w:pPr>
      <w:r>
        <w:t xml:space="preserve">Issues by business domain</w:t>
      </w:r>
    </w:p>
    <w:p>
      <w:pPr>
        <w:spacing w:after="160"/>
      </w:pPr>
      <w:r>
        <w:t xml:space="preserve">These metrics feed into the Compliance Audit Checklists and Monthly Governance Report Template.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Pair with Escalation Procedures and Data Quality Incident Response for critical/security-related issues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Data Issue Resolution Process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2026-06-30T20:40:58.730Z</dcterms:created>
  <dcterms:modified xsi:type="dcterms:W3CDTF">2026-06-30T20:40:58.730Z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