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Quality Incident Response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Quality Incident Response Plan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Quality Manager]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plan defines how [Organization Name] responds when a data quality problem rises to the level of an </w:t>
      </w:r>
      <w:r>
        <w:rPr>
          <w:b/>
          <w:bCs/>
        </w:rPr>
        <w:t xml:space="preserve">incident</w:t>
      </w:r>
      <w:r>
        <w:t xml:space="preserve"> — a failure with material business, financial, regulatory, or reputational impact. It complements the Data Issue Resolution Process, which covers routine, lower-impact issues.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What Distinguishes an Incident from a Routine Issue</w:t>
      </w:r>
    </w:p>
    <w:p>
      <w:pPr>
        <w:spacing w:after="160"/>
      </w:pPr>
      <w:r>
        <w:t xml:space="preserve">A data quality event is treated as an </w:t>
      </w:r>
      <w:r>
        <w:rPr>
          <w:b/>
          <w:bCs/>
        </w:rPr>
        <w:t xml:space="preserve">incident</w:t>
      </w:r>
      <w:r>
        <w:t xml:space="preserve"> when it meets one or more of the following:</w:t>
      </w:r>
    </w:p>
    <w:p>
      <w:pPr>
        <w:pStyle w:val="ListParagraph"/>
        <w:numPr>
          <w:ilvl w:val="0"/>
          <w:numId w:val="2"/>
        </w:numPr>
      </w:pPr>
      <w:r>
        <w:t xml:space="preserve">Materially affects a regulatory filing, financial statement, or external report</w:t>
      </w:r>
    </w:p>
    <w:p>
      <w:pPr>
        <w:pStyle w:val="ListParagraph"/>
        <w:numPr>
          <w:ilvl w:val="0"/>
          <w:numId w:val="2"/>
        </w:numPr>
      </w:pPr>
      <w:r>
        <w:t xml:space="preserve">Causes a decision based on materially incorrect data to be made or nearly made</w:t>
      </w:r>
    </w:p>
    <w:p>
      <w:pPr>
        <w:pStyle w:val="ListParagraph"/>
        <w:numPr>
          <w:ilvl w:val="0"/>
          <w:numId w:val="2"/>
        </w:numPr>
      </w:pPr>
      <w:r>
        <w:t xml:space="preserve">Affects customer-facing systems or communications at scale</w:t>
      </w:r>
    </w:p>
    <w:p>
      <w:pPr>
        <w:pStyle w:val="ListParagraph"/>
        <w:numPr>
          <w:ilvl w:val="0"/>
          <w:numId w:val="2"/>
        </w:numPr>
      </w:pPr>
      <w:r>
        <w:t xml:space="preserve">Involves exposure or corruption of regulated or sensitive data (PII, financial, health)</w:t>
      </w:r>
    </w:p>
    <w:p>
      <w:pPr>
        <w:pStyle w:val="ListParagraph"/>
        <w:numPr>
          <w:ilvl w:val="0"/>
          <w:numId w:val="2"/>
        </w:numPr>
      </w:pPr>
      <w:r>
        <w:t xml:space="preserve">Affects multiple business domains or systems simultaneously</w:t>
      </w:r>
    </w:p>
    <w:p>
      <w:pPr>
        <w:spacing w:after="160"/>
      </w:pPr>
      <w:r>
        <w:t xml:space="preserve">If none of these apply, route the issue through the standard Data Issue Resolution Process instead.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Incident Severity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SEV-1 (Critical)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Severe, organization-wide or regulatory impact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Inaccurate data submitted in a regulatory filing; PII data corruption affecting customers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SEV-2 (Major)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 impact to a business unit or major process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report materially misstated for a business unit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SEV-3 (Moderate)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Contained impact, but exceeds routine issue criteria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failure affecting a single major report for one cycle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Incident Response Workflow</w:t>
      </w:r>
    </w:p>
    <w:p>
      <w:pPr>
        <w:pStyle w:val="Heading3"/>
      </w:pPr>
      <w:r>
        <w:t xml:space="preserve">Phase 1: Detection and Declaration</w:t>
      </w:r>
    </w:p>
    <w:p>
      <w:pPr>
        <w:spacing w:after="160"/>
      </w:pPr>
      <w:r>
        <w:t xml:space="preserve">Triggered by automated quality monitoring alerts, employee reports, or external notification (e.g., customer, auditor, regulator).</w:t>
      </w:r>
    </w:p>
    <w:p>
      <w:pPr>
        <w:spacing w:after="160"/>
      </w:pPr>
      <w:r>
        <w:t xml:space="preserve">The Data Quality Manager or on-call Data Governance Office representative confirms the event meets incident criteria and formally declares the incident, assigning a severity level.</w:t>
      </w:r>
    </w:p>
    <w:p>
      <w:pPr>
        <w:pStyle w:val="Heading3"/>
      </w:pPr>
      <w:r>
        <w:t xml:space="preserve">Phase 2: Mobilization</w:t>
      </w:r>
    </w:p>
    <w:p>
      <w:pPr>
        <w:pStyle w:val="ListParagraph"/>
        <w:numPr>
          <w:ilvl w:val="0"/>
          <w:numId w:val="2"/>
        </w:numPr>
      </w:pPr>
      <w:r>
        <w:t xml:space="preserve">Assemble the Incident Response Team: Data Quality Manager, relevant Business/Technical Data Stewards, affected system owners, and (for SEV-1) the Chief Data Officer and Legal/Privacy Officer as needed</w:t>
      </w:r>
    </w:p>
    <w:p>
      <w:pPr>
        <w:pStyle w:val="ListParagraph"/>
        <w:numPr>
          <w:ilvl w:val="0"/>
          <w:numId w:val="2"/>
        </w:numPr>
      </w:pPr>
      <w:r>
        <w:t xml:space="preserve">Open an incident record with timestamp, severity, and initial description</w:t>
      </w:r>
    </w:p>
    <w:p>
      <w:pPr>
        <w:pStyle w:val="ListParagraph"/>
        <w:numPr>
          <w:ilvl w:val="0"/>
          <w:numId w:val="2"/>
        </w:numPr>
      </w:pPr>
      <w:r>
        <w:t xml:space="preserve">Establish a communication channel (e.g., dedicated incident bridge/channel)</w:t>
      </w:r>
    </w:p>
    <w:p>
      <w:pPr>
        <w:pStyle w:val="Heading3"/>
      </w:pPr>
      <w:r>
        <w:t xml:space="preserve">Phase 3: Containment</w:t>
      </w:r>
    </w:p>
    <w:p>
      <w:pPr>
        <w:pStyle w:val="ListParagraph"/>
        <w:numPr>
          <w:ilvl w:val="0"/>
          <w:numId w:val="2"/>
        </w:numPr>
      </w:pPr>
      <w:r>
        <w:t xml:space="preserve">Identify and flag affected reports, dashboards, or downstream systems as "data quality caution" where feasible</w:t>
      </w:r>
    </w:p>
    <w:p>
      <w:pPr>
        <w:pStyle w:val="ListParagraph"/>
        <w:numPr>
          <w:ilvl w:val="0"/>
          <w:numId w:val="2"/>
        </w:numPr>
      </w:pPr>
      <w:r>
        <w:t xml:space="preserve">Pause automated processes consuming the affected data if risk of further harm exists</w:t>
      </w:r>
    </w:p>
    <w:p>
      <w:pPr>
        <w:pStyle w:val="ListParagraph"/>
        <w:numPr>
          <w:ilvl w:val="0"/>
          <w:numId w:val="2"/>
        </w:numPr>
      </w:pPr>
      <w:r>
        <w:t xml:space="preserve">Notify affected business stakeholders of the known issue and interim guidance</w:t>
      </w:r>
    </w:p>
    <w:p>
      <w:pPr>
        <w:pStyle w:val="Heading3"/>
      </w:pPr>
      <w:r>
        <w:t xml:space="preserve">Phase 4: Root Cause Investigation</w:t>
      </w:r>
    </w:p>
    <w:p>
      <w:pPr>
        <w:pStyle w:val="ListParagraph"/>
        <w:numPr>
          <w:ilvl w:val="0"/>
          <w:numId w:val="2"/>
        </w:numPr>
      </w:pPr>
      <w:r>
        <w:t xml:space="preserve">Trace the issue through lineage to identify the originating system, process, or change</w:t>
      </w:r>
    </w:p>
    <w:p>
      <w:pPr>
        <w:pStyle w:val="ListParagraph"/>
        <w:numPr>
          <w:ilvl w:val="0"/>
          <w:numId w:val="2"/>
        </w:numPr>
      </w:pPr>
      <w:r>
        <w:t xml:space="preserve">Determine the full scope: affected time period, records, and downstream consumers</w:t>
      </w:r>
    </w:p>
    <w:p>
      <w:pPr>
        <w:pStyle w:val="ListParagraph"/>
        <w:numPr>
          <w:ilvl w:val="0"/>
          <w:numId w:val="2"/>
        </w:numPr>
      </w:pPr>
      <w:r>
        <w:t xml:space="preserve">Document findings in the incident record</w:t>
      </w:r>
    </w:p>
    <w:p>
      <w:pPr>
        <w:pStyle w:val="Heading3"/>
      </w:pPr>
      <w:r>
        <w:t xml:space="preserve">Phase 5: Remediation</w:t>
      </w:r>
    </w:p>
    <w:p>
      <w:pPr>
        <w:pStyle w:val="ListParagraph"/>
        <w:numPr>
          <w:ilvl w:val="0"/>
          <w:numId w:val="2"/>
        </w:numPr>
      </w:pPr>
      <w:r>
        <w:t xml:space="preserve">Correct the data at the source</w:t>
      </w:r>
    </w:p>
    <w:p>
      <w:pPr>
        <w:pStyle w:val="ListParagraph"/>
        <w:numPr>
          <w:ilvl w:val="0"/>
          <w:numId w:val="2"/>
        </w:numPr>
      </w:pPr>
      <w:r>
        <w:t xml:space="preserve">Reprocess/republish affected downstream reports and datasets</w:t>
      </w:r>
    </w:p>
    <w:p>
      <w:pPr>
        <w:pStyle w:val="ListParagraph"/>
        <w:numPr>
          <w:ilvl w:val="0"/>
          <w:numId w:val="2"/>
        </w:numPr>
      </w:pPr>
      <w:r>
        <w:t xml:space="preserve">Validate the fix with the affected business stakeholders before declaring resolved</w:t>
      </w:r>
    </w:p>
    <w:p>
      <w:pPr>
        <w:pStyle w:val="Heading3"/>
      </w:pPr>
      <w:r>
        <w:t xml:space="preserve">Phase 6: Recovery and Closure</w:t>
      </w:r>
    </w:p>
    <w:p>
      <w:pPr>
        <w:pStyle w:val="ListParagraph"/>
        <w:numPr>
          <w:ilvl w:val="0"/>
          <w:numId w:val="2"/>
        </w:numPr>
      </w:pPr>
      <w:r>
        <w:t xml:space="preserve">Confirm all affected systems and reports reflect corrected data</w:t>
      </w:r>
    </w:p>
    <w:p>
      <w:pPr>
        <w:pStyle w:val="ListParagraph"/>
        <w:numPr>
          <w:ilvl w:val="0"/>
          <w:numId w:val="2"/>
        </w:numPr>
      </w:pPr>
      <w:r>
        <w:t xml:space="preserve">Formally close the incident with sign-off from the Data Quality Manager and affected business owner(s)</w:t>
      </w:r>
    </w:p>
    <w:p>
      <w:pPr>
        <w:pStyle w:val="Heading3"/>
      </w:pPr>
      <w:r>
        <w:t xml:space="preserve">Phase 7: Post-Incident Review</w:t>
      </w:r>
    </w:p>
    <w:p>
      <w:pPr>
        <w:spacing w:after="160"/>
      </w:pPr>
      <w:r>
        <w:t xml:space="preserve">For SEV-1 and SEV-2 incidents, conduct a blameless post-incident review within 5 business days covering:</w:t>
      </w:r>
    </w:p>
    <w:p>
      <w:pPr>
        <w:pStyle w:val="ListParagraph"/>
        <w:numPr>
          <w:ilvl w:val="0"/>
          <w:numId w:val="2"/>
        </w:numPr>
      </w:pPr>
      <w:r>
        <w:t xml:space="preserve">Timeline of detection through resolution</w:t>
      </w:r>
    </w:p>
    <w:p>
      <w:pPr>
        <w:pStyle w:val="ListParagraph"/>
        <w:numPr>
          <w:ilvl w:val="0"/>
          <w:numId w:val="2"/>
        </w:numPr>
      </w:pPr>
      <w:r>
        <w:t xml:space="preserve">Root cause and contributing factors</w:t>
      </w:r>
    </w:p>
    <w:p>
      <w:pPr>
        <w:pStyle w:val="ListParagraph"/>
        <w:numPr>
          <w:ilvl w:val="0"/>
          <w:numId w:val="2"/>
        </w:numPr>
      </w:pPr>
      <w:r>
        <w:t xml:space="preserve">What worked well / what didn't</w:t>
      </w:r>
    </w:p>
    <w:p>
      <w:pPr>
        <w:pStyle w:val="ListParagraph"/>
        <w:numPr>
          <w:ilvl w:val="0"/>
          <w:numId w:val="2"/>
        </w:numPr>
      </w:pPr>
      <w:r>
        <w:t xml:space="preserve">Preventive actions with owners and due dates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Manager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Declares incidents, leads response, owns the incident record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Response Team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Investigates, contains, and remediates the issue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Data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Engaged for SEV-1 incidents; approves external communications if needed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/ Privacy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Engaged when regulated or personal data is involved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Stakeholders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business impact and confirm remediation is acceptable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Council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SEV-1 incidents and systemic patterns quarterly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Communication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Notification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Notification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SEV-1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Immediate, to CDO and affected business leadership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Legal/Privacy guidance; may require regulatory notification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SEV-2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4 hours, to affected business unit leadership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Generally not required unless customer-facing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SEV-3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1 business day, to affected stakeholders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typically required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Refer to the Breach Notification Templates for any incident involving potential personal data exposure.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Post-Incident Documentation</w:t>
      </w:r>
    </w:p>
    <w:p>
      <w:pPr>
        <w:spacing w:after="160"/>
      </w:pPr>
      <w:r>
        <w:t xml:space="preserve">Each closed incident record must include:</w:t>
      </w:r>
    </w:p>
    <w:p>
      <w:pPr>
        <w:pStyle w:val="ListParagraph"/>
        <w:numPr>
          <w:ilvl w:val="0"/>
          <w:numId w:val="2"/>
        </w:numPr>
      </w:pPr>
      <w:r>
        <w:t xml:space="preserve">Incident summary and timeline</w:t>
      </w:r>
    </w:p>
    <w:p>
      <w:pPr>
        <w:pStyle w:val="ListParagraph"/>
        <w:numPr>
          <w:ilvl w:val="0"/>
          <w:numId w:val="2"/>
        </w:numPr>
      </w:pPr>
      <w:r>
        <w:t xml:space="preserve">Root cause</w:t>
      </w:r>
    </w:p>
    <w:p>
      <w:pPr>
        <w:pStyle w:val="ListParagraph"/>
        <w:numPr>
          <w:ilvl w:val="0"/>
          <w:numId w:val="2"/>
        </w:numPr>
      </w:pPr>
      <w:r>
        <w:t xml:space="preserve">Business impact (quantified where possible)</w:t>
      </w:r>
    </w:p>
    <w:p>
      <w:pPr>
        <w:pStyle w:val="ListParagraph"/>
        <w:numPr>
          <w:ilvl w:val="0"/>
          <w:numId w:val="2"/>
        </w:numPr>
      </w:pPr>
      <w:r>
        <w:t xml:space="preserve">Remediation actions taken</w:t>
      </w:r>
    </w:p>
    <w:p>
      <w:pPr>
        <w:pStyle w:val="ListParagraph"/>
        <w:numPr>
          <w:ilvl w:val="0"/>
          <w:numId w:val="2"/>
        </w:numPr>
      </w:pPr>
      <w:r>
        <w:t xml:space="preserve">Preventive actions and owners</w:t>
      </w:r>
    </w:p>
    <w:p>
      <w:pPr>
        <w:pStyle w:val="ListParagraph"/>
        <w:numPr>
          <w:ilvl w:val="0"/>
          <w:numId w:val="2"/>
        </w:numPr>
      </w:pPr>
      <w:r>
        <w:t xml:space="preserve">Lessons learned summary for the Post-Implementation Reviews library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Use alongside Data Issue Resolution Process for severity triage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Data Quality Incident Response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2026-06-30T20:40:59.834Z</dcterms:created>
  <dcterms:modified xsi:type="dcterms:W3CDTF">2026-06-30T20:40:59.834Z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